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0" w:lineRule="exact"/>
        <w:rPr>
          <w:sz w:val="24"/>
          <w:szCs w:val="24"/>
          <w:color w:val="auto"/>
        </w:rPr>
      </w:pPr>
    </w:p>
    <w:p>
      <w:pPr>
        <w:ind w:left="480" w:right="260" w:hanging="459"/>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480" w:right="260" w:hanging="459"/>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60" w:type="dxa"/>
            <w:vAlign w:val="bottom"/>
            <w:gridSpan w:val="2"/>
          </w:tcPr>
          <w:p>
            <w:pPr>
              <w:ind w:left="180"/>
              <w:spacing w:after="0"/>
              <w:rPr>
                <w:sz w:val="20"/>
                <w:szCs w:val="20"/>
                <w:color w:val="auto"/>
              </w:rPr>
            </w:pPr>
            <w:r>
              <w:rPr>
                <w:rFonts w:ascii="Arial" w:cs="Arial" w:eastAsia="Arial" w:hAnsi="Arial"/>
                <w:sz w:val="18"/>
                <w:szCs w:val="18"/>
                <w:color w:val="auto"/>
                <w:w w:val="93"/>
              </w:rPr>
              <w:t>For the transition period from</w:t>
            </w:r>
          </w:p>
        </w:tc>
        <w:tc>
          <w:tcPr>
            <w:tcW w:w="720" w:type="dxa"/>
            <w:vAlign w:val="bottom"/>
            <w:tcBorders>
              <w:bottom w:val="single" w:sz="8" w:color="auto"/>
            </w:tcBorders>
            <w:gridSpan w:val="2"/>
          </w:tcPr>
          <w:p>
            <w:pPr>
              <w:spacing w:after="0"/>
              <w:rPr>
                <w:sz w:val="17"/>
                <w:szCs w:val="17"/>
                <w:color w:val="auto"/>
              </w:rPr>
            </w:pP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to</w:t>
            </w:r>
          </w:p>
        </w:tc>
      </w:tr>
      <w:tr>
        <w:trPr>
          <w:trHeight w:val="345"/>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20" w:type="dxa"/>
            <w:vAlign w:val="bottom"/>
            <w:gridSpan w:val="6"/>
          </w:tcPr>
          <w:p>
            <w:pPr>
              <w:jc w:val="center"/>
              <w:ind w:right="2819"/>
              <w:spacing w:after="0"/>
              <w:rPr>
                <w:sz w:val="20"/>
                <w:szCs w:val="20"/>
                <w:color w:val="auto"/>
              </w:rPr>
            </w:pPr>
            <w:r>
              <w:rPr>
                <w:rFonts w:ascii="Arial" w:cs="Arial" w:eastAsia="Arial" w:hAnsi="Arial"/>
                <w:sz w:val="18"/>
                <w:szCs w:val="18"/>
                <w:color w:val="auto"/>
                <w:w w:val="91"/>
              </w:rPr>
              <w:t>Commission file number 333-211719</w:t>
            </w:r>
          </w:p>
        </w:tc>
      </w:tr>
      <w:tr>
        <w:trPr>
          <w:trHeight w:val="670"/>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120" w:type="dxa"/>
            <w:vAlign w:val="bottom"/>
            <w:gridSpan w:val="6"/>
          </w:tcPr>
          <w:p>
            <w:pPr>
              <w:jc w:val="center"/>
              <w:ind w:right="2839"/>
              <w:spacing w:after="0"/>
              <w:rPr>
                <w:sz w:val="20"/>
                <w:szCs w:val="20"/>
                <w:color w:val="auto"/>
              </w:rPr>
            </w:pPr>
            <w:r>
              <w:rPr>
                <w:rFonts w:ascii="Arial" w:cs="Arial" w:eastAsia="Arial" w:hAnsi="Arial"/>
                <w:sz w:val="43"/>
                <w:szCs w:val="43"/>
                <w:b w:val="1"/>
                <w:bCs w:val="1"/>
                <w:color w:val="auto"/>
              </w:rPr>
              <w:t>ASHLAND INC.</w:t>
            </w:r>
          </w:p>
        </w:tc>
      </w:tr>
      <w:tr>
        <w:trPr>
          <w:trHeight w:val="315"/>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80" w:type="dxa"/>
            <w:vAlign w:val="bottom"/>
            <w:gridSpan w:val="4"/>
          </w:tcPr>
          <w:p>
            <w:pPr>
              <w:jc w:val="center"/>
              <w:ind w:left="1017"/>
              <w:spacing w:after="0"/>
              <w:rPr>
                <w:sz w:val="20"/>
                <w:szCs w:val="20"/>
                <w:color w:val="auto"/>
              </w:rPr>
            </w:pPr>
            <w:r>
              <w:rPr>
                <w:rFonts w:ascii="Arial" w:cs="Arial" w:eastAsia="Arial" w:hAnsi="Arial"/>
                <w:sz w:val="18"/>
                <w:szCs w:val="18"/>
                <w:color w:val="auto"/>
                <w:w w:val="90"/>
              </w:rPr>
              <w:t>(a Delaware corporation)</w:t>
            </w:r>
          </w:p>
        </w:tc>
        <w:tc>
          <w:tcPr>
            <w:tcW w:w="15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80" w:type="dxa"/>
            <w:vAlign w:val="bottom"/>
            <w:gridSpan w:val="4"/>
          </w:tcPr>
          <w:p>
            <w:pPr>
              <w:jc w:val="center"/>
              <w:ind w:left="1017"/>
              <w:spacing w:after="0"/>
              <w:rPr>
                <w:sz w:val="20"/>
                <w:szCs w:val="20"/>
                <w:color w:val="auto"/>
              </w:rPr>
            </w:pPr>
            <w:r>
              <w:rPr>
                <w:rFonts w:ascii="Arial" w:cs="Arial" w:eastAsia="Arial" w:hAnsi="Arial"/>
                <w:sz w:val="18"/>
                <w:szCs w:val="18"/>
                <w:color w:val="auto"/>
                <w:w w:val="91"/>
              </w:rPr>
              <w:t>I.R.S. No. 81-2587835</w:t>
            </w:r>
          </w:p>
        </w:tc>
        <w:tc>
          <w:tcPr>
            <w:tcW w:w="15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323"/>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80" w:type="dxa"/>
            <w:vAlign w:val="bottom"/>
            <w:gridSpan w:val="4"/>
          </w:tcPr>
          <w:p>
            <w:pPr>
              <w:jc w:val="center"/>
              <w:ind w:left="1017"/>
              <w:spacing w:after="0"/>
              <w:rPr>
                <w:sz w:val="20"/>
                <w:szCs w:val="20"/>
                <w:color w:val="auto"/>
              </w:rPr>
            </w:pPr>
            <w:r>
              <w:rPr>
                <w:rFonts w:ascii="Arial" w:cs="Arial" w:eastAsia="Arial" w:hAnsi="Arial"/>
                <w:sz w:val="18"/>
                <w:szCs w:val="18"/>
                <w:color w:val="auto"/>
                <w:w w:val="92"/>
              </w:rPr>
              <w:t>8145 Blazer Drive</w:t>
            </w:r>
          </w:p>
        </w:tc>
        <w:tc>
          <w:tcPr>
            <w:tcW w:w="15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20" w:type="dxa"/>
            <w:vAlign w:val="bottom"/>
            <w:gridSpan w:val="6"/>
          </w:tcPr>
          <w:p>
            <w:pPr>
              <w:jc w:val="center"/>
              <w:ind w:right="2819"/>
              <w:spacing w:after="0"/>
              <w:rPr>
                <w:sz w:val="20"/>
                <w:szCs w:val="20"/>
                <w:color w:val="auto"/>
              </w:rPr>
            </w:pPr>
            <w:r>
              <w:rPr>
                <w:rFonts w:ascii="Arial" w:cs="Arial" w:eastAsia="Arial" w:hAnsi="Arial"/>
                <w:sz w:val="18"/>
                <w:szCs w:val="18"/>
                <w:color w:val="auto"/>
                <w:w w:val="92"/>
              </w:rPr>
              <w:t>Wilmington, Delaware 19808</w:t>
            </w:r>
          </w:p>
        </w:tc>
      </w:tr>
      <w:tr>
        <w:trPr>
          <w:trHeight w:val="220"/>
        </w:trPr>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120" w:type="dxa"/>
            <w:vAlign w:val="bottom"/>
            <w:gridSpan w:val="6"/>
          </w:tcPr>
          <w:p>
            <w:pPr>
              <w:jc w:val="center"/>
              <w:ind w:right="2839"/>
              <w:spacing w:after="0"/>
              <w:rPr>
                <w:sz w:val="20"/>
                <w:szCs w:val="20"/>
                <w:color w:val="auto"/>
              </w:rPr>
            </w:pPr>
            <w:r>
              <w:rPr>
                <w:rFonts w:ascii="Arial" w:cs="Arial" w:eastAsia="Arial" w:hAnsi="Arial"/>
                <w:sz w:val="18"/>
                <w:szCs w:val="18"/>
                <w:color w:val="auto"/>
                <w:w w:val="90"/>
              </w:rPr>
              <w:t>Telephone Number (302) 995-3000</w:t>
            </w:r>
          </w:p>
        </w:tc>
      </w:tr>
      <w:tr>
        <w:trPr>
          <w:trHeight w:val="206"/>
        </w:trPr>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120" w:type="dxa"/>
            <w:vAlign w:val="bottom"/>
            <w:gridSpan w:val="6"/>
          </w:tcPr>
          <w:p>
            <w:pPr>
              <w:jc w:val="center"/>
              <w:ind w:right="2839"/>
              <w:spacing w:after="0"/>
              <w:rPr>
                <w:sz w:val="20"/>
                <w:szCs w:val="20"/>
                <w:color w:val="auto"/>
              </w:rPr>
            </w:pPr>
            <w:r>
              <w:rPr>
                <w:rFonts w:ascii="Arial" w:cs="Arial" w:eastAsia="Arial" w:hAnsi="Arial"/>
                <w:sz w:val="16"/>
                <w:szCs w:val="16"/>
                <w:color w:val="auto"/>
                <w:w w:val="91"/>
              </w:rPr>
              <w:t>Securities Registered Pursuant to Section 12(b) of the Act:</w:t>
            </w:r>
          </w:p>
        </w:tc>
      </w:tr>
      <w:tr>
        <w:trPr>
          <w:trHeight w:val="222"/>
        </w:trPr>
        <w:tc>
          <w:tcPr>
            <w:tcW w:w="940" w:type="dxa"/>
            <w:vAlign w:val="bottom"/>
          </w:tcPr>
          <w:p>
            <w:pPr>
              <w:spacing w:after="0"/>
              <w:rPr>
                <w:sz w:val="19"/>
                <w:szCs w:val="19"/>
                <w:color w:val="auto"/>
              </w:rPr>
            </w:pPr>
          </w:p>
        </w:tc>
        <w:tc>
          <w:tcPr>
            <w:tcW w:w="2160" w:type="dxa"/>
            <w:vAlign w:val="bottom"/>
            <w:gridSpan w:val="2"/>
          </w:tcPr>
          <w:p>
            <w:pPr>
              <w:jc w:val="center"/>
              <w:ind w:right="1120"/>
              <w:spacing w:after="0"/>
              <w:rPr>
                <w:sz w:val="20"/>
                <w:szCs w:val="20"/>
                <w:color w:val="auto"/>
              </w:rPr>
            </w:pPr>
            <w:r>
              <w:rPr>
                <w:rFonts w:ascii="Arial" w:cs="Arial" w:eastAsia="Arial" w:hAnsi="Arial"/>
                <w:sz w:val="14"/>
                <w:szCs w:val="14"/>
                <w:color w:val="auto"/>
                <w:w w:val="92"/>
              </w:rPr>
              <w:t>Title of each class</w:t>
            </w:r>
          </w:p>
        </w:tc>
        <w:tc>
          <w:tcPr>
            <w:tcW w:w="1640" w:type="dxa"/>
            <w:vAlign w:val="bottom"/>
          </w:tcPr>
          <w:p>
            <w:pPr>
              <w:spacing w:after="0"/>
              <w:rPr>
                <w:sz w:val="19"/>
                <w:szCs w:val="19"/>
                <w:color w:val="auto"/>
              </w:rPr>
            </w:pP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color w:val="auto"/>
                <w:w w:val="95"/>
              </w:rPr>
              <w:t>Trading Symbol</w:t>
            </w:r>
          </w:p>
        </w:tc>
        <w:tc>
          <w:tcPr>
            <w:tcW w:w="150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77"/>
        </w:trPr>
        <w:tc>
          <w:tcPr>
            <w:tcW w:w="310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Common Stock, par value $.01 per share</w:t>
            </w:r>
          </w:p>
        </w:tc>
        <w:tc>
          <w:tcPr>
            <w:tcW w:w="1640" w:type="dxa"/>
            <w:vAlign w:val="bottom"/>
          </w:tcPr>
          <w:p>
            <w:pPr>
              <w:spacing w:after="0"/>
              <w:rPr>
                <w:sz w:val="24"/>
                <w:szCs w:val="24"/>
                <w:color w:val="auto"/>
              </w:rPr>
            </w:pPr>
          </w:p>
        </w:tc>
        <w:tc>
          <w:tcPr>
            <w:tcW w:w="1440" w:type="dxa"/>
            <w:vAlign w:val="bottom"/>
            <w:gridSpan w:val="3"/>
          </w:tcPr>
          <w:p>
            <w:pPr>
              <w:jc w:val="center"/>
              <w:ind w:right="480"/>
              <w:spacing w:after="0"/>
              <w:rPr>
                <w:sz w:val="20"/>
                <w:szCs w:val="20"/>
                <w:color w:val="auto"/>
              </w:rPr>
            </w:pPr>
            <w:r>
              <w:rPr>
                <w:rFonts w:ascii="Arial" w:cs="Arial" w:eastAsia="Arial" w:hAnsi="Arial"/>
                <w:sz w:val="18"/>
                <w:szCs w:val="18"/>
                <w:color w:val="auto"/>
                <w:w w:val="97"/>
              </w:rPr>
              <w:t>ASH</w:t>
            </w:r>
          </w:p>
        </w:tc>
        <w:tc>
          <w:tcPr>
            <w:tcW w:w="15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7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50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50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180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680" w:type="dxa"/>
            <w:vAlign w:val="bottom"/>
          </w:tcPr>
          <w:p>
            <w:pPr>
              <w:ind w:left="180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jc w:val="both"/>
        <w:ind w:firstLine="50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3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December 31, 2022, there were 54,271,587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u w:val="single" w:color="auto"/>
          <w:color w:val="auto"/>
        </w:rPr>
        <w:t>PART I - FINANCIAL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CONSOLIDATED COMPREHENSIVE INCOME (LOSS)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7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w:t>
            </w: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7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except per share data - unaudited)</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84"/>
              </w:rPr>
              <w:t>2021</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20"/>
                <w:szCs w:val="20"/>
                <w:color w:val="auto"/>
              </w:rPr>
            </w:pPr>
          </w:p>
        </w:tc>
      </w:tr>
      <w:tr>
        <w:trPr>
          <w:trHeight w:val="243"/>
        </w:trPr>
        <w:tc>
          <w:tcPr>
            <w:tcW w:w="7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Intangibles amortization expense - Note G</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Equity and other income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20"/>
                <w:szCs w:val="20"/>
                <w:color w:val="auto"/>
              </w:rPr>
            </w:pPr>
          </w:p>
        </w:tc>
      </w:tr>
      <w:tr>
        <w:trPr>
          <w:trHeight w:val="243"/>
        </w:trPr>
        <w:tc>
          <w:tcPr>
            <w:tcW w:w="7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interest and other expense (income)</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(14 )</w:t>
            </w: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Other net periodic benefit loss</w:t>
            </w:r>
          </w:p>
        </w:tc>
        <w:tc>
          <w:tcPr>
            <w:tcW w:w="3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20"/>
                <w:szCs w:val="20"/>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Income tax expense - Note J</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0"/>
                <w:szCs w:val="20"/>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Income (loss) from discontinued operations (net of income taxes) - Note C</w:t>
            </w:r>
          </w:p>
        </w:tc>
        <w:tc>
          <w:tcPr>
            <w:tcW w:w="3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PER SHARE DATA</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Basic earnings per share - Note M</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(0.03 )</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r>
      <w:tr>
        <w:trPr>
          <w:trHeight w:val="277"/>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earnings per share - Note M</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0"/>
                <w:szCs w:val="20"/>
                <w:color w:val="auto"/>
              </w:rPr>
            </w:pPr>
          </w:p>
        </w:tc>
        <w:tc>
          <w:tcPr>
            <w:tcW w:w="7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(0.03 )</w:t>
            </w: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top w:val="single" w:sz="8" w:color="CFF0FC"/>
            </w:tcBorders>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translation gain (loss)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Unrealized loss on commodity hedges</w:t>
            </w:r>
          </w:p>
        </w:tc>
        <w:tc>
          <w:tcPr>
            <w:tcW w:w="3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7"/>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comprehensive income (loss) - Note N</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7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7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-3230880</wp:posOffset>
            </wp:positionV>
            <wp:extent cx="1251585"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51585" cy="1803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-2270760</wp:posOffset>
            </wp:positionV>
            <wp:extent cx="1251585"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51585"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-1628140</wp:posOffset>
            </wp:positionV>
            <wp:extent cx="6858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-350520</wp:posOffset>
            </wp:positionV>
            <wp:extent cx="6858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ASHLAND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102"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6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5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6"/>
              </w:rPr>
              <w:t>December 31</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3"/>
              </w:rPr>
              <w:t>September 30</w:t>
            </w:r>
          </w:p>
        </w:tc>
      </w:tr>
      <w:tr>
        <w:trPr>
          <w:trHeight w:val="237"/>
        </w:trPr>
        <w:tc>
          <w:tcPr>
            <w:tcW w:w="7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millions - unaudited)</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2022</w:t>
            </w:r>
          </w:p>
        </w:tc>
      </w:tr>
      <w:tr>
        <w:trPr>
          <w:trHeight w:val="223"/>
        </w:trPr>
        <w:tc>
          <w:tcPr>
            <w:tcW w:w="68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91"/>
              </w:rPr>
              <w:t>ASSETS</w:t>
            </w:r>
          </w:p>
        </w:tc>
        <w:tc>
          <w:tcPr>
            <w:tcW w:w="688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r>
      <w:tr>
        <w:trPr>
          <w:trHeight w:val="239"/>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7"/>
        </w:trPr>
        <w:tc>
          <w:tcPr>
            <w:tcW w:w="7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532</w:t>
            </w:r>
          </w:p>
        </w:tc>
        <w:tc>
          <w:tcPr>
            <w:tcW w:w="3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646</w:t>
            </w:r>
          </w:p>
        </w:tc>
      </w:tr>
      <w:tr>
        <w:trPr>
          <w:trHeight w:val="237"/>
        </w:trPr>
        <w:tc>
          <w:tcPr>
            <w:tcW w:w="7560" w:type="dxa"/>
            <w:vAlign w:val="bottom"/>
            <w:gridSpan w:val="3"/>
          </w:tcPr>
          <w:p>
            <w:pPr>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(a)</w:t>
            </w:r>
            <w:r>
              <w:rPr>
                <w:rFonts w:ascii="Arial" w:cs="Arial" w:eastAsia="Arial" w:hAnsi="Arial"/>
                <w:sz w:val="18"/>
                <w:szCs w:val="18"/>
                <w:color w:val="auto"/>
              </w:rPr>
              <w:t xml:space="preserve"> - Note H</w:t>
            </w:r>
          </w:p>
        </w:tc>
        <w:tc>
          <w:tcPr>
            <w:tcW w:w="2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402</w:t>
            </w:r>
          </w:p>
        </w:tc>
      </w:tr>
      <w:tr>
        <w:trPr>
          <w:trHeight w:val="249"/>
        </w:trPr>
        <w:tc>
          <w:tcPr>
            <w:tcW w:w="7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 - Note F</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629</w:t>
            </w:r>
          </w:p>
        </w:tc>
      </w:tr>
      <w:tr>
        <w:trPr>
          <w:trHeight w:val="243"/>
        </w:trPr>
        <w:tc>
          <w:tcPr>
            <w:tcW w:w="75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r>
      <w:tr>
        <w:trPr>
          <w:trHeight w:val="237"/>
        </w:trPr>
        <w:tc>
          <w:tcPr>
            <w:tcW w:w="75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1,768</w:t>
            </w:r>
          </w:p>
        </w:tc>
      </w:tr>
      <w:tr>
        <w:trPr>
          <w:trHeight w:val="239"/>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Noncurrent assets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7"/>
        </w:trPr>
        <w:tc>
          <w:tcPr>
            <w:tcW w:w="7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7"/>
        </w:trPr>
        <w:tc>
          <w:tcPr>
            <w:tcW w:w="7560" w:type="dxa"/>
            <w:vAlign w:val="bottom"/>
            <w:gridSpan w:val="3"/>
          </w:tcPr>
          <w:p>
            <w:pPr>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3,050</w:t>
            </w:r>
          </w:p>
        </w:tc>
      </w:tr>
      <w:tr>
        <w:trPr>
          <w:trHeight w:val="249"/>
        </w:trPr>
        <w:tc>
          <w:tcPr>
            <w:tcW w:w="75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1,770</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1,712</w:t>
            </w:r>
          </w:p>
        </w:tc>
      </w:tr>
      <w:tr>
        <w:trPr>
          <w:trHeight w:val="230"/>
        </w:trPr>
        <w:tc>
          <w:tcPr>
            <w:tcW w:w="7560" w:type="dxa"/>
            <w:vAlign w:val="bottom"/>
            <w:gridSpan w:val="3"/>
          </w:tcPr>
          <w:p>
            <w:pPr>
              <w:ind w:left="180"/>
              <w:spacing w:after="0"/>
              <w:rPr>
                <w:sz w:val="20"/>
                <w:szCs w:val="20"/>
                <w:color w:val="auto"/>
              </w:rPr>
            </w:pPr>
            <w:r>
              <w:rPr>
                <w:rFonts w:ascii="Arial" w:cs="Arial" w:eastAsia="Arial" w:hAnsi="Arial"/>
                <w:sz w:val="18"/>
                <w:szCs w:val="18"/>
                <w:color w:val="auto"/>
              </w:rPr>
              <w:t>Net property, plant and equipment</w:t>
            </w:r>
          </w:p>
        </w:tc>
        <w:tc>
          <w:tcPr>
            <w:tcW w:w="2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1,346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1,338</w:t>
            </w:r>
          </w:p>
        </w:tc>
      </w:tr>
      <w:tr>
        <w:trPr>
          <w:trHeight w:val="249"/>
        </w:trPr>
        <w:tc>
          <w:tcPr>
            <w:tcW w:w="7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 - Note G</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1,369</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1,312</w:t>
            </w:r>
          </w:p>
        </w:tc>
      </w:tr>
      <w:tr>
        <w:trPr>
          <w:trHeight w:val="237"/>
        </w:trPr>
        <w:tc>
          <w:tcPr>
            <w:tcW w:w="7560" w:type="dxa"/>
            <w:vAlign w:val="bottom"/>
            <w:gridSpan w:val="3"/>
          </w:tcPr>
          <w:p>
            <w:pPr>
              <w:spacing w:after="0"/>
              <w:rPr>
                <w:sz w:val="20"/>
                <w:szCs w:val="20"/>
                <w:color w:val="auto"/>
              </w:rPr>
            </w:pPr>
            <w:r>
              <w:rPr>
                <w:rFonts w:ascii="Arial" w:cs="Arial" w:eastAsia="Arial" w:hAnsi="Arial"/>
                <w:sz w:val="18"/>
                <w:szCs w:val="18"/>
                <w:color w:val="auto"/>
              </w:rPr>
              <w:t>Intangibles - Note G</w:t>
            </w:r>
          </w:p>
        </w:tc>
        <w:tc>
          <w:tcPr>
            <w:tcW w:w="2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959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963</w:t>
            </w:r>
          </w:p>
        </w:tc>
      </w:tr>
      <w:tr>
        <w:trPr>
          <w:trHeight w:val="249"/>
        </w:trPr>
        <w:tc>
          <w:tcPr>
            <w:tcW w:w="7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lease assets, net - Note I</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w:t>
            </w:r>
          </w:p>
        </w:tc>
      </w:tr>
      <w:tr>
        <w:trPr>
          <w:trHeight w:val="237"/>
        </w:trPr>
        <w:tc>
          <w:tcPr>
            <w:tcW w:w="7560" w:type="dxa"/>
            <w:vAlign w:val="bottom"/>
            <w:gridSpan w:val="3"/>
          </w:tcPr>
          <w:p>
            <w:pPr>
              <w:spacing w:after="0"/>
              <w:rPr>
                <w:sz w:val="20"/>
                <w:szCs w:val="20"/>
                <w:color w:val="auto"/>
              </w:rPr>
            </w:pPr>
            <w:r>
              <w:rPr>
                <w:rFonts w:ascii="Arial" w:cs="Arial" w:eastAsia="Arial" w:hAnsi="Arial"/>
                <w:sz w:val="18"/>
                <w:szCs w:val="18"/>
                <w:color w:val="auto"/>
              </w:rPr>
              <w:t>Restricted investments - Note E</w:t>
            </w:r>
          </w:p>
        </w:tc>
        <w:tc>
          <w:tcPr>
            <w:tcW w:w="2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313</w:t>
            </w:r>
          </w:p>
        </w:tc>
      </w:tr>
      <w:tr>
        <w:trPr>
          <w:trHeight w:val="249"/>
        </w:trPr>
        <w:tc>
          <w:tcPr>
            <w:tcW w:w="7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xml:space="preserve">Asbestos insurance receivable </w:t>
            </w:r>
            <w:r>
              <w:rPr>
                <w:rFonts w:ascii="Arial" w:cs="Arial" w:eastAsia="Arial" w:hAnsi="Arial"/>
                <w:sz w:val="14"/>
                <w:szCs w:val="14"/>
                <w:color w:val="auto"/>
              </w:rPr>
              <w:t>(b)</w:t>
            </w:r>
            <w:r>
              <w:rPr>
                <w:rFonts w:ascii="Arial" w:cs="Arial" w:eastAsia="Arial" w:hAnsi="Arial"/>
                <w:sz w:val="18"/>
                <w:szCs w:val="18"/>
                <w:color w:val="auto"/>
              </w:rPr>
              <w:t xml:space="preserve"> - Note L</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w:t>
            </w:r>
          </w:p>
        </w:tc>
      </w:tr>
      <w:tr>
        <w:trPr>
          <w:trHeight w:val="237"/>
        </w:trPr>
        <w:tc>
          <w:tcPr>
            <w:tcW w:w="756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49"/>
        </w:trPr>
        <w:tc>
          <w:tcPr>
            <w:tcW w:w="75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256</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254</w:t>
            </w:r>
          </w:p>
        </w:tc>
      </w:tr>
      <w:tr>
        <w:trPr>
          <w:trHeight w:val="236"/>
        </w:trPr>
        <w:tc>
          <w:tcPr>
            <w:tcW w:w="7560" w:type="dxa"/>
            <w:vAlign w:val="bottom"/>
            <w:gridSpan w:val="3"/>
          </w:tcPr>
          <w:p>
            <w:pPr>
              <w:ind w:left="18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4,445</w:t>
            </w:r>
          </w:p>
        </w:tc>
      </w:tr>
      <w:tr>
        <w:trPr>
          <w:trHeight w:val="277"/>
        </w:trPr>
        <w:tc>
          <w:tcPr>
            <w:tcW w:w="75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6,259</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6,213</w:t>
            </w:r>
          </w:p>
        </w:tc>
      </w:tr>
      <w:tr>
        <w:trPr>
          <w:trHeight w:val="224"/>
        </w:trPr>
        <w:tc>
          <w:tcPr>
            <w:tcW w:w="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3"/>
        </w:trPr>
        <w:tc>
          <w:tcPr>
            <w:tcW w:w="756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9"/>
        </w:trPr>
        <w:tc>
          <w:tcPr>
            <w:tcW w:w="2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526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4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480" w:type="dxa"/>
            <w:vAlign w:val="bottom"/>
            <w:tcBorders>
              <w:top w:val="single" w:sz="8" w:color="CFF0FC"/>
            </w:tcBorders>
          </w:tcPr>
          <w:p>
            <w:pPr>
              <w:spacing w:after="0"/>
              <w:rPr>
                <w:sz w:val="20"/>
                <w:szCs w:val="20"/>
                <w:color w:val="auto"/>
              </w:rPr>
            </w:pPr>
          </w:p>
        </w:tc>
      </w:tr>
      <w:tr>
        <w:trPr>
          <w:trHeight w:val="247"/>
        </w:trPr>
        <w:tc>
          <w:tcPr>
            <w:tcW w:w="7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w:t>
            </w:r>
          </w:p>
        </w:tc>
        <w:tc>
          <w:tcPr>
            <w:tcW w:w="3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265</w:t>
            </w:r>
          </w:p>
        </w:tc>
      </w:tr>
      <w:tr>
        <w:trPr>
          <w:trHeight w:val="237"/>
        </w:trPr>
        <w:tc>
          <w:tcPr>
            <w:tcW w:w="756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269</w:t>
            </w:r>
          </w:p>
        </w:tc>
      </w:tr>
      <w:tr>
        <w:trPr>
          <w:trHeight w:val="249"/>
        </w:trPr>
        <w:tc>
          <w:tcPr>
            <w:tcW w:w="75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Current operating lease obligations - Note I</w:t>
            </w:r>
          </w:p>
        </w:tc>
        <w:tc>
          <w:tcPr>
            <w:tcW w:w="2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r>
      <w:tr>
        <w:trPr>
          <w:trHeight w:val="230"/>
        </w:trPr>
        <w:tc>
          <w:tcPr>
            <w:tcW w:w="7560" w:type="dxa"/>
            <w:vAlign w:val="bottom"/>
            <w:gridSpan w:val="3"/>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553</w:t>
            </w:r>
          </w:p>
        </w:tc>
      </w:tr>
      <w:tr>
        <w:trPr>
          <w:trHeight w:val="249"/>
        </w:trPr>
        <w:tc>
          <w:tcPr>
            <w:tcW w:w="75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liabilities</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7"/>
        </w:trPr>
        <w:tc>
          <w:tcPr>
            <w:tcW w:w="7560" w:type="dxa"/>
            <w:vAlign w:val="bottom"/>
            <w:gridSpan w:val="3"/>
          </w:tcPr>
          <w:p>
            <w:pPr>
              <w:spacing w:after="0"/>
              <w:rPr>
                <w:sz w:val="20"/>
                <w:szCs w:val="20"/>
                <w:color w:val="auto"/>
              </w:rPr>
            </w:pPr>
            <w:r>
              <w:rPr>
                <w:rFonts w:ascii="Arial" w:cs="Arial" w:eastAsia="Arial" w:hAnsi="Arial"/>
                <w:sz w:val="18"/>
                <w:szCs w:val="18"/>
                <w:color w:val="auto"/>
              </w:rPr>
              <w:t>Long-term debt - Note H</w:t>
            </w:r>
          </w:p>
        </w:tc>
        <w:tc>
          <w:tcPr>
            <w:tcW w:w="2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1,316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1,270</w:t>
            </w:r>
          </w:p>
        </w:tc>
      </w:tr>
      <w:tr>
        <w:trPr>
          <w:trHeight w:val="249"/>
        </w:trPr>
        <w:tc>
          <w:tcPr>
            <w:tcW w:w="7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Asbestos litigation reserve - Note L</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472</w:t>
            </w:r>
          </w:p>
        </w:tc>
      </w:tr>
      <w:tr>
        <w:trPr>
          <w:trHeight w:val="237"/>
        </w:trPr>
        <w:tc>
          <w:tcPr>
            <w:tcW w:w="756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176</w:t>
            </w:r>
          </w:p>
        </w:tc>
      </w:tr>
      <w:tr>
        <w:trPr>
          <w:trHeight w:val="249"/>
        </w:trPr>
        <w:tc>
          <w:tcPr>
            <w:tcW w:w="7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Employee benefit obligations - Note K</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r>
      <w:tr>
        <w:trPr>
          <w:trHeight w:val="237"/>
        </w:trPr>
        <w:tc>
          <w:tcPr>
            <w:tcW w:w="7560" w:type="dxa"/>
            <w:vAlign w:val="bottom"/>
            <w:gridSpan w:val="3"/>
          </w:tcPr>
          <w:p>
            <w:pPr>
              <w:spacing w:after="0"/>
              <w:rPr>
                <w:sz w:val="20"/>
                <w:szCs w:val="20"/>
                <w:color w:val="auto"/>
              </w:rPr>
            </w:pPr>
            <w:r>
              <w:rPr>
                <w:rFonts w:ascii="Arial" w:cs="Arial" w:eastAsia="Arial" w:hAnsi="Arial"/>
                <w:sz w:val="18"/>
                <w:szCs w:val="18"/>
                <w:color w:val="auto"/>
              </w:rPr>
              <w:t>Operating lease obligations - Note I</w:t>
            </w:r>
          </w:p>
        </w:tc>
        <w:tc>
          <w:tcPr>
            <w:tcW w:w="2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94</w:t>
            </w:r>
          </w:p>
        </w:tc>
      </w:tr>
      <w:tr>
        <w:trPr>
          <w:trHeight w:val="249"/>
        </w:trPr>
        <w:tc>
          <w:tcPr>
            <w:tcW w:w="75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326</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325</w:t>
            </w:r>
          </w:p>
        </w:tc>
      </w:tr>
      <w:tr>
        <w:trPr>
          <w:trHeight w:val="230"/>
        </w:trPr>
        <w:tc>
          <w:tcPr>
            <w:tcW w:w="7560" w:type="dxa"/>
            <w:vAlign w:val="bottom"/>
            <w:gridSpan w:val="3"/>
          </w:tcPr>
          <w:p>
            <w:pPr>
              <w:ind w:left="180"/>
              <w:spacing w:after="0"/>
              <w:rPr>
                <w:sz w:val="20"/>
                <w:szCs w:val="20"/>
                <w:color w:val="auto"/>
              </w:rPr>
            </w:pPr>
            <w:r>
              <w:rPr>
                <w:rFonts w:ascii="Arial" w:cs="Arial" w:eastAsia="Arial" w:hAnsi="Arial"/>
                <w:sz w:val="18"/>
                <w:szCs w:val="18"/>
                <w:color w:val="auto"/>
              </w:rPr>
              <w:t>Total noncurrent liabilities</w:t>
            </w:r>
          </w:p>
        </w:tc>
        <w:tc>
          <w:tcPr>
            <w:tcW w:w="2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2,477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2,440</w:t>
            </w:r>
          </w:p>
        </w:tc>
      </w:tr>
      <w:tr>
        <w:trPr>
          <w:trHeight w:val="249"/>
        </w:trPr>
        <w:tc>
          <w:tcPr>
            <w:tcW w:w="7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Commitments and contingencies - Note L</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9"/>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 - Note N</w:t>
            </w:r>
          </w:p>
        </w:tc>
        <w:tc>
          <w:tcPr>
            <w:tcW w:w="20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3,318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3,220</w:t>
            </w:r>
          </w:p>
        </w:tc>
      </w:tr>
      <w:tr>
        <w:trPr>
          <w:trHeight w:val="247"/>
        </w:trPr>
        <w:tc>
          <w:tcPr>
            <w:tcW w:w="6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CFF0FC"/>
            </w:tcBorders>
            <w:shd w:val="clear" w:color="auto" w:fill="CFF0FC"/>
          </w:tcPr>
          <w:p>
            <w:pPr>
              <w:spacing w:after="0"/>
              <w:rPr>
                <w:sz w:val="21"/>
                <w:szCs w:val="21"/>
                <w:color w:val="auto"/>
              </w:rPr>
            </w:pPr>
          </w:p>
        </w:tc>
        <w:tc>
          <w:tcPr>
            <w:tcW w:w="5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spacing w:after="0"/>
              <w:rPr>
                <w:sz w:val="21"/>
                <w:szCs w:val="21"/>
                <w:color w:val="auto"/>
              </w:rPr>
            </w:pPr>
          </w:p>
        </w:tc>
      </w:tr>
      <w:tr>
        <w:trPr>
          <w:trHeight w:val="23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6,259</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6,213</w:t>
            </w:r>
          </w:p>
        </w:tc>
      </w:tr>
      <w:tr>
        <w:trPr>
          <w:trHeight w:val="20"/>
        </w:trPr>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6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5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-4679950</wp:posOffset>
            </wp:positionV>
            <wp:extent cx="12001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-3436620</wp:posOffset>
            </wp:positionV>
            <wp:extent cx="12001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-3110865</wp:posOffset>
            </wp:positionV>
            <wp:extent cx="12001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18034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-2159635</wp:posOffset>
            </wp:positionV>
            <wp:extent cx="12001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-916940</wp:posOffset>
            </wp:positionV>
            <wp:extent cx="12001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-290830</wp:posOffset>
            </wp:positionV>
            <wp:extent cx="120015"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291465"/>
                    </a:xfrm>
                    <a:prstGeom prst="rect">
                      <a:avLst/>
                    </a:prstGeom>
                    <a:noFill/>
                  </pic:spPr>
                </pic:pic>
              </a:graphicData>
            </a:graphic>
          </wp:anchor>
        </w:drawing>
      </w:r>
    </w:p>
    <w:p>
      <w:pPr>
        <w:spacing w:after="0" w:line="69"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Accounts receivable includes an allowance for credit losses of $4 million at both December 31, 2022 and September 30, 2022.</w:t>
      </w:r>
    </w:p>
    <w:p>
      <w:pPr>
        <w:spacing w:after="0" w:line="28" w:lineRule="exact"/>
        <w:rPr>
          <w:rFonts w:ascii="Arial" w:cs="Arial" w:eastAsia="Arial" w:hAnsi="Arial"/>
          <w:sz w:val="14"/>
          <w:szCs w:val="14"/>
          <w:color w:val="auto"/>
        </w:rPr>
      </w:pPr>
    </w:p>
    <w:p>
      <w:pPr>
        <w:ind w:left="380" w:hanging="372"/>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Asbestos insurance receivable includes an allowance for credit losses of $3 million at both December 31, 2022 and September 30, 2022.</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3" w:name="page4"/>
    <w:bookmarkEnd w:id="3"/>
    <w:p>
      <w:pPr>
        <w:ind w:right="4880"/>
        <w:spacing w:after="0" w:line="293" w:lineRule="auto"/>
        <w:rPr>
          <w:sz w:val="20"/>
          <w:szCs w:val="20"/>
          <w:color w:val="auto"/>
        </w:rPr>
      </w:pPr>
      <w:r>
        <w:rPr>
          <w:rFonts w:ascii="Arial" w:cs="Arial" w:eastAsia="Arial" w:hAnsi="Arial"/>
          <w:sz w:val="19"/>
          <w:szCs w:val="19"/>
          <w:b w:val="1"/>
          <w:bCs w:val="1"/>
          <w:color w:val="auto"/>
        </w:rPr>
        <w:t>ASHLAND INC. AND CONSOLIDATED SUBSIDIARIES STATEMENTS OF CONDENSED CONSOLIDATED CASH FLOWS</w:t>
      </w:r>
    </w:p>
    <w:p>
      <w:pPr>
        <w:spacing w:after="0" w:line="50"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7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color w:val="auto"/>
              </w:rPr>
              <w:t>Three months ended</w:t>
            </w:r>
          </w:p>
        </w:tc>
        <w:tc>
          <w:tcPr>
            <w:tcW w:w="960" w:type="dxa"/>
            <w:vAlign w:val="bottom"/>
            <w:tcBorders>
              <w:top w:val="single" w:sz="8" w:color="auto"/>
            </w:tcBorders>
          </w:tcPr>
          <w:p>
            <w:pPr>
              <w:spacing w:after="0"/>
              <w:rPr>
                <w:sz w:val="17"/>
                <w:szCs w:val="17"/>
                <w:color w:val="auto"/>
              </w:rPr>
            </w:pPr>
          </w:p>
        </w:tc>
      </w:tr>
      <w:tr>
        <w:trPr>
          <w:trHeight w:val="189"/>
        </w:trPr>
        <w:tc>
          <w:tcPr>
            <w:tcW w:w="7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64"/>
              <w:spacing w:after="0"/>
              <w:rPr>
                <w:sz w:val="20"/>
                <w:szCs w:val="20"/>
                <w:color w:val="auto"/>
              </w:rPr>
            </w:pPr>
            <w:r>
              <w:rPr>
                <w:rFonts w:ascii="Arial" w:cs="Arial" w:eastAsia="Arial" w:hAnsi="Arial"/>
                <w:sz w:val="15"/>
                <w:szCs w:val="15"/>
                <w:color w:val="auto"/>
              </w:rPr>
              <w:t>December 31</w:t>
            </w:r>
          </w:p>
        </w:tc>
        <w:tc>
          <w:tcPr>
            <w:tcW w:w="960" w:type="dxa"/>
            <w:vAlign w:val="bottom"/>
            <w:tcBorders>
              <w:bottom w:val="single" w:sz="8" w:color="auto"/>
            </w:tcBorders>
          </w:tcPr>
          <w:p>
            <w:pPr>
              <w:spacing w:after="0"/>
              <w:rPr>
                <w:sz w:val="16"/>
                <w:szCs w:val="16"/>
                <w:color w:val="auto"/>
              </w:rPr>
            </w:pPr>
          </w:p>
        </w:tc>
      </w:tr>
      <w:tr>
        <w:trPr>
          <w:trHeight w:val="183"/>
        </w:trPr>
        <w:tc>
          <w:tcPr>
            <w:tcW w:w="7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 millions - unaudited)</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color w:val="auto"/>
              </w:rPr>
              <w:t>2022</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w w:val="95"/>
              </w:rPr>
              <w:t>2021</w:t>
            </w:r>
          </w:p>
        </w:tc>
      </w:tr>
      <w:tr>
        <w:trPr>
          <w:trHeight w:val="152"/>
        </w:trPr>
        <w:tc>
          <w:tcPr>
            <w:tcW w:w="7300" w:type="dxa"/>
            <w:vAlign w:val="bottom"/>
            <w:shd w:val="clear" w:color="auto" w:fill="CFF0FC"/>
          </w:tcPr>
          <w:p>
            <w:pPr>
              <w:spacing w:after="0" w:line="152" w:lineRule="exact"/>
              <w:rPr>
                <w:sz w:val="20"/>
                <w:szCs w:val="20"/>
                <w:color w:val="auto"/>
              </w:rPr>
            </w:pPr>
            <w:r>
              <w:rPr>
                <w:rFonts w:ascii="Arial" w:cs="Arial" w:eastAsia="Arial" w:hAnsi="Arial"/>
                <w:sz w:val="15"/>
                <w:szCs w:val="15"/>
                <w:b w:val="1"/>
                <w:bCs w:val="1"/>
                <w:color w:val="auto"/>
              </w:rPr>
              <w:t>CASH FLOWS PROVIDED (USED) BY OPERATING ACTIVITIES FROM</w:t>
            </w: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r>
      <w:tr>
        <w:trPr>
          <w:trHeight w:val="193"/>
        </w:trPr>
        <w:tc>
          <w:tcPr>
            <w:tcW w:w="7300" w:type="dxa"/>
            <w:vAlign w:val="bottom"/>
            <w:shd w:val="clear" w:color="auto" w:fill="CFF0FC"/>
          </w:tcPr>
          <w:p>
            <w:pPr>
              <w:ind w:left="120"/>
              <w:spacing w:after="0"/>
              <w:rPr>
                <w:sz w:val="20"/>
                <w:szCs w:val="20"/>
                <w:color w:val="auto"/>
              </w:rPr>
            </w:pPr>
            <w:r>
              <w:rPr>
                <w:rFonts w:ascii="Arial" w:cs="Arial" w:eastAsia="Arial" w:hAnsi="Arial"/>
                <w:sz w:val="15"/>
                <w:szCs w:val="15"/>
                <w:b w:val="1"/>
                <w:bCs w:val="1"/>
                <w:color w:val="auto"/>
              </w:rPr>
              <w:t>CONTINUING OPERATIONS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189"/>
        </w:trPr>
        <w:tc>
          <w:tcPr>
            <w:tcW w:w="7300" w:type="dxa"/>
            <w:vAlign w:val="bottom"/>
          </w:tcPr>
          <w:p>
            <w:pPr>
              <w:ind w:left="180"/>
              <w:spacing w:after="0"/>
              <w:rPr>
                <w:sz w:val="20"/>
                <w:szCs w:val="20"/>
                <w:color w:val="auto"/>
              </w:rPr>
            </w:pPr>
            <w:r>
              <w:rPr>
                <w:rFonts w:ascii="Arial" w:cs="Arial" w:eastAsia="Arial" w:hAnsi="Arial"/>
                <w:sz w:val="15"/>
                <w:szCs w:val="15"/>
                <w:color w:val="auto"/>
              </w:rPr>
              <w:t>Net income</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40</w:t>
            </w:r>
          </w:p>
        </w:tc>
        <w:tc>
          <w:tcPr>
            <w:tcW w:w="660" w:type="dxa"/>
            <w:vAlign w:val="bottom"/>
            <w:gridSpan w:val="2"/>
          </w:tcPr>
          <w:p>
            <w:pPr>
              <w:jc w:val="right"/>
              <w:ind w:right="34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48</w:t>
            </w:r>
          </w:p>
        </w:tc>
      </w:tr>
      <w:tr>
        <w:trPr>
          <w:trHeight w:val="189"/>
        </w:trPr>
        <w:tc>
          <w:tcPr>
            <w:tcW w:w="73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Loss (Income) from discontinued operations (net of income taxes)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2</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(16 )</w:t>
            </w:r>
          </w:p>
        </w:tc>
      </w:tr>
      <w:tr>
        <w:trPr>
          <w:trHeight w:val="189"/>
        </w:trPr>
        <w:tc>
          <w:tcPr>
            <w:tcW w:w="7300" w:type="dxa"/>
            <w:vAlign w:val="bottom"/>
          </w:tcPr>
          <w:p>
            <w:pPr>
              <w:ind w:left="180"/>
              <w:spacing w:after="0"/>
              <w:rPr>
                <w:sz w:val="20"/>
                <w:szCs w:val="20"/>
                <w:color w:val="auto"/>
              </w:rPr>
            </w:pPr>
            <w:r>
              <w:rPr>
                <w:rFonts w:ascii="Arial" w:cs="Arial" w:eastAsia="Arial" w:hAnsi="Arial"/>
                <w:sz w:val="15"/>
                <w:szCs w:val="15"/>
                <w:color w:val="auto"/>
              </w:rPr>
              <w:t>Adjustments to reconcile income from continuing operations to</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73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flows from operating activities: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189"/>
        </w:trPr>
        <w:tc>
          <w:tcPr>
            <w:tcW w:w="7300" w:type="dxa"/>
            <w:vAlign w:val="bottom"/>
          </w:tcPr>
          <w:p>
            <w:pPr>
              <w:ind w:left="36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6"/>
                <w:szCs w:val="16"/>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59</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60</w:t>
            </w:r>
          </w:p>
        </w:tc>
      </w:tr>
      <w:tr>
        <w:trPr>
          <w:trHeight w:val="189"/>
        </w:trPr>
        <w:tc>
          <w:tcPr>
            <w:tcW w:w="7300" w:type="dxa"/>
            <w:vAlign w:val="bottom"/>
            <w:shd w:val="clear" w:color="auto" w:fill="CFF0FC"/>
          </w:tcPr>
          <w:p>
            <w:pPr>
              <w:ind w:left="360"/>
              <w:spacing w:after="0"/>
              <w:rPr>
                <w:sz w:val="20"/>
                <w:szCs w:val="20"/>
                <w:color w:val="auto"/>
              </w:rPr>
            </w:pPr>
            <w:r>
              <w:rPr>
                <w:rFonts w:ascii="Arial" w:cs="Arial" w:eastAsia="Arial" w:hAnsi="Arial"/>
                <w:sz w:val="15"/>
                <w:szCs w:val="15"/>
                <w:color w:val="auto"/>
              </w:rPr>
              <w:t>Original issue discount and debt issuance costs amortization</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1</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1</w:t>
            </w:r>
          </w:p>
        </w:tc>
      </w:tr>
      <w:tr>
        <w:trPr>
          <w:trHeight w:val="189"/>
        </w:trPr>
        <w:tc>
          <w:tcPr>
            <w:tcW w:w="7300" w:type="dxa"/>
            <w:vAlign w:val="bottom"/>
          </w:tcPr>
          <w:p>
            <w:pPr>
              <w:ind w:left="360"/>
              <w:spacing w:after="0"/>
              <w:rPr>
                <w:sz w:val="20"/>
                <w:szCs w:val="20"/>
                <w:color w:val="auto"/>
              </w:rPr>
            </w:pPr>
            <w:r>
              <w:rPr>
                <w:rFonts w:ascii="Arial" w:cs="Arial" w:eastAsia="Arial" w:hAnsi="Arial"/>
                <w:sz w:val="15"/>
                <w:szCs w:val="15"/>
                <w:color w:val="auto"/>
              </w:rPr>
              <w:t>Deferred income taxes</w:t>
            </w:r>
          </w:p>
        </w:tc>
        <w:tc>
          <w:tcPr>
            <w:tcW w:w="320" w:type="dxa"/>
            <w:vAlign w:val="bottom"/>
          </w:tcPr>
          <w:p>
            <w:pPr>
              <w:spacing w:after="0"/>
              <w:rPr>
                <w:sz w:val="16"/>
                <w:szCs w:val="16"/>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7</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3</w:t>
            </w:r>
          </w:p>
        </w:tc>
      </w:tr>
      <w:tr>
        <w:trPr>
          <w:trHeight w:val="189"/>
        </w:trPr>
        <w:tc>
          <w:tcPr>
            <w:tcW w:w="7300" w:type="dxa"/>
            <w:vAlign w:val="bottom"/>
            <w:shd w:val="clear" w:color="auto" w:fill="CFF0FC"/>
          </w:tcPr>
          <w:p>
            <w:pPr>
              <w:ind w:left="360"/>
              <w:spacing w:after="0"/>
              <w:rPr>
                <w:sz w:val="20"/>
                <w:szCs w:val="20"/>
                <w:color w:val="auto"/>
              </w:rPr>
            </w:pPr>
            <w:r>
              <w:rPr>
                <w:rFonts w:ascii="Arial" w:cs="Arial" w:eastAsia="Arial" w:hAnsi="Arial"/>
                <w:sz w:val="15"/>
                <w:szCs w:val="15"/>
                <w:color w:val="auto"/>
              </w:rPr>
              <w:t>Stock based compensation expense</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7</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4</w:t>
            </w:r>
          </w:p>
        </w:tc>
      </w:tr>
      <w:tr>
        <w:trPr>
          <w:trHeight w:val="189"/>
        </w:trPr>
        <w:tc>
          <w:tcPr>
            <w:tcW w:w="7300" w:type="dxa"/>
            <w:vAlign w:val="bottom"/>
          </w:tcPr>
          <w:p>
            <w:pPr>
              <w:ind w:left="360"/>
              <w:spacing w:after="0"/>
              <w:rPr>
                <w:sz w:val="20"/>
                <w:szCs w:val="20"/>
                <w:color w:val="auto"/>
              </w:rPr>
            </w:pPr>
            <w:r>
              <w:rPr>
                <w:rFonts w:ascii="Arial" w:cs="Arial" w:eastAsia="Arial" w:hAnsi="Arial"/>
                <w:sz w:val="15"/>
                <w:szCs w:val="15"/>
                <w:color w:val="auto"/>
              </w:rPr>
              <w:t>Excess tax benefit on stock based compensation</w:t>
            </w:r>
          </w:p>
        </w:tc>
        <w:tc>
          <w:tcPr>
            <w:tcW w:w="320" w:type="dxa"/>
            <w:vAlign w:val="bottom"/>
          </w:tcPr>
          <w:p>
            <w:pPr>
              <w:spacing w:after="0"/>
              <w:rPr>
                <w:sz w:val="16"/>
                <w:szCs w:val="16"/>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89"/>
        </w:trPr>
        <w:tc>
          <w:tcPr>
            <w:tcW w:w="7300" w:type="dxa"/>
            <w:vAlign w:val="bottom"/>
            <w:shd w:val="clear" w:color="auto" w:fill="CFF0FC"/>
          </w:tcPr>
          <w:p>
            <w:pPr>
              <w:ind w:left="360"/>
              <w:spacing w:after="0"/>
              <w:rPr>
                <w:sz w:val="20"/>
                <w:szCs w:val="20"/>
                <w:color w:val="auto"/>
              </w:rPr>
            </w:pPr>
            <w:r>
              <w:rPr>
                <w:rFonts w:ascii="Arial" w:cs="Arial" w:eastAsia="Arial" w:hAnsi="Arial"/>
                <w:sz w:val="15"/>
                <w:szCs w:val="15"/>
                <w:color w:val="auto"/>
              </w:rPr>
              <w:t>Income from restricted investments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(26 )</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(13 )</w:t>
            </w:r>
          </w:p>
        </w:tc>
      </w:tr>
      <w:tr>
        <w:trPr>
          <w:trHeight w:val="189"/>
        </w:trPr>
        <w:tc>
          <w:tcPr>
            <w:tcW w:w="7300" w:type="dxa"/>
            <w:vAlign w:val="bottom"/>
          </w:tcPr>
          <w:p>
            <w:pPr>
              <w:ind w:left="360"/>
              <w:spacing w:after="0"/>
              <w:rPr>
                <w:sz w:val="20"/>
                <w:szCs w:val="20"/>
                <w:color w:val="auto"/>
              </w:rPr>
            </w:pPr>
            <w:r>
              <w:rPr>
                <w:rFonts w:ascii="Arial" w:cs="Arial" w:eastAsia="Arial" w:hAnsi="Arial"/>
                <w:sz w:val="15"/>
                <w:szCs w:val="15"/>
                <w:color w:val="auto"/>
              </w:rPr>
              <w:t>Asset impairments</w:t>
            </w:r>
          </w:p>
        </w:tc>
        <w:tc>
          <w:tcPr>
            <w:tcW w:w="320" w:type="dxa"/>
            <w:vAlign w:val="bottom"/>
          </w:tcPr>
          <w:p>
            <w:pPr>
              <w:spacing w:after="0"/>
              <w:rPr>
                <w:sz w:val="16"/>
                <w:szCs w:val="16"/>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89"/>
        </w:trPr>
        <w:tc>
          <w:tcPr>
            <w:tcW w:w="7300" w:type="dxa"/>
            <w:vAlign w:val="bottom"/>
            <w:shd w:val="clear" w:color="auto" w:fill="CFF0FC"/>
          </w:tcPr>
          <w:p>
            <w:pPr>
              <w:ind w:left="360"/>
              <w:spacing w:after="0"/>
              <w:rPr>
                <w:sz w:val="20"/>
                <w:szCs w:val="20"/>
                <w:color w:val="auto"/>
              </w:rPr>
            </w:pPr>
            <w:r>
              <w:rPr>
                <w:rFonts w:ascii="Arial" w:cs="Arial" w:eastAsia="Arial" w:hAnsi="Arial"/>
                <w:sz w:val="15"/>
                <w:szCs w:val="15"/>
                <w:color w:val="auto"/>
              </w:rPr>
              <w:t>Pension contributions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(1 )</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(1 )</w:t>
            </w:r>
          </w:p>
        </w:tc>
      </w:tr>
      <w:tr>
        <w:trPr>
          <w:trHeight w:val="189"/>
        </w:trPr>
        <w:tc>
          <w:tcPr>
            <w:tcW w:w="7300" w:type="dxa"/>
            <w:vAlign w:val="bottom"/>
          </w:tcPr>
          <w:p>
            <w:pPr>
              <w:ind w:left="360"/>
              <w:spacing w:after="0"/>
              <w:rPr>
                <w:sz w:val="20"/>
                <w:szCs w:val="20"/>
                <w:color w:val="auto"/>
              </w:rPr>
            </w:pPr>
            <w:r>
              <w:rPr>
                <w:rFonts w:ascii="Arial" w:cs="Arial" w:eastAsia="Arial" w:hAnsi="Arial"/>
                <w:sz w:val="15"/>
                <w:szCs w:val="15"/>
                <w:color w:val="auto"/>
              </w:rPr>
              <w:t>Change in operating assets and liabilities (a)</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(123 )</w:t>
            </w: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(72 )</w:t>
            </w:r>
          </w:p>
        </w:tc>
      </w:tr>
      <w:tr>
        <w:trPr>
          <w:trHeight w:val="183"/>
        </w:trPr>
        <w:tc>
          <w:tcPr>
            <w:tcW w:w="73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Total cash flows provided (used) by operating activities from continuing operations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(29 )</w:t>
            </w: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14</w:t>
            </w:r>
          </w:p>
        </w:tc>
      </w:tr>
      <w:tr>
        <w:trPr>
          <w:trHeight w:val="158"/>
        </w:trPr>
        <w:tc>
          <w:tcPr>
            <w:tcW w:w="7300" w:type="dxa"/>
            <w:vAlign w:val="bottom"/>
          </w:tcPr>
          <w:p>
            <w:pPr>
              <w:spacing w:after="0" w:line="159" w:lineRule="exact"/>
              <w:rPr>
                <w:sz w:val="20"/>
                <w:szCs w:val="20"/>
                <w:color w:val="auto"/>
              </w:rPr>
            </w:pPr>
            <w:r>
              <w:rPr>
                <w:rFonts w:ascii="Arial" w:cs="Arial" w:eastAsia="Arial" w:hAnsi="Arial"/>
                <w:sz w:val="15"/>
                <w:szCs w:val="15"/>
                <w:b w:val="1"/>
                <w:bCs w:val="1"/>
                <w:color w:val="auto"/>
              </w:rPr>
              <w:t>CASH FLOWS PROVIDED (USED) BY INVESTING ACTIVITIES FROM</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3"/>
        </w:trPr>
        <w:tc>
          <w:tcPr>
            <w:tcW w:w="7300" w:type="dxa"/>
            <w:vAlign w:val="bottom"/>
          </w:tcPr>
          <w:p>
            <w:pPr>
              <w:ind w:left="120"/>
              <w:spacing w:after="0"/>
              <w:rPr>
                <w:sz w:val="20"/>
                <w:szCs w:val="20"/>
                <w:color w:val="auto"/>
              </w:rPr>
            </w:pPr>
            <w:r>
              <w:rPr>
                <w:rFonts w:ascii="Arial" w:cs="Arial" w:eastAsia="Arial" w:hAnsi="Arial"/>
                <w:sz w:val="15"/>
                <w:szCs w:val="15"/>
                <w:b w:val="1"/>
                <w:bCs w:val="1"/>
                <w:color w:val="auto"/>
              </w:rPr>
              <w:t>CONTINUING OPERATIONS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73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Additions to property, plant and equipment</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(23 )</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(15 )</w:t>
            </w:r>
          </w:p>
        </w:tc>
      </w:tr>
      <w:tr>
        <w:trPr>
          <w:trHeight w:val="189"/>
        </w:trPr>
        <w:tc>
          <w:tcPr>
            <w:tcW w:w="7300" w:type="dxa"/>
            <w:vAlign w:val="bottom"/>
          </w:tcPr>
          <w:p>
            <w:pPr>
              <w:ind w:left="180"/>
              <w:spacing w:after="0"/>
              <w:rPr>
                <w:sz w:val="20"/>
                <w:szCs w:val="20"/>
                <w:color w:val="auto"/>
              </w:rPr>
            </w:pPr>
            <w:r>
              <w:rPr>
                <w:rFonts w:ascii="Arial" w:cs="Arial" w:eastAsia="Arial" w:hAnsi="Arial"/>
                <w:sz w:val="15"/>
                <w:szCs w:val="15"/>
                <w:color w:val="auto"/>
              </w:rPr>
              <w:t>Proceeds from disposal of property, plant and equipment</w:t>
            </w:r>
          </w:p>
        </w:tc>
        <w:tc>
          <w:tcPr>
            <w:tcW w:w="320" w:type="dxa"/>
            <w:vAlign w:val="bottom"/>
          </w:tcPr>
          <w:p>
            <w:pPr>
              <w:spacing w:after="0"/>
              <w:rPr>
                <w:sz w:val="16"/>
                <w:szCs w:val="16"/>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w:t>
            </w:r>
          </w:p>
        </w:tc>
      </w:tr>
      <w:tr>
        <w:trPr>
          <w:trHeight w:val="189"/>
        </w:trPr>
        <w:tc>
          <w:tcPr>
            <w:tcW w:w="73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Proceeds from settlement of company-owned life insurance contracts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2</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w:t>
            </w:r>
          </w:p>
        </w:tc>
      </w:tr>
      <w:tr>
        <w:trPr>
          <w:trHeight w:val="189"/>
        </w:trPr>
        <w:tc>
          <w:tcPr>
            <w:tcW w:w="7300" w:type="dxa"/>
            <w:vAlign w:val="bottom"/>
          </w:tcPr>
          <w:p>
            <w:pPr>
              <w:ind w:left="180"/>
              <w:spacing w:after="0"/>
              <w:rPr>
                <w:sz w:val="20"/>
                <w:szCs w:val="20"/>
                <w:color w:val="auto"/>
              </w:rPr>
            </w:pPr>
            <w:r>
              <w:rPr>
                <w:rFonts w:ascii="Arial" w:cs="Arial" w:eastAsia="Arial" w:hAnsi="Arial"/>
                <w:sz w:val="15"/>
                <w:szCs w:val="15"/>
                <w:color w:val="auto"/>
              </w:rPr>
              <w:t>Company-owned life insurance payments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(1 )</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89"/>
        </w:trPr>
        <w:tc>
          <w:tcPr>
            <w:tcW w:w="73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Funds restricted for specific transactions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(5 )</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w:t>
            </w:r>
          </w:p>
        </w:tc>
      </w:tr>
      <w:tr>
        <w:trPr>
          <w:trHeight w:val="189"/>
        </w:trPr>
        <w:tc>
          <w:tcPr>
            <w:tcW w:w="7300" w:type="dxa"/>
            <w:vAlign w:val="bottom"/>
          </w:tcPr>
          <w:p>
            <w:pPr>
              <w:ind w:left="180"/>
              <w:spacing w:after="0"/>
              <w:rPr>
                <w:sz w:val="20"/>
                <w:szCs w:val="20"/>
                <w:color w:val="auto"/>
              </w:rPr>
            </w:pPr>
            <w:r>
              <w:rPr>
                <w:rFonts w:ascii="Arial" w:cs="Arial" w:eastAsia="Arial" w:hAnsi="Arial"/>
                <w:sz w:val="15"/>
                <w:szCs w:val="15"/>
                <w:color w:val="auto"/>
              </w:rPr>
              <w:t>Reimbursements from restricted investments</w:t>
            </w:r>
          </w:p>
        </w:tc>
        <w:tc>
          <w:tcPr>
            <w:tcW w:w="320" w:type="dxa"/>
            <w:vAlign w:val="bottom"/>
          </w:tcPr>
          <w:p>
            <w:pPr>
              <w:spacing w:after="0"/>
              <w:rPr>
                <w:sz w:val="16"/>
                <w:szCs w:val="16"/>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7</w:t>
            </w:r>
          </w:p>
        </w:tc>
      </w:tr>
      <w:tr>
        <w:trPr>
          <w:trHeight w:val="189"/>
        </w:trPr>
        <w:tc>
          <w:tcPr>
            <w:tcW w:w="73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Proceeds from sale of securities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4</w:t>
            </w:r>
          </w:p>
        </w:tc>
      </w:tr>
      <w:tr>
        <w:trPr>
          <w:trHeight w:val="189"/>
        </w:trPr>
        <w:tc>
          <w:tcPr>
            <w:tcW w:w="7300" w:type="dxa"/>
            <w:vAlign w:val="bottom"/>
          </w:tcPr>
          <w:p>
            <w:pPr>
              <w:ind w:left="180"/>
              <w:spacing w:after="0"/>
              <w:rPr>
                <w:sz w:val="20"/>
                <w:szCs w:val="20"/>
                <w:color w:val="auto"/>
              </w:rPr>
            </w:pPr>
            <w:r>
              <w:rPr>
                <w:rFonts w:ascii="Arial" w:cs="Arial" w:eastAsia="Arial" w:hAnsi="Arial"/>
                <w:sz w:val="15"/>
                <w:szCs w:val="15"/>
                <w:color w:val="auto"/>
              </w:rPr>
              <w:t>Purchases of securities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(4 )</w:t>
            </w:r>
          </w:p>
        </w:tc>
      </w:tr>
      <w:tr>
        <w:trPr>
          <w:trHeight w:val="183"/>
        </w:trPr>
        <w:tc>
          <w:tcPr>
            <w:tcW w:w="73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Total cash flows used by investing activities from continuing operations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(27 )</w:t>
            </w: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(7 )</w:t>
            </w:r>
          </w:p>
        </w:tc>
      </w:tr>
      <w:tr>
        <w:trPr>
          <w:trHeight w:val="158"/>
        </w:trPr>
        <w:tc>
          <w:tcPr>
            <w:tcW w:w="7300" w:type="dxa"/>
            <w:vAlign w:val="bottom"/>
          </w:tcPr>
          <w:p>
            <w:pPr>
              <w:spacing w:after="0" w:line="159" w:lineRule="exact"/>
              <w:rPr>
                <w:sz w:val="20"/>
                <w:szCs w:val="20"/>
                <w:color w:val="auto"/>
              </w:rPr>
            </w:pPr>
            <w:r>
              <w:rPr>
                <w:rFonts w:ascii="Arial" w:cs="Arial" w:eastAsia="Arial" w:hAnsi="Arial"/>
                <w:sz w:val="15"/>
                <w:szCs w:val="15"/>
                <w:b w:val="1"/>
                <w:bCs w:val="1"/>
                <w:color w:val="auto"/>
              </w:rPr>
              <w:t>CASH FLOWS PROVIDED (USED) BY FINANCING ACTIVITIES FROM</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3"/>
        </w:trPr>
        <w:tc>
          <w:tcPr>
            <w:tcW w:w="7300" w:type="dxa"/>
            <w:vAlign w:val="bottom"/>
          </w:tcPr>
          <w:p>
            <w:pPr>
              <w:ind w:left="120"/>
              <w:spacing w:after="0"/>
              <w:rPr>
                <w:sz w:val="20"/>
                <w:szCs w:val="20"/>
                <w:color w:val="auto"/>
              </w:rPr>
            </w:pPr>
            <w:r>
              <w:rPr>
                <w:rFonts w:ascii="Arial" w:cs="Arial" w:eastAsia="Arial" w:hAnsi="Arial"/>
                <w:sz w:val="15"/>
                <w:szCs w:val="15"/>
                <w:b w:val="1"/>
                <w:bCs w:val="1"/>
                <w:color w:val="auto"/>
              </w:rPr>
              <w:t>CONTINUING OPERATIONS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73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Proceeds from short-term debt</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rPr>
              <w:t>11</w:t>
            </w:r>
          </w:p>
        </w:tc>
      </w:tr>
      <w:tr>
        <w:trPr>
          <w:trHeight w:val="189"/>
        </w:trPr>
        <w:tc>
          <w:tcPr>
            <w:tcW w:w="7300" w:type="dxa"/>
            <w:vAlign w:val="bottom"/>
          </w:tcPr>
          <w:p>
            <w:pPr>
              <w:ind w:left="180"/>
              <w:spacing w:after="0"/>
              <w:rPr>
                <w:sz w:val="20"/>
                <w:szCs w:val="20"/>
                <w:color w:val="auto"/>
              </w:rPr>
            </w:pPr>
            <w:r>
              <w:rPr>
                <w:rFonts w:ascii="Arial" w:cs="Arial" w:eastAsia="Arial" w:hAnsi="Arial"/>
                <w:sz w:val="15"/>
                <w:szCs w:val="15"/>
                <w:color w:val="auto"/>
              </w:rPr>
              <w:t>Cash dividends paid</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(18 )</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(17 )</w:t>
            </w:r>
          </w:p>
        </w:tc>
      </w:tr>
      <w:tr>
        <w:trPr>
          <w:trHeight w:val="189"/>
        </w:trPr>
        <w:tc>
          <w:tcPr>
            <w:tcW w:w="73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5"/>
                <w:szCs w:val="15"/>
                <w:color w:val="auto"/>
              </w:rPr>
              <w:t>Stock based compensation employee withholding taxes paid in cash</w:t>
            </w:r>
          </w:p>
        </w:tc>
        <w:tc>
          <w:tcPr>
            <w:tcW w:w="3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(9 )</w:t>
            </w:r>
          </w:p>
        </w:tc>
        <w:tc>
          <w:tcPr>
            <w:tcW w:w="1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(5 )</w:t>
            </w:r>
          </w:p>
        </w:tc>
      </w:tr>
      <w:tr>
        <w:trPr>
          <w:trHeight w:val="183"/>
        </w:trPr>
        <w:tc>
          <w:tcPr>
            <w:tcW w:w="7300" w:type="dxa"/>
            <w:vAlign w:val="bottom"/>
          </w:tcPr>
          <w:p>
            <w:pPr>
              <w:ind w:left="180"/>
              <w:spacing w:after="0"/>
              <w:rPr>
                <w:sz w:val="20"/>
                <w:szCs w:val="20"/>
                <w:color w:val="auto"/>
              </w:rPr>
            </w:pPr>
            <w:r>
              <w:rPr>
                <w:rFonts w:ascii="Arial" w:cs="Arial" w:eastAsia="Arial" w:hAnsi="Arial"/>
                <w:sz w:val="15"/>
                <w:szCs w:val="15"/>
                <w:color w:val="auto"/>
              </w:rPr>
              <w:t>Total cash flows used by financing activities from continuing operations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(27 )</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(11 )</w:t>
            </w:r>
          </w:p>
        </w:tc>
      </w:tr>
      <w:tr>
        <w:trPr>
          <w:trHeight w:val="183"/>
        </w:trPr>
        <w:tc>
          <w:tcPr>
            <w:tcW w:w="73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USED BY CONTINUING OPERATIONS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(83 )</w:t>
            </w: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(4 )</w:t>
            </w:r>
          </w:p>
        </w:tc>
      </w:tr>
      <w:tr>
        <w:trPr>
          <w:trHeight w:val="189"/>
        </w:trPr>
        <w:tc>
          <w:tcPr>
            <w:tcW w:w="7300" w:type="dxa"/>
            <w:vAlign w:val="bottom"/>
          </w:tcPr>
          <w:p>
            <w:pPr>
              <w:ind w:left="180"/>
              <w:spacing w:after="0"/>
              <w:rPr>
                <w:sz w:val="20"/>
                <w:szCs w:val="20"/>
                <w:color w:val="auto"/>
              </w:rPr>
            </w:pPr>
            <w:r>
              <w:rPr>
                <w:rFonts w:ascii="Arial" w:cs="Arial" w:eastAsia="Arial" w:hAnsi="Arial"/>
                <w:sz w:val="15"/>
                <w:szCs w:val="15"/>
                <w:color w:val="auto"/>
              </w:rPr>
              <w:t>Cash provided (used) by discontinued operations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7300" w:type="dxa"/>
            <w:vAlign w:val="bottom"/>
            <w:shd w:val="clear" w:color="auto" w:fill="CFF0FC"/>
          </w:tcPr>
          <w:p>
            <w:pPr>
              <w:ind w:left="360"/>
              <w:spacing w:after="0"/>
              <w:rPr>
                <w:sz w:val="20"/>
                <w:szCs w:val="20"/>
                <w:color w:val="auto"/>
              </w:rPr>
            </w:pPr>
            <w:r>
              <w:rPr>
                <w:rFonts w:ascii="Arial" w:cs="Arial" w:eastAsia="Arial" w:hAnsi="Arial"/>
                <w:sz w:val="15"/>
                <w:szCs w:val="15"/>
                <w:color w:val="auto"/>
              </w:rPr>
              <w:t>Operating cash flows</w:t>
            </w: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(34 )</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(8 )</w:t>
            </w:r>
          </w:p>
        </w:tc>
      </w:tr>
      <w:tr>
        <w:trPr>
          <w:trHeight w:val="189"/>
        </w:trPr>
        <w:tc>
          <w:tcPr>
            <w:tcW w:w="7300" w:type="dxa"/>
            <w:vAlign w:val="bottom"/>
          </w:tcPr>
          <w:p>
            <w:pPr>
              <w:ind w:left="360"/>
              <w:spacing w:after="0"/>
              <w:rPr>
                <w:sz w:val="20"/>
                <w:szCs w:val="20"/>
                <w:color w:val="auto"/>
              </w:rPr>
            </w:pPr>
            <w:r>
              <w:rPr>
                <w:rFonts w:ascii="Arial" w:cs="Arial" w:eastAsia="Arial" w:hAnsi="Arial"/>
                <w:sz w:val="15"/>
                <w:szCs w:val="15"/>
                <w:color w:val="auto"/>
              </w:rPr>
              <w:t>Investing cash flows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(1 )</w:t>
            </w:r>
          </w:p>
        </w:tc>
      </w:tr>
      <w:tr>
        <w:trPr>
          <w:trHeight w:val="183"/>
        </w:trPr>
        <w:tc>
          <w:tcPr>
            <w:tcW w:w="7300" w:type="dxa"/>
            <w:vAlign w:val="bottom"/>
            <w:shd w:val="clear" w:color="auto" w:fill="CFF0FC"/>
          </w:tcPr>
          <w:p>
            <w:pPr>
              <w:ind w:left="180"/>
              <w:spacing w:after="0"/>
              <w:rPr>
                <w:sz w:val="20"/>
                <w:szCs w:val="20"/>
                <w:color w:val="auto"/>
              </w:rPr>
            </w:pPr>
            <w:r>
              <w:rPr>
                <w:rFonts w:ascii="Arial" w:cs="Arial" w:eastAsia="Arial" w:hAnsi="Arial"/>
                <w:sz w:val="15"/>
                <w:szCs w:val="15"/>
                <w:color w:val="auto"/>
              </w:rPr>
              <w:t>Total cash provided by discontinued operations</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(34 )</w:t>
            </w: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(9 )</w:t>
            </w:r>
          </w:p>
        </w:tc>
      </w:tr>
      <w:tr>
        <w:trPr>
          <w:trHeight w:val="189"/>
        </w:trPr>
        <w:tc>
          <w:tcPr>
            <w:tcW w:w="7300" w:type="dxa"/>
            <w:vAlign w:val="bottom"/>
          </w:tcPr>
          <w:p>
            <w:pPr>
              <w:ind w:left="180"/>
              <w:spacing w:after="0"/>
              <w:rPr>
                <w:sz w:val="20"/>
                <w:szCs w:val="20"/>
                <w:color w:val="auto"/>
              </w:rPr>
            </w:pPr>
            <w:r>
              <w:rPr>
                <w:rFonts w:ascii="Arial" w:cs="Arial" w:eastAsia="Arial" w:hAnsi="Arial"/>
                <w:sz w:val="15"/>
                <w:szCs w:val="15"/>
                <w:color w:val="auto"/>
              </w:rPr>
              <w:t>Effect of currency exchange rate changes on cash and cash equivalents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w:t>
            </w: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(3 )</w:t>
            </w:r>
          </w:p>
        </w:tc>
      </w:tr>
      <w:tr>
        <w:trPr>
          <w:trHeight w:val="183"/>
        </w:trPr>
        <w:tc>
          <w:tcPr>
            <w:tcW w:w="7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DECREASE IN CASH AND CASH EQUIVALENTS</w:t>
            </w:r>
          </w:p>
        </w:tc>
        <w:tc>
          <w:tcPr>
            <w:tcW w:w="3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(114 )</w:t>
            </w:r>
          </w:p>
        </w:tc>
        <w:tc>
          <w:tcPr>
            <w:tcW w:w="16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(16 )</w:t>
            </w:r>
          </w:p>
        </w:tc>
      </w:tr>
      <w:tr>
        <w:trPr>
          <w:trHeight w:val="183"/>
        </w:trPr>
        <w:tc>
          <w:tcPr>
            <w:tcW w:w="7300" w:type="dxa"/>
            <w:vAlign w:val="bottom"/>
          </w:tcPr>
          <w:p>
            <w:pPr>
              <w:spacing w:after="0"/>
              <w:rPr>
                <w:sz w:val="20"/>
                <w:szCs w:val="20"/>
                <w:color w:val="auto"/>
              </w:rPr>
            </w:pPr>
            <w:r>
              <w:rPr>
                <w:rFonts w:ascii="Arial" w:cs="Arial" w:eastAsia="Arial" w:hAnsi="Arial"/>
                <w:sz w:val="15"/>
                <w:szCs w:val="15"/>
                <w:b w:val="1"/>
                <w:bCs w:val="1"/>
                <w:color w:val="auto"/>
              </w:rPr>
              <w:t>CASH AND CASH EQUIVALENTS - BEGINNING OF PERIOD</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646</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210</w:t>
            </w:r>
          </w:p>
        </w:tc>
      </w:tr>
      <w:tr>
        <w:trPr>
          <w:trHeight w:val="223"/>
        </w:trPr>
        <w:tc>
          <w:tcPr>
            <w:tcW w:w="7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CASH AND CASH EQUIVALENTS - END OF PERIOD</w:t>
            </w:r>
          </w:p>
        </w:tc>
        <w:tc>
          <w:tcPr>
            <w:tcW w:w="32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rPr>
              <w:t>532</w:t>
            </w: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rPr>
              <w:t>194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-1276350</wp:posOffset>
            </wp:positionV>
            <wp:extent cx="10287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-281940</wp:posOffset>
            </wp:positionV>
            <wp:extent cx="10287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-24765</wp:posOffset>
            </wp:positionV>
            <wp:extent cx="662622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26225" cy="179705"/>
                    </a:xfrm>
                    <a:prstGeom prst="rect">
                      <a:avLst/>
                    </a:prstGeom>
                    <a:noFill/>
                  </pic:spPr>
                </pic:pic>
              </a:graphicData>
            </a:graphic>
          </wp:anchor>
        </w:drawing>
      </w:r>
    </w:p>
    <w:p>
      <w:pPr>
        <w:spacing w:after="0" w:line="312"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Excludes changes resulting from operations acquired, sold or held for sale.</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1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33" w:right="7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 –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ind w:left="380"/>
        <w:spacing w:after="0" w:line="257"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These statements omit certain information and footnote disclosures required for complete annual financial statements and, therefore, should be read in conjunction with the Ashland Inc. and consolidated subsidiaries (Ashland) Annual Report on Form 10-K for the fiscal year ended September 30, 2022. Results of operations for the period ended December 31, 2022 are not necessarily indicative of the expected results for the remaining quarters in the fiscal year.</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Ashland is comprised of the following reportable segments: Life Sciences, Personal Care, Specialty Additives and Intermediates.</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Unallocated and Other includes corporate governance activities and certain legacy matters. For additional information, see Note Q.</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Use of estimates, risks and uncertainties</w:t>
      </w:r>
    </w:p>
    <w:p>
      <w:pPr>
        <w:spacing w:after="0" w:line="114" w:lineRule="exact"/>
        <w:rPr>
          <w:sz w:val="20"/>
          <w:szCs w:val="20"/>
          <w:color w:val="auto"/>
        </w:rPr>
      </w:pPr>
    </w:p>
    <w:p>
      <w:pPr>
        <w:jc w:val="both"/>
        <w:ind w:left="380"/>
        <w:spacing w:after="0" w:line="316" w:lineRule="auto"/>
        <w:rPr>
          <w:sz w:val="20"/>
          <w:szCs w:val="20"/>
          <w:color w:val="auto"/>
        </w:rPr>
      </w:pPr>
      <w:r>
        <w:rPr>
          <w:rFonts w:ascii="Arial" w:cs="Arial" w:eastAsia="Arial" w:hAnsi="Arial"/>
          <w:sz w:val="16"/>
          <w:szCs w:val="16"/>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environmental remediation, asbestos litigation, the accounting for goodwill and other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32" w:lineRule="exact"/>
        <w:rPr>
          <w:sz w:val="20"/>
          <w:szCs w:val="20"/>
          <w:color w:val="auto"/>
        </w:rPr>
      </w:pPr>
    </w:p>
    <w:p>
      <w:pPr>
        <w:jc w:val="both"/>
        <w:ind w:left="380"/>
        <w:spacing w:after="0" w:line="278" w:lineRule="auto"/>
        <w:rPr>
          <w:sz w:val="20"/>
          <w:szCs w:val="20"/>
          <w:color w:val="auto"/>
        </w:rPr>
      </w:pPr>
      <w:r>
        <w:rPr>
          <w:rFonts w:ascii="Arial" w:cs="Arial" w:eastAsia="Arial" w:hAnsi="Arial"/>
          <w:sz w:val="18"/>
          <w:szCs w:val="18"/>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5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New accounting pronouncements</w:t>
      </w:r>
    </w:p>
    <w:p>
      <w:pPr>
        <w:spacing w:after="0" w:line="114"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2022. There were no new standards that were either issued or adopted in the current fiscal year that will have a material impact on Ashland's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60" w:right="71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NOTE B – DIVESTITURES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Performance Adhesives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February 28, 2022, Ashland completed the sale of its Performance Adhesives business to Arkema, a French société anonyme.</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Proceeds from the sale were approximately $1.7 billion, net of transaction costs.</w:t>
      </w:r>
    </w:p>
    <w:p>
      <w:pPr>
        <w:spacing w:after="0" w:line="92" w:lineRule="exact"/>
        <w:rPr>
          <w:sz w:val="20"/>
          <w:szCs w:val="20"/>
          <w:color w:val="auto"/>
        </w:rPr>
      </w:pPr>
    </w:p>
    <w:p>
      <w:pPr>
        <w:jc w:val="both"/>
        <w:ind w:left="380" w:right="380"/>
        <w:spacing w:after="0" w:line="263" w:lineRule="auto"/>
        <w:rPr>
          <w:sz w:val="20"/>
          <w:szCs w:val="20"/>
          <w:color w:val="auto"/>
        </w:rPr>
      </w:pPr>
      <w:r>
        <w:rPr>
          <w:rFonts w:ascii="Arial" w:cs="Arial" w:eastAsia="Arial" w:hAnsi="Arial"/>
          <w:sz w:val="19"/>
          <w:szCs w:val="19"/>
          <w:color w:val="auto"/>
        </w:rPr>
        <w:t>The transaction represented a strategic shift in Ashland’s business and had a major effect on Ashland’s operations and financial results. Accordingly, the operating results and cash flows related to Performance Adhesives have been reflected as discontinued operations in the Statements of Consolidated Comprehensive Income (Loss) and Statements of Condensed Consolidated Cash Flows. See Note C for the results of operations for Performance Adhesives for all periods presented.</w:t>
      </w:r>
    </w:p>
    <w:p>
      <w:pPr>
        <w:spacing w:after="0" w:line="68" w:lineRule="exact"/>
        <w:rPr>
          <w:sz w:val="20"/>
          <w:szCs w:val="20"/>
          <w:color w:val="auto"/>
        </w:rPr>
      </w:pPr>
    </w:p>
    <w:p>
      <w:pPr>
        <w:jc w:val="both"/>
        <w:ind w:left="380" w:right="380"/>
        <w:spacing w:after="0" w:line="244" w:lineRule="auto"/>
        <w:rPr>
          <w:sz w:val="20"/>
          <w:szCs w:val="20"/>
          <w:color w:val="auto"/>
        </w:rPr>
      </w:pPr>
      <w:r>
        <w:rPr>
          <w:rFonts w:ascii="Arial" w:cs="Arial" w:eastAsia="Arial" w:hAnsi="Arial"/>
          <w:sz w:val="20"/>
          <w:szCs w:val="20"/>
          <w:color w:val="auto"/>
        </w:rPr>
        <w:t>Certain indirect corporate costs included within the selling, general and administrative expense caption of the Statements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These costs were zero and $4 million for the three months ended December 31, 2022 and 2021.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Other manufacturing facility sale</w:t>
      </w:r>
    </w:p>
    <w:p>
      <w:pPr>
        <w:spacing w:after="0" w:line="108" w:lineRule="exact"/>
        <w:rPr>
          <w:sz w:val="20"/>
          <w:szCs w:val="20"/>
          <w:color w:val="auto"/>
        </w:rPr>
      </w:pPr>
    </w:p>
    <w:p>
      <w:pPr>
        <w:jc w:val="both"/>
        <w:ind w:left="380" w:right="380"/>
        <w:spacing w:after="0" w:line="278" w:lineRule="auto"/>
        <w:rPr>
          <w:sz w:val="20"/>
          <w:szCs w:val="20"/>
          <w:color w:val="auto"/>
        </w:rPr>
      </w:pPr>
      <w:r>
        <w:rPr>
          <w:rFonts w:ascii="Arial" w:cs="Arial" w:eastAsia="Arial" w:hAnsi="Arial"/>
          <w:sz w:val="18"/>
          <w:szCs w:val="18"/>
          <w:color w:val="auto"/>
        </w:rPr>
        <w:t>During the three months ended December 31, 2022, Ashland entered into a definitive sale agreement to sell a Specialty Additives manufacturing facility for less than $1 million. This transaction is expected to close within the next twelve months. The net asset value related to these sites was less than $1 million and $4 million at December 31, 2022 and September 30, 2022, respectively. During the three months ended December 31, 2022, a $4 million impairment charge was recorded within the selling, general and administrative expense caption of the Statement of Consolidated Comprehensive Income (Loss) for this manufacturing facility.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C– DISCONTINUED OPERATIONS</w:t>
      </w:r>
    </w:p>
    <w:p>
      <w:pPr>
        <w:spacing w:after="0" w:line="114"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20"/>
          <w:szCs w:val="20"/>
          <w:color w:val="auto"/>
        </w:rPr>
        <w:t>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 operations caption in the Statements of Consolidated Comprehensive Income (Loss) for all periods presented.</w:t>
      </w:r>
    </w:p>
    <w:p>
      <w:pPr>
        <w:spacing w:after="0" w:line="83" w:lineRule="exact"/>
        <w:rPr>
          <w:sz w:val="20"/>
          <w:szCs w:val="20"/>
          <w:color w:val="auto"/>
        </w:rPr>
      </w:pPr>
    </w:p>
    <w:p>
      <w:pPr>
        <w:jc w:val="both"/>
        <w:ind w:left="380" w:right="380"/>
        <w:spacing w:after="0" w:line="287" w:lineRule="auto"/>
        <w:rPr>
          <w:sz w:val="20"/>
          <w:szCs w:val="20"/>
          <w:color w:val="auto"/>
        </w:rPr>
      </w:pPr>
      <w:r>
        <w:rPr>
          <w:rFonts w:ascii="Arial" w:cs="Arial" w:eastAsia="Arial" w:hAnsi="Arial"/>
          <w:sz w:val="19"/>
          <w:szCs w:val="19"/>
          <w:color w:val="auto"/>
        </w:rPr>
        <w:t>Components of amounts reflected in the Statements of Consolidated Comprehensive Income (Loss) related to discontinued operations are presented in the following table for the three months ended December 31, 2022 and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0" w:type="dxa"/>
            <w:vAlign w:val="bottom"/>
          </w:tcPr>
          <w:p>
            <w:pPr>
              <w:spacing w:after="0"/>
              <w:rPr>
                <w:sz w:val="21"/>
                <w:szCs w:val="21"/>
                <w:color w:val="auto"/>
              </w:rPr>
            </w:pPr>
          </w:p>
        </w:tc>
        <w:tc>
          <w:tcPr>
            <w:tcW w:w="46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Three months ended</w:t>
            </w:r>
          </w:p>
        </w:tc>
        <w:tc>
          <w:tcPr>
            <w:tcW w:w="13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9"/>
        </w:trPr>
        <w:tc>
          <w:tcPr>
            <w:tcW w:w="4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color w:val="auto"/>
              </w:rPr>
              <w:t>December 31</w:t>
            </w:r>
          </w:p>
        </w:tc>
        <w:tc>
          <w:tcPr>
            <w:tcW w:w="13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42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3"/>
        </w:trPr>
        <w:tc>
          <w:tcPr>
            <w:tcW w:w="420" w:type="dxa"/>
            <w:vAlign w:val="bottom"/>
          </w:tcPr>
          <w:p>
            <w:pPr>
              <w:spacing w:after="0"/>
              <w:rPr>
                <w:sz w:val="21"/>
                <w:szCs w:val="21"/>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8"/>
              </w:rPr>
              <w:t>Income (loss) from discontinued operations (net of tax)</w:t>
            </w:r>
          </w:p>
        </w:tc>
        <w:tc>
          <w:tcPr>
            <w:tcW w:w="1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4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Performance Adhesives</w:t>
            </w:r>
          </w:p>
        </w:tc>
        <w:tc>
          <w:tcPr>
            <w:tcW w:w="16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8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9"/>
        </w:trPr>
        <w:tc>
          <w:tcPr>
            <w:tcW w:w="420" w:type="dxa"/>
            <w:vAlign w:val="bottom"/>
          </w:tcPr>
          <w:p>
            <w:pPr>
              <w:spacing w:after="0"/>
              <w:rPr>
                <w:sz w:val="21"/>
                <w:szCs w:val="21"/>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Distribution</w:t>
            </w:r>
          </w:p>
        </w:tc>
        <w:tc>
          <w:tcPr>
            <w:tcW w:w="1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(1 )</w:t>
            </w:r>
          </w:p>
        </w:tc>
        <w:tc>
          <w:tcPr>
            <w:tcW w:w="400" w:type="dxa"/>
            <w:vAlign w:val="bottom"/>
          </w:tcPr>
          <w:p>
            <w:pPr>
              <w:spacing w:after="0"/>
              <w:rPr>
                <w:sz w:val="21"/>
                <w:szCs w:val="21"/>
                <w:color w:val="auto"/>
              </w:rPr>
            </w:pPr>
          </w:p>
        </w:tc>
      </w:tr>
      <w:tr>
        <w:trPr>
          <w:trHeight w:val="20"/>
        </w:trPr>
        <w:tc>
          <w:tcPr>
            <w:tcW w:w="420" w:type="dxa"/>
            <w:vAlign w:val="bottom"/>
          </w:tcPr>
          <w:p>
            <w:pPr>
              <w:spacing w:after="0" w:line="20" w:lineRule="exact"/>
              <w:rPr>
                <w:sz w:val="1"/>
                <w:szCs w:val="1"/>
                <w:color w:val="auto"/>
              </w:rPr>
            </w:pPr>
          </w:p>
        </w:tc>
        <w:tc>
          <w:tcPr>
            <w:tcW w:w="468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4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8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35"/>
        </w:trPr>
        <w:tc>
          <w:tcPr>
            <w:tcW w:w="420" w:type="dxa"/>
            <w:vAlign w:val="bottom"/>
          </w:tcPr>
          <w:p>
            <w:pPr>
              <w:spacing w:after="0"/>
              <w:rPr>
                <w:sz w:val="11"/>
                <w:szCs w:val="11"/>
                <w:color w:val="auto"/>
              </w:rPr>
            </w:pPr>
          </w:p>
        </w:tc>
        <w:tc>
          <w:tcPr>
            <w:tcW w:w="46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534"/>
        </w:trPr>
        <w:tc>
          <w:tcPr>
            <w:tcW w:w="4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46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-710565</wp:posOffset>
            </wp:positionV>
            <wp:extent cx="68580"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-710565</wp:posOffset>
            </wp:positionV>
            <wp:extent cx="59690"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2914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left="380"/>
        <w:spacing w:after="0" w:line="246" w:lineRule="auto"/>
        <w:rPr>
          <w:sz w:val="20"/>
          <w:szCs w:val="20"/>
          <w:color w:val="auto"/>
        </w:rPr>
      </w:pPr>
      <w:r>
        <w:rPr>
          <w:rFonts w:ascii="Arial" w:cs="Arial" w:eastAsia="Arial" w:hAnsi="Arial"/>
          <w:sz w:val="20"/>
          <w:szCs w:val="20"/>
          <w:color w:val="auto"/>
        </w:rPr>
        <w:t>The following table presents a reconciliation of the captions within Ashland's Statements of Consolidated Comprehensive Income (Loss) for the income (loss) from discontinued operations attributable to Performance Adhesives for the three months ended December 31, 2021. This disclosure was not applicable for the three months ended December 31, 2022 as a result of the sale in fiscal 2022.</w:t>
      </w:r>
    </w:p>
    <w:p>
      <w:pPr>
        <w:spacing w:after="0" w:line="80"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75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480" w:type="dxa"/>
            <w:vAlign w:val="bottom"/>
            <w:tcBorders>
              <w:top w:val="single" w:sz="8" w:color="auto"/>
            </w:tcBorders>
          </w:tcPr>
          <w:p>
            <w:pPr>
              <w:jc w:val="center"/>
              <w:ind w:right="390"/>
              <w:spacing w:after="0"/>
              <w:rPr>
                <w:sz w:val="20"/>
                <w:szCs w:val="20"/>
                <w:color w:val="auto"/>
              </w:rPr>
            </w:pPr>
            <w:r>
              <w:rPr>
                <w:rFonts w:ascii="Arial" w:cs="Arial" w:eastAsia="Arial" w:hAnsi="Arial"/>
                <w:sz w:val="18"/>
                <w:szCs w:val="18"/>
                <w:color w:val="auto"/>
                <w:w w:val="89"/>
              </w:rPr>
              <w:t>Three months ended</w:t>
            </w:r>
          </w:p>
        </w:tc>
      </w:tr>
      <w:tr>
        <w:trPr>
          <w:trHeight w:val="249"/>
        </w:trPr>
        <w:tc>
          <w:tcPr>
            <w:tcW w:w="75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88"/>
              </w:rPr>
              <w:t>December 31</w:t>
            </w:r>
          </w:p>
        </w:tc>
      </w:tr>
      <w:tr>
        <w:trPr>
          <w:trHeight w:val="237"/>
        </w:trPr>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89"/>
              </w:rPr>
              <w:t>2021</w:t>
            </w:r>
          </w:p>
        </w:tc>
      </w:tr>
      <w:tr>
        <w:trPr>
          <w:trHeight w:val="211"/>
        </w:trPr>
        <w:tc>
          <w:tcPr>
            <w:tcW w:w="756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rPr>
              <w:t>Income (loss) from discontinued operations attributable</w:t>
            </w:r>
          </w:p>
        </w:tc>
        <w:tc>
          <w:tcPr>
            <w:tcW w:w="38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r>
      <w:tr>
        <w:trPr>
          <w:trHeight w:val="248"/>
        </w:trPr>
        <w:tc>
          <w:tcPr>
            <w:tcW w:w="7560" w:type="dxa"/>
            <w:vAlign w:val="bottom"/>
            <w:shd w:val="clear" w:color="auto" w:fill="CFF0FC"/>
          </w:tcPr>
          <w:p>
            <w:pPr>
              <w:ind w:left="220"/>
              <w:spacing w:after="0"/>
              <w:rPr>
                <w:sz w:val="20"/>
                <w:szCs w:val="20"/>
                <w:color w:val="auto"/>
              </w:rPr>
            </w:pPr>
            <w:r>
              <w:rPr>
                <w:rFonts w:ascii="Arial" w:cs="Arial" w:eastAsia="Arial" w:hAnsi="Arial"/>
                <w:sz w:val="18"/>
                <w:szCs w:val="18"/>
                <w:b w:val="1"/>
                <w:bCs w:val="1"/>
                <w:color w:val="auto"/>
              </w:rPr>
              <w:t>to Performance Adhesives</w:t>
            </w:r>
          </w:p>
        </w:tc>
        <w:tc>
          <w:tcPr>
            <w:tcW w:w="380" w:type="dxa"/>
            <w:vAlign w:val="bottom"/>
            <w:shd w:val="clear" w:color="auto" w:fill="CFF0FC"/>
          </w:tcPr>
          <w:p>
            <w:pPr>
              <w:spacing w:after="0"/>
              <w:rPr>
                <w:sz w:val="21"/>
                <w:szCs w:val="21"/>
                <w:color w:val="auto"/>
              </w:rPr>
            </w:pPr>
          </w:p>
        </w:tc>
        <w:tc>
          <w:tcPr>
            <w:tcW w:w="2480" w:type="dxa"/>
            <w:vAlign w:val="bottom"/>
            <w:shd w:val="clear" w:color="auto" w:fill="CFF0FC"/>
          </w:tcPr>
          <w:p>
            <w:pPr>
              <w:spacing w:after="0"/>
              <w:rPr>
                <w:sz w:val="21"/>
                <w:szCs w:val="21"/>
                <w:color w:val="auto"/>
              </w:rPr>
            </w:pPr>
          </w:p>
        </w:tc>
      </w:tr>
      <w:tr>
        <w:trPr>
          <w:trHeight w:val="237"/>
        </w:trPr>
        <w:tc>
          <w:tcPr>
            <w:tcW w:w="7560" w:type="dxa"/>
            <w:vAlign w:val="bottom"/>
          </w:tcPr>
          <w:p>
            <w:pPr>
              <w:ind w:left="180"/>
              <w:spacing w:after="0"/>
              <w:rPr>
                <w:sz w:val="20"/>
                <w:szCs w:val="20"/>
                <w:color w:val="auto"/>
              </w:rPr>
            </w:pPr>
            <w:r>
              <w:rPr>
                <w:rFonts w:ascii="Arial" w:cs="Arial" w:eastAsia="Arial" w:hAnsi="Arial"/>
                <w:sz w:val="18"/>
                <w:szCs w:val="18"/>
                <w:color w:val="auto"/>
              </w:rPr>
              <w:t>Sales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49"/>
        </w:trPr>
        <w:tc>
          <w:tcPr>
            <w:tcW w:w="7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FF0FC"/>
          </w:tcPr>
          <w:p>
            <w:pPr>
              <w:spacing w:after="0"/>
              <w:rPr>
                <w:sz w:val="21"/>
                <w:szCs w:val="21"/>
                <w:color w:val="auto"/>
              </w:rPr>
            </w:pP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(67 )</w:t>
            </w:r>
          </w:p>
        </w:tc>
      </w:tr>
      <w:tr>
        <w:trPr>
          <w:trHeight w:val="237"/>
        </w:trPr>
        <w:tc>
          <w:tcPr>
            <w:tcW w:w="756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38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49"/>
        </w:trPr>
        <w:tc>
          <w:tcPr>
            <w:tcW w:w="7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Research and development expense</w:t>
            </w:r>
          </w:p>
        </w:tc>
        <w:tc>
          <w:tcPr>
            <w:tcW w:w="380" w:type="dxa"/>
            <w:vAlign w:val="bottom"/>
            <w:tcBorders>
              <w:bottom w:val="single" w:sz="8" w:color="auto"/>
            </w:tcBorders>
            <w:shd w:val="clear" w:color="auto" w:fill="CFF0FC"/>
          </w:tcPr>
          <w:p>
            <w:pPr>
              <w:spacing w:after="0"/>
              <w:rPr>
                <w:sz w:val="21"/>
                <w:szCs w:val="21"/>
                <w:color w:val="auto"/>
              </w:rPr>
            </w:pPr>
          </w:p>
        </w:tc>
        <w:tc>
          <w:tcPr>
            <w:tcW w:w="2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7560" w:type="dxa"/>
            <w:vAlign w:val="bottom"/>
          </w:tcPr>
          <w:p>
            <w:pPr>
              <w:ind w:left="180"/>
              <w:spacing w:after="0"/>
              <w:rPr>
                <w:sz w:val="20"/>
                <w:szCs w:val="20"/>
                <w:color w:val="auto"/>
              </w:rPr>
            </w:pPr>
            <w:r>
              <w:rPr>
                <w:rFonts w:ascii="Arial" w:cs="Arial" w:eastAsia="Arial" w:hAnsi="Arial"/>
                <w:sz w:val="18"/>
                <w:szCs w:val="18"/>
                <w:color w:val="auto"/>
              </w:rPr>
              <w:t>Pretax income of discontinued operations</w:t>
            </w:r>
          </w:p>
        </w:tc>
        <w:tc>
          <w:tcPr>
            <w:tcW w:w="380" w:type="dxa"/>
            <w:vAlign w:val="bottom"/>
          </w:tcPr>
          <w:p>
            <w:pPr>
              <w:spacing w:after="0"/>
              <w:rPr>
                <w:sz w:val="20"/>
                <w:szCs w:val="20"/>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49"/>
        </w:trPr>
        <w:tc>
          <w:tcPr>
            <w:tcW w:w="7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FF0FC"/>
          </w:tcPr>
          <w:p>
            <w:pPr>
              <w:spacing w:after="0"/>
              <w:rPr>
                <w:sz w:val="21"/>
                <w:szCs w:val="21"/>
                <w:color w:val="auto"/>
              </w:rPr>
            </w:pPr>
          </w:p>
        </w:tc>
        <w:tc>
          <w:tcPr>
            <w:tcW w:w="2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37"/>
        </w:trPr>
        <w:tc>
          <w:tcPr>
            <w:tcW w:w="756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2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0"/>
        </w:trPr>
        <w:tc>
          <w:tcPr>
            <w:tcW w:w="7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129"/>
        </w:trPr>
        <w:tc>
          <w:tcPr>
            <w:tcW w:w="75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D – RESTRUCTURING ACTIVITIES</w:t>
      </w:r>
    </w:p>
    <w:p>
      <w:pPr>
        <w:spacing w:after="0" w:line="11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Ashland periodically implements restructuring programs related to acquisitions, divestitures and other cost reduction programs in order to enhance profitability through streamlined operations and an improved overall cost structure.</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Fiscal 2023 Life Sciences restructuring program</w:t>
      </w:r>
    </w:p>
    <w:p>
      <w:pPr>
        <w:spacing w:after="0" w:line="114"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During December 2022, Ashland implemented a restructuring program within the Nutraceuticals business of the Life Sciences segment. Ashland recorded severance expense of $1 million during the three months ended December 31, 2022. As of December 31, 2022, the severance reserve associated with this program was $1 million.</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E – FAIR VALUE MEASUREMENTS</w:t>
      </w:r>
    </w:p>
    <w:p>
      <w:pPr>
        <w:spacing w:after="0" w:line="114" w:lineRule="exact"/>
        <w:rPr>
          <w:sz w:val="20"/>
          <w:szCs w:val="20"/>
          <w:color w:val="auto"/>
        </w:rPr>
      </w:pPr>
    </w:p>
    <w:p>
      <w:pPr>
        <w:jc w:val="both"/>
        <w:ind w:left="380"/>
        <w:spacing w:after="0" w:line="270" w:lineRule="auto"/>
        <w:rPr>
          <w:sz w:val="20"/>
          <w:szCs w:val="20"/>
          <w:color w:val="auto"/>
        </w:rPr>
      </w:pPr>
      <w:r>
        <w:rPr>
          <w:rFonts w:ascii="Arial" w:cs="Arial" w:eastAsia="Arial" w:hAnsi="Arial"/>
          <w:sz w:val="18"/>
          <w:szCs w:val="18"/>
          <w:color w:val="auto"/>
        </w:rPr>
        <w:t>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w:t>
      </w:r>
    </w:p>
    <w:p>
      <w:pPr>
        <w:spacing w:after="0" w:line="3" w:lineRule="exact"/>
        <w:rPr>
          <w:sz w:val="20"/>
          <w:szCs w:val="20"/>
          <w:color w:val="auto"/>
        </w:rPr>
      </w:pPr>
    </w:p>
    <w:p>
      <w:pPr>
        <w:jc w:val="both"/>
        <w:ind w:left="380" w:firstLine="2"/>
        <w:spacing w:after="0" w:line="241" w:lineRule="auto"/>
        <w:tabs>
          <w:tab w:leader="none" w:pos="604" w:val="left"/>
        </w:tabs>
        <w:numPr>
          <w:ilvl w:val="0"/>
          <w:numId w:val="5"/>
        </w:numPr>
        <w:rPr>
          <w:rFonts w:ascii="Arial" w:cs="Arial" w:eastAsia="Arial" w:hAnsi="Arial"/>
          <w:sz w:val="20"/>
          <w:szCs w:val="20"/>
          <w:color w:val="auto"/>
        </w:rPr>
      </w:pPr>
      <w:r>
        <w:rPr>
          <w:rFonts w:ascii="Arial" w:cs="Arial" w:eastAsia="Arial" w:hAnsi="Arial"/>
          <w:sz w:val="20"/>
          <w:szCs w:val="20"/>
          <w:color w:val="auto"/>
        </w:rPr>
        <w:t>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8" w:lineRule="exact"/>
        <w:rPr>
          <w:sz w:val="20"/>
          <w:szCs w:val="20"/>
          <w:color w:val="auto"/>
        </w:rPr>
      </w:pPr>
    </w:p>
    <w:p>
      <w:pPr>
        <w:jc w:val="both"/>
        <w:ind w:left="380"/>
        <w:spacing w:after="0" w:line="260" w:lineRule="auto"/>
        <w:rPr>
          <w:sz w:val="20"/>
          <w:szCs w:val="20"/>
          <w:color w:val="auto"/>
        </w:rPr>
      </w:pPr>
      <w:r>
        <w:rPr>
          <w:rFonts w:ascii="Arial" w:cs="Arial" w:eastAsia="Arial" w:hAnsi="Arial"/>
          <w:sz w:val="19"/>
          <w:szCs w:val="19"/>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72"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w:t>
      </w:r>
    </w:p>
    <w:p>
      <w:pPr>
        <w:spacing w:after="0" w:line="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7" w:right="71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color w:val="auto"/>
        </w:rPr>
        <w:t>using fair value models, such as a discounted cash flow model or other standard pricing models that Ashland deems reasonable.</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9"/>
          <w:szCs w:val="19"/>
          <w:color w:val="auto"/>
        </w:rPr>
        <w:t>The following table summarizes financial instruments subject to recurring fair value measurements as of December 31,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89"/>
              </w:rPr>
              <w:t>Quoted prices</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16"/>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color w:val="auto"/>
                <w:w w:val="93"/>
              </w:rPr>
              <w:t>in active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color w:val="auto"/>
                <w:w w:val="91"/>
              </w:rPr>
              <w:t>markets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87"/>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r>
      <w:tr>
        <w:trPr>
          <w:trHeight w:val="216"/>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210"/>
              <w:spacing w:after="0"/>
              <w:rPr>
                <w:sz w:val="20"/>
                <w:szCs w:val="20"/>
                <w:color w:val="auto"/>
              </w:rPr>
            </w:pPr>
            <w:r>
              <w:rPr>
                <w:rFonts w:ascii="Arial" w:cs="Arial" w:eastAsia="Arial" w:hAnsi="Arial"/>
                <w:sz w:val="18"/>
                <w:szCs w:val="18"/>
                <w:color w:val="auto"/>
                <w:w w:val="94"/>
              </w:rPr>
              <w:t>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color w:val="auto"/>
                <w:w w:val="93"/>
              </w:rPr>
              <w:t>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88"/>
              </w:rPr>
              <w:t>observable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8"/>
              </w:rPr>
              <w:t>unobservable</w:t>
            </w:r>
          </w:p>
        </w:tc>
      </w:tr>
      <w:tr>
        <w:trPr>
          <w:trHeight w:val="230"/>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w w:val="96"/>
              </w:rPr>
              <w:t>Carrying</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21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color w:val="auto"/>
                <w:w w:val="80"/>
              </w:rPr>
              <w:t>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91"/>
              </w:rPr>
              <w:t>inputs</w:t>
            </w:r>
          </w:p>
        </w:tc>
      </w:tr>
      <w:tr>
        <w:trPr>
          <w:trHeight w:val="25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8"/>
              </w:rPr>
              <w:t>value</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Level 1</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2"/>
              </w:rPr>
              <w:t>Level 2</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6"/>
              </w:rPr>
              <w:t>Level 3</w:t>
            </w:r>
          </w:p>
        </w:tc>
      </w:tr>
      <w:tr>
        <w:trPr>
          <w:trHeight w:val="24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 (b)</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(c)</w:t>
            </w: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4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Foreign currency derivatives </w:t>
            </w:r>
            <w:r>
              <w:rPr>
                <w:rFonts w:ascii="Arial" w:cs="Arial" w:eastAsia="Arial" w:hAnsi="Arial"/>
                <w:sz w:val="14"/>
                <w:szCs w:val="14"/>
                <w:color w:val="auto"/>
              </w:rPr>
              <w:t>(d)</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 xml:space="preserve">Commodity derivatives </w:t>
            </w:r>
            <w:r>
              <w:rPr>
                <w:rFonts w:ascii="Arial" w:cs="Arial" w:eastAsia="Arial" w:hAnsi="Arial"/>
                <w:sz w:val="14"/>
                <w:szCs w:val="14"/>
                <w:color w:val="auto"/>
              </w:rPr>
              <w:t>(d)</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77"/>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 at fair value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 xml:space="preserve">Foreign currency derivatives </w:t>
            </w:r>
            <w:r>
              <w:rPr>
                <w:rFonts w:ascii="Arial" w:cs="Arial" w:eastAsia="Arial" w:hAnsi="Arial"/>
                <w:sz w:val="14"/>
                <w:szCs w:val="14"/>
                <w:color w:val="auto"/>
              </w:rPr>
              <w: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49"/>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Commodity derivatives </w:t>
            </w:r>
            <w:r>
              <w:rPr>
                <w:rFonts w:ascii="Arial" w:cs="Arial" w:eastAsia="Arial" w:hAnsi="Arial"/>
                <w:sz w:val="14"/>
                <w:szCs w:val="14"/>
                <w:color w:val="auto"/>
              </w:rPr>
              <w:t>(e)</w:t>
            </w: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0"/>
        </w:trPr>
        <w:tc>
          <w:tcPr>
            <w:tcW w:w="4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0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-934085</wp:posOffset>
            </wp:positionV>
            <wp:extent cx="253746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37460" cy="17970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-290830</wp:posOffset>
            </wp:positionV>
            <wp:extent cx="76835"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-290830</wp:posOffset>
            </wp:positionV>
            <wp:extent cx="77470"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-290830</wp:posOffset>
            </wp:positionV>
            <wp:extent cx="68580"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-290830</wp:posOffset>
            </wp:positionV>
            <wp:extent cx="68580" cy="291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pacing w:after="0" w:line="69" w:lineRule="exact"/>
        <w:rPr>
          <w:sz w:val="20"/>
          <w:szCs w:val="20"/>
          <w:color w:val="auto"/>
        </w:rPr>
      </w:pPr>
    </w:p>
    <w:p>
      <w:pPr>
        <w:ind w:left="400" w:hanging="358"/>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restricted investments and $61 million within other current assets in the Condensed Consolidated Balance Sheets.</w:t>
      </w:r>
    </w:p>
    <w:p>
      <w:pPr>
        <w:spacing w:after="0" w:line="28" w:lineRule="exact"/>
        <w:rPr>
          <w:rFonts w:ascii="Arial" w:cs="Arial" w:eastAsia="Arial" w:hAnsi="Arial"/>
          <w:sz w:val="14"/>
          <w:szCs w:val="14"/>
          <w:color w:val="auto"/>
        </w:rPr>
      </w:pPr>
    </w:p>
    <w:p>
      <w:pPr>
        <w:ind w:left="400" w:hanging="358"/>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$259 million related to the Asbestos trust and $145 million related to the Environmental trust.</w:t>
      </w:r>
    </w:p>
    <w:p>
      <w:pPr>
        <w:spacing w:after="0" w:line="21" w:lineRule="exact"/>
        <w:rPr>
          <w:rFonts w:ascii="Arial" w:cs="Arial" w:eastAsia="Arial" w:hAnsi="Arial"/>
          <w:sz w:val="14"/>
          <w:szCs w:val="14"/>
          <w:color w:val="auto"/>
        </w:rPr>
      </w:pPr>
    </w:p>
    <w:p>
      <w:pPr>
        <w:ind w:left="400" w:hanging="358"/>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21" w:lineRule="exact"/>
        <w:rPr>
          <w:rFonts w:ascii="Arial" w:cs="Arial" w:eastAsia="Arial" w:hAnsi="Arial"/>
          <w:sz w:val="14"/>
          <w:szCs w:val="14"/>
          <w:color w:val="auto"/>
        </w:rPr>
      </w:pPr>
    </w:p>
    <w:p>
      <w:pPr>
        <w:ind w:left="400" w:hanging="358"/>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accounts receivable in the Condensed Consolidated Balance Sheets.</w:t>
      </w:r>
    </w:p>
    <w:p>
      <w:pPr>
        <w:spacing w:after="0" w:line="28" w:lineRule="exact"/>
        <w:rPr>
          <w:rFonts w:ascii="Arial" w:cs="Arial" w:eastAsia="Arial" w:hAnsi="Arial"/>
          <w:sz w:val="14"/>
          <w:szCs w:val="14"/>
          <w:color w:val="auto"/>
        </w:rPr>
      </w:pPr>
    </w:p>
    <w:p>
      <w:pPr>
        <w:ind w:left="400" w:hanging="358"/>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accrued expenses and other liabilities in the Condensed Consolidated Balance Sheets.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financial asset instruments subject to recurring fair value measurements as of September 30,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89"/>
              </w:rPr>
              <w:t>Quoted prices</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0"/>
              </w:rPr>
              <w:t>in active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6"/>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3"/>
              </w:rPr>
              <w:t>markets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87"/>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color w:val="auto"/>
                <w:w w:val="93"/>
              </w:rPr>
              <w:t>Significant</w:t>
            </w: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230"/>
              <w:spacing w:after="0"/>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color w:val="auto"/>
                <w:w w:val="93"/>
              </w:rPr>
              <w:t>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88"/>
              </w:rPr>
              <w:t>unobservable</w:t>
            </w:r>
          </w:p>
        </w:tc>
      </w:tr>
      <w:tr>
        <w:trPr>
          <w:trHeight w:val="230"/>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ind w:right="230"/>
              <w:spacing w:after="0"/>
              <w:rPr>
                <w:sz w:val="20"/>
                <w:szCs w:val="20"/>
                <w:color w:val="auto"/>
              </w:rPr>
            </w:pPr>
            <w:r>
              <w:rPr>
                <w:rFonts w:ascii="Arial" w:cs="Arial" w:eastAsia="Arial" w:hAnsi="Arial"/>
                <w:sz w:val="18"/>
                <w:szCs w:val="18"/>
                <w:color w:val="auto"/>
                <w:w w:val="95"/>
              </w:rPr>
              <w:t>fair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color w:val="auto"/>
                <w:w w:val="80"/>
              </w:rPr>
              <w:t>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1"/>
              </w:rPr>
              <w:t>inputs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inputs</w:t>
            </w:r>
          </w:p>
        </w:tc>
      </w:tr>
      <w:tr>
        <w:trPr>
          <w:trHeight w:val="250"/>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2"/>
              </w:rPr>
              <w:t>value</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6"/>
              </w:rPr>
              <w:t>Level 1</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Level 2</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Level 3</w:t>
            </w:r>
          </w:p>
        </w:tc>
      </w:tr>
      <w:tr>
        <w:trPr>
          <w:trHeight w:val="24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646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4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 (b)</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(c)</w:t>
            </w: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4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Foreign currency derivatives </w:t>
            </w:r>
            <w:r>
              <w:rPr>
                <w:rFonts w:ascii="Arial" w:cs="Arial" w:eastAsia="Arial" w:hAnsi="Arial"/>
                <w:sz w:val="14"/>
                <w:szCs w:val="14"/>
                <w:color w:val="auto"/>
              </w:rPr>
              <w:t>(d)</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ind w:left="90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 xml:space="preserve">Commodity derivatives </w:t>
            </w:r>
            <w:r>
              <w:rPr>
                <w:rFonts w:ascii="Arial" w:cs="Arial" w:eastAsia="Arial" w:hAnsi="Arial"/>
                <w:sz w:val="14"/>
                <w:szCs w:val="14"/>
                <w:color w:val="auto"/>
              </w:rPr>
              <w:t>(d)</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r>
      <w:tr>
        <w:trPr>
          <w:trHeight w:val="276"/>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 at fair value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1,034</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1,034</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rPr>
              <w:t>—</w:t>
            </w:r>
          </w:p>
        </w:tc>
      </w:tr>
      <w:tr>
        <w:trPr>
          <w:trHeight w:val="224"/>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 xml:space="preserve">Foreign currency derivatives </w:t>
            </w:r>
            <w:r>
              <w:rPr>
                <w:rFonts w:ascii="Arial" w:cs="Arial" w:eastAsia="Arial" w:hAnsi="Arial"/>
                <w:sz w:val="14"/>
                <w:szCs w:val="14"/>
                <w:color w:val="auto"/>
              </w:rPr>
              <w: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49"/>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Commodity derivatives </w:t>
            </w:r>
            <w:r>
              <w:rPr>
                <w:rFonts w:ascii="Arial" w:cs="Arial" w:eastAsia="Arial" w:hAnsi="Arial"/>
                <w:sz w:val="14"/>
                <w:szCs w:val="14"/>
                <w:color w:val="auto"/>
              </w:rPr>
              <w:t>(e)</w:t>
            </w: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rPr>
              <w:t>—</w:t>
            </w: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0"/>
        </w:trPr>
        <w:tc>
          <w:tcPr>
            <w:tcW w:w="4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-933450</wp:posOffset>
            </wp:positionV>
            <wp:extent cx="255460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54605" cy="18034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-290830</wp:posOffset>
            </wp:positionV>
            <wp:extent cx="77470"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4083685</wp:posOffset>
            </wp:positionH>
            <wp:positionV relativeFrom="paragraph">
              <wp:posOffset>-290830</wp:posOffset>
            </wp:positionV>
            <wp:extent cx="77470"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-290830</wp:posOffset>
            </wp:positionV>
            <wp:extent cx="68580"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5815330</wp:posOffset>
            </wp:positionH>
            <wp:positionV relativeFrom="paragraph">
              <wp:posOffset>-290830</wp:posOffset>
            </wp:positionV>
            <wp:extent cx="68580"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pacing w:after="0" w:line="69" w:lineRule="exact"/>
        <w:rPr>
          <w:sz w:val="20"/>
          <w:szCs w:val="20"/>
          <w:color w:val="auto"/>
        </w:rPr>
      </w:pPr>
    </w:p>
    <w:p>
      <w:pPr>
        <w:ind w:left="400" w:hanging="358"/>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restricted investments and $61 million within other current assets in the Condensed Consolidated Balance Sheets.</w:t>
      </w:r>
    </w:p>
    <w:p>
      <w:pPr>
        <w:spacing w:after="0" w:line="21" w:lineRule="exact"/>
        <w:rPr>
          <w:rFonts w:ascii="Arial" w:cs="Arial" w:eastAsia="Arial" w:hAnsi="Arial"/>
          <w:sz w:val="14"/>
          <w:szCs w:val="14"/>
          <w:color w:val="auto"/>
        </w:rPr>
      </w:pPr>
    </w:p>
    <w:p>
      <w:pPr>
        <w:ind w:left="400" w:hanging="358"/>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$245 million related to the Asbestos trust and $129 million related to the Environmental trust.</w:t>
      </w:r>
    </w:p>
    <w:p>
      <w:pPr>
        <w:spacing w:after="0" w:line="21" w:lineRule="exact"/>
        <w:rPr>
          <w:rFonts w:ascii="Arial" w:cs="Arial" w:eastAsia="Arial" w:hAnsi="Arial"/>
          <w:sz w:val="14"/>
          <w:szCs w:val="14"/>
          <w:color w:val="auto"/>
        </w:rPr>
      </w:pPr>
    </w:p>
    <w:p>
      <w:pPr>
        <w:ind w:left="400" w:hanging="358"/>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28" w:lineRule="exact"/>
        <w:rPr>
          <w:rFonts w:ascii="Arial" w:cs="Arial" w:eastAsia="Arial" w:hAnsi="Arial"/>
          <w:sz w:val="14"/>
          <w:szCs w:val="14"/>
          <w:color w:val="auto"/>
        </w:rPr>
      </w:pPr>
    </w:p>
    <w:p>
      <w:pPr>
        <w:ind w:left="400" w:hanging="358"/>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accounts receivable in the Condensed Consolidated Balance Sheets.</w:t>
      </w:r>
    </w:p>
    <w:p>
      <w:pPr>
        <w:spacing w:after="0" w:line="21" w:lineRule="exact"/>
        <w:rPr>
          <w:rFonts w:ascii="Arial" w:cs="Arial" w:eastAsia="Arial" w:hAnsi="Arial"/>
          <w:sz w:val="14"/>
          <w:szCs w:val="14"/>
          <w:color w:val="auto"/>
        </w:rPr>
      </w:pPr>
    </w:p>
    <w:p>
      <w:pPr>
        <w:ind w:left="400" w:hanging="358"/>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accrued expenses and other liabilities in the Condensed Consolidated Balance Sheets.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447" w:right="679" w:bottom="1440" w:gutter="0" w:footer="0" w:header="0"/>
        </w:sectPr>
      </w:pPr>
    </w:p>
    <w:bookmarkStart w:id="8" w:name="page9"/>
    <w:bookmarkEnd w:id="8"/>
    <w:p>
      <w:pPr>
        <w:ind w:left="380"/>
        <w:spacing w:after="0"/>
        <w:rPr>
          <w:sz w:val="20"/>
          <w:szCs w:val="20"/>
          <w:color w:val="auto"/>
        </w:rPr>
      </w:pPr>
      <w:r>
        <w:rPr>
          <w:rFonts w:ascii="Arial" w:cs="Arial" w:eastAsia="Arial" w:hAnsi="Arial"/>
          <w:sz w:val="20"/>
          <w:szCs w:val="20"/>
          <w:b w:val="1"/>
          <w:bCs w:val="1"/>
          <w:color w:val="auto"/>
        </w:rPr>
        <w:t>Restricted investments</w:t>
      </w:r>
    </w:p>
    <w:p>
      <w:pPr>
        <w:spacing w:after="0" w:line="114"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19"/>
          <w:szCs w:val="19"/>
          <w:color w:val="auto"/>
        </w:rPr>
        <w:t>Ashland maintains certain investments in a company restricted renewable annual trusts for the purpose of paying future asbestos indemnity and defense costs and future environmental remediation and related litigation costs. The financial instruments are designated as investment securities, classified as Level 1 measurements within the fair value hierarchy. These securities were classified primarily as noncurrent restricted investment assets, with $61 million classified within other current assets, in the Condensed Consolidated Balance Sheets as of December 31, 2022 and September 30, 2022.</w:t>
      </w:r>
    </w:p>
    <w:p>
      <w:pPr>
        <w:spacing w:after="0" w:line="72"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20"/>
          <w:szCs w:val="20"/>
          <w:color w:val="auto"/>
        </w:rPr>
        <w:t>The following table presents gross unrealized gains and losses for the restricted securities as of December 31, 2022 and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62865</wp:posOffset>
            </wp:positionV>
            <wp:extent cx="66262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02"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ind w:left="380"/>
              <w:spacing w:after="0"/>
              <w:rPr>
                <w:sz w:val="20"/>
                <w:szCs w:val="20"/>
                <w:color w:val="auto"/>
              </w:rPr>
            </w:pPr>
            <w:r>
              <w:rPr>
                <w:rFonts w:ascii="Arial" w:cs="Arial" w:eastAsia="Arial" w:hAnsi="Arial"/>
                <w:sz w:val="17"/>
                <w:szCs w:val="17"/>
                <w:color w:val="auto"/>
              </w:rPr>
              <w:t>Gross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531"/>
              <w:spacing w:after="0"/>
              <w:rPr>
                <w:sz w:val="20"/>
                <w:szCs w:val="20"/>
                <w:color w:val="auto"/>
              </w:rPr>
            </w:pPr>
            <w:r>
              <w:rPr>
                <w:rFonts w:ascii="Arial" w:cs="Arial" w:eastAsia="Arial" w:hAnsi="Arial"/>
                <w:sz w:val="17"/>
                <w:szCs w:val="17"/>
                <w:color w:val="auto"/>
              </w:rPr>
              <w:t>Gross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1"/>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7"/>
                <w:szCs w:val="17"/>
                <w:color w:val="auto"/>
                <w:w w:val="90"/>
              </w:rPr>
              <w:t>Adjusted Cost</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Unrealized Gain</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1"/>
              <w:spacing w:after="0"/>
              <w:rPr>
                <w:sz w:val="20"/>
                <w:szCs w:val="20"/>
                <w:color w:val="auto"/>
              </w:rPr>
            </w:pPr>
            <w:r>
              <w:rPr>
                <w:rFonts w:ascii="Arial" w:cs="Arial" w:eastAsia="Arial" w:hAnsi="Arial"/>
                <w:sz w:val="17"/>
                <w:szCs w:val="17"/>
                <w:color w:val="auto"/>
                <w:w w:val="91"/>
              </w:rPr>
              <w:t>Unrealized Loss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7"/>
                <w:szCs w:val="17"/>
                <w:color w:val="auto"/>
                <w:w w:val="95"/>
              </w:rPr>
              <w:t>Fair Value</w:t>
            </w:r>
          </w:p>
        </w:tc>
      </w:tr>
      <w:tr>
        <w:trPr>
          <w:trHeight w:val="243"/>
        </w:trPr>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December 31, 2022</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37"/>
        </w:trPr>
        <w:tc>
          <w:tcPr>
            <w:tcW w:w="4440" w:type="dxa"/>
            <w:vAlign w:val="bottom"/>
          </w:tcPr>
          <w:p>
            <w:pPr>
              <w:spacing w:after="0"/>
              <w:rPr>
                <w:sz w:val="20"/>
                <w:szCs w:val="20"/>
                <w:color w:val="auto"/>
              </w:rPr>
            </w:pPr>
            <w:r>
              <w:rPr>
                <w:rFonts w:ascii="Arial" w:cs="Arial" w:eastAsia="Arial" w:hAnsi="Arial"/>
                <w:sz w:val="18"/>
                <w:szCs w:val="18"/>
                <w:color w:val="auto"/>
              </w:rPr>
              <w:t>Demand deposit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10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4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ind w:left="10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198</w:t>
            </w: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Fixed income mutual fund</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192</w:t>
            </w:r>
          </w:p>
        </w:tc>
      </w:tr>
      <w:tr>
        <w:trPr>
          <w:trHeight w:val="277"/>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435</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404</w:t>
            </w:r>
          </w:p>
        </w:tc>
      </w:tr>
      <w:tr>
        <w:trPr>
          <w:trHeight w:val="223"/>
        </w:trPr>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September 30, 2022</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37"/>
        </w:trPr>
        <w:tc>
          <w:tcPr>
            <w:tcW w:w="4440" w:type="dxa"/>
            <w:vAlign w:val="bottom"/>
          </w:tcPr>
          <w:p>
            <w:pPr>
              <w:spacing w:after="0"/>
              <w:rPr>
                <w:sz w:val="20"/>
                <w:szCs w:val="20"/>
                <w:color w:val="auto"/>
              </w:rPr>
            </w:pPr>
            <w:r>
              <w:rPr>
                <w:rFonts w:ascii="Arial" w:cs="Arial" w:eastAsia="Arial" w:hAnsi="Arial"/>
                <w:sz w:val="18"/>
                <w:szCs w:val="18"/>
                <w:color w:val="auto"/>
              </w:rPr>
              <w:t>Demand deposit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10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4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ind w:left="108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181</w:t>
            </w: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Fixed income mutual fund</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187</w:t>
            </w:r>
          </w:p>
        </w:tc>
      </w:tr>
      <w:tr>
        <w:trPr>
          <w:trHeight w:val="277"/>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426</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ind w:left="108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374</w:t>
            </w:r>
          </w:p>
        </w:tc>
      </w:tr>
      <w:tr>
        <w:trPr>
          <w:trHeight w:val="129"/>
        </w:trPr>
        <w:tc>
          <w:tcPr>
            <w:tcW w:w="4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-1087755</wp:posOffset>
            </wp:positionV>
            <wp:extent cx="216027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60270" cy="17970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-128270</wp:posOffset>
            </wp:positionV>
            <wp:extent cx="216027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60270" cy="128905"/>
                    </a:xfrm>
                    <a:prstGeom prst="rect">
                      <a:avLst/>
                    </a:prstGeom>
                    <a:noFill/>
                  </pic:spPr>
                </pic:pic>
              </a:graphicData>
            </a:graphic>
          </wp:anchor>
        </w:drawing>
      </w:r>
    </w:p>
    <w:p>
      <w:pPr>
        <w:spacing w:after="0" w:line="85" w:lineRule="exact"/>
        <w:rPr>
          <w:sz w:val="20"/>
          <w:szCs w:val="20"/>
          <w:color w:val="auto"/>
        </w:rPr>
      </w:pPr>
    </w:p>
    <w:p>
      <w:pPr>
        <w:jc w:val="both"/>
        <w:ind w:left="380" w:right="380"/>
        <w:spacing w:after="0" w:line="287" w:lineRule="auto"/>
        <w:rPr>
          <w:sz w:val="20"/>
          <w:szCs w:val="20"/>
          <w:color w:val="auto"/>
        </w:rPr>
      </w:pPr>
      <w:r>
        <w:rPr>
          <w:rFonts w:ascii="Arial" w:cs="Arial" w:eastAsia="Arial" w:hAnsi="Arial"/>
          <w:sz w:val="19"/>
          <w:szCs w:val="19"/>
          <w:color w:val="auto"/>
        </w:rPr>
        <w:t>The following table presents the investment income, net gains and losses realized, funds restricted for specific transactions, and disbursements related to the investments within the portfolio for the three months ended December 31, 2022 and 2021.</w:t>
      </w:r>
    </w:p>
    <w:p>
      <w:pPr>
        <w:spacing w:after="0" w:line="55"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63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400" w:type="dxa"/>
            <w:vAlign w:val="bottom"/>
            <w:tcBorders>
              <w:top w:val="single" w:sz="8" w:color="auto"/>
            </w:tcBorders>
            <w:gridSpan w:val="3"/>
          </w:tcPr>
          <w:p>
            <w:pPr>
              <w:jc w:val="center"/>
              <w:ind w:left="670"/>
              <w:spacing w:after="0"/>
              <w:rPr>
                <w:sz w:val="20"/>
                <w:szCs w:val="20"/>
                <w:color w:val="auto"/>
              </w:rPr>
            </w:pPr>
            <w:r>
              <w:rPr>
                <w:rFonts w:ascii="Arial" w:cs="Arial" w:eastAsia="Arial" w:hAnsi="Arial"/>
                <w:sz w:val="18"/>
                <w:szCs w:val="18"/>
                <w:color w:val="auto"/>
                <w:w w:val="89"/>
              </w:rPr>
              <w:t>Three months ended</w:t>
            </w: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9"/>
        </w:trPr>
        <w:tc>
          <w:tcPr>
            <w:tcW w:w="6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color w:val="auto"/>
                <w:w w:val="88"/>
              </w:rPr>
              <w:t>December 31</w:t>
            </w:r>
          </w:p>
        </w:tc>
        <w:tc>
          <w:tcPr>
            <w:tcW w:w="12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r>
      <w:tr>
        <w:trPr>
          <w:trHeight w:val="24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(a)</w:t>
            </w: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21"/>
                <w:szCs w:val="21"/>
                <w:color w:val="auto"/>
              </w:rPr>
            </w:pPr>
          </w:p>
        </w:tc>
      </w:tr>
      <w:tr>
        <w:trPr>
          <w:trHeight w:val="237"/>
        </w:trPr>
        <w:tc>
          <w:tcPr>
            <w:tcW w:w="6320" w:type="dxa"/>
            <w:vAlign w:val="bottom"/>
          </w:tcPr>
          <w:p>
            <w:pPr>
              <w:spacing w:after="0"/>
              <w:rPr>
                <w:sz w:val="20"/>
                <w:szCs w:val="20"/>
                <w:color w:val="auto"/>
              </w:rPr>
            </w:pPr>
            <w:r>
              <w:rPr>
                <w:rFonts w:ascii="Arial" w:cs="Arial" w:eastAsia="Arial" w:hAnsi="Arial"/>
                <w:sz w:val="18"/>
                <w:szCs w:val="18"/>
                <w:color w:val="auto"/>
              </w:rPr>
              <w:t xml:space="preserve">Net gains (losses) </w:t>
            </w:r>
            <w:r>
              <w:rPr>
                <w:rFonts w:ascii="Arial" w:cs="Arial" w:eastAsia="Arial" w:hAnsi="Arial"/>
                <w:sz w:val="14"/>
                <w:szCs w:val="14"/>
                <w:color w:val="auto"/>
              </w:rPr>
              <w:t>(a)</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r>
      <w:tr>
        <w:trPr>
          <w:trHeight w:val="249"/>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Funds restricted for specific transactions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Disbursements</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102235</wp:posOffset>
            </wp:positionV>
            <wp:extent cx="65665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244" w:lineRule="exact"/>
        <w:rPr>
          <w:sz w:val="20"/>
          <w:szCs w:val="20"/>
          <w:color w:val="auto"/>
        </w:rPr>
      </w:pPr>
    </w:p>
    <w:p>
      <w:pPr>
        <w:ind w:left="740" w:hanging="358"/>
        <w:spacing w:after="0"/>
        <w:tabs>
          <w:tab w:leader="none" w:pos="7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the net interest and other expense (income) caption within the Statements of Consolidated Comprehensive Income (Loss).</w:t>
      </w:r>
    </w:p>
    <w:p>
      <w:pPr>
        <w:spacing w:after="0" w:line="9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Foreign currency derivatives</w:t>
      </w:r>
    </w:p>
    <w:p>
      <w:pPr>
        <w:spacing w:after="0" w:line="114" w:lineRule="exact"/>
        <w:rPr>
          <w:sz w:val="20"/>
          <w:szCs w:val="20"/>
          <w:color w:val="auto"/>
        </w:rPr>
      </w:pPr>
    </w:p>
    <w:p>
      <w:pPr>
        <w:jc w:val="both"/>
        <w:ind w:left="380" w:right="380"/>
        <w:spacing w:after="0" w:line="272" w:lineRule="auto"/>
        <w:rPr>
          <w:sz w:val="20"/>
          <w:szCs w:val="20"/>
          <w:color w:val="auto"/>
        </w:rPr>
      </w:pPr>
      <w:r>
        <w:rPr>
          <w:rFonts w:ascii="Arial" w:cs="Arial" w:eastAsia="Arial" w:hAnsi="Arial"/>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 The following table summarizes the net gains and losses recognized during the three months ended December 31, 2022 and 2021 within the Statements of Consolidated Comprehensive Income (Loss).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0" w:type="dxa"/>
            <w:vAlign w:val="bottom"/>
          </w:tcPr>
          <w:p>
            <w:pPr>
              <w:spacing w:after="0"/>
              <w:rPr>
                <w:sz w:val="21"/>
                <w:szCs w:val="21"/>
                <w:color w:val="auto"/>
              </w:rPr>
            </w:pPr>
          </w:p>
        </w:tc>
        <w:tc>
          <w:tcPr>
            <w:tcW w:w="380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Three months ended</w:t>
            </w:r>
          </w:p>
        </w:tc>
        <w:tc>
          <w:tcPr>
            <w:tcW w:w="12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49"/>
        </w:trPr>
        <w:tc>
          <w:tcPr>
            <w:tcW w:w="4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128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420" w:type="dxa"/>
            <w:vAlign w:val="bottom"/>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8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0"/>
                <w:szCs w:val="20"/>
                <w:color w:val="auto"/>
              </w:rPr>
            </w:pPr>
          </w:p>
        </w:tc>
      </w:tr>
      <w:tr>
        <w:trPr>
          <w:trHeight w:val="243"/>
        </w:trPr>
        <w:tc>
          <w:tcPr>
            <w:tcW w:w="420" w:type="dxa"/>
            <w:vAlign w:val="bottom"/>
          </w:tcPr>
          <w:p>
            <w:pPr>
              <w:spacing w:after="0"/>
              <w:rPr>
                <w:sz w:val="21"/>
                <w:szCs w:val="21"/>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gains</w:t>
            </w:r>
          </w:p>
        </w:tc>
        <w:tc>
          <w:tcPr>
            <w:tcW w:w="3700" w:type="dxa"/>
            <w:vAlign w:val="bottom"/>
            <w:gridSpan w:val="2"/>
            <w:shd w:val="clear" w:color="auto" w:fill="CFF0FC"/>
          </w:tcPr>
          <w:p>
            <w:pPr>
              <w:jc w:val="right"/>
              <w:ind w:right="10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w:t>
            </w:r>
          </w:p>
        </w:tc>
        <w:tc>
          <w:tcPr>
            <w:tcW w:w="82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1"/>
                <w:szCs w:val="21"/>
                <w:color w:val="auto"/>
              </w:rPr>
            </w:pPr>
          </w:p>
        </w:tc>
      </w:tr>
      <w:tr>
        <w:trPr>
          <w:trHeight w:val="149"/>
        </w:trPr>
        <w:tc>
          <w:tcPr>
            <w:tcW w:w="420" w:type="dxa"/>
            <w:vAlign w:val="bottom"/>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r>
      <w:tr>
        <w:trPr>
          <w:trHeight w:val="533"/>
        </w:trPr>
        <w:tc>
          <w:tcPr>
            <w:tcW w:w="4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520" w:type="dxa"/>
            <w:vAlign w:val="bottom"/>
          </w:tcPr>
          <w:p>
            <w:pPr>
              <w:jc w:val="right"/>
              <w:ind w:right="990"/>
              <w:spacing w:after="0"/>
              <w:rPr>
                <w:sz w:val="20"/>
                <w:szCs w:val="20"/>
                <w:color w:val="auto"/>
              </w:rPr>
            </w:pPr>
            <w:r>
              <w:rPr>
                <w:rFonts w:ascii="Arial" w:cs="Arial" w:eastAsia="Arial" w:hAnsi="Arial"/>
                <w:sz w:val="18"/>
                <w:szCs w:val="18"/>
                <w:color w:val="auto"/>
              </w:rPr>
              <w:t>9</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2"/>
        </w:trPr>
        <w:tc>
          <w:tcPr>
            <w:tcW w:w="420" w:type="dxa"/>
            <w:vAlign w:val="bottom"/>
            <w:tcBorders>
              <w:bottom w:val="single" w:sz="8" w:color="9A9A9A"/>
            </w:tcBorders>
          </w:tcPr>
          <w:p>
            <w:pPr>
              <w:spacing w:after="0"/>
              <w:rPr>
                <w:sz w:val="8"/>
                <w:szCs w:val="8"/>
                <w:color w:val="auto"/>
              </w:rPr>
            </w:pPr>
          </w:p>
        </w:tc>
        <w:tc>
          <w:tcPr>
            <w:tcW w:w="380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 w:name="page10"/>
    <w:bookmarkEnd w:id="9"/>
    <w:p>
      <w:pPr>
        <w:jc w:val="both"/>
        <w:ind w:left="380" w:right="380"/>
        <w:spacing w:after="0" w:line="250" w:lineRule="auto"/>
        <w:rPr>
          <w:sz w:val="20"/>
          <w:szCs w:val="20"/>
          <w:color w:val="auto"/>
        </w:rPr>
      </w:pPr>
      <w:r>
        <w:rPr>
          <w:rFonts w:ascii="Arial" w:cs="Arial" w:eastAsia="Arial" w:hAnsi="Arial"/>
          <w:sz w:val="20"/>
          <w:szCs w:val="20"/>
          <w:color w:val="auto"/>
        </w:rPr>
        <w:t>The following table summarizes the fair values of the outstanding foreign currency derivatives as of December 31, 2022 and September 30, 2022 included in accounts receivable and accrued expenses and other liabilities of the Condensed Consolidated Balance Sheets.</w:t>
      </w:r>
    </w:p>
    <w:p>
      <w:pPr>
        <w:spacing w:after="0" w:line="88"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446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December 31</w:t>
            </w:r>
          </w:p>
        </w:tc>
        <w:tc>
          <w:tcPr>
            <w:tcW w:w="5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September 30</w:t>
            </w:r>
          </w:p>
        </w:tc>
      </w:tr>
      <w:tr>
        <w:trPr>
          <w:trHeight w:val="249"/>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2022</w:t>
            </w:r>
          </w:p>
        </w:tc>
      </w:tr>
      <w:tr>
        <w:trPr>
          <w:trHeight w:val="24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assets</w:t>
            </w:r>
          </w:p>
        </w:tc>
        <w:tc>
          <w:tcPr>
            <w:tcW w:w="3280" w:type="dxa"/>
            <w:vAlign w:val="bottom"/>
            <w:shd w:val="clear" w:color="auto" w:fill="CFF0FC"/>
          </w:tcPr>
          <w:p>
            <w:pPr>
              <w:jc w:val="right"/>
              <w:ind w:right="13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328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147</w:t>
            </w:r>
          </w:p>
        </w:tc>
        <w:tc>
          <w:tcPr>
            <w:tcW w:w="44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49"/>
        </w:trPr>
        <w:tc>
          <w:tcPr>
            <w:tcW w:w="4460" w:type="dxa"/>
            <w:vAlign w:val="bottom"/>
            <w:shd w:val="clear" w:color="auto" w:fill="CFF0FC"/>
          </w:tcPr>
          <w:p>
            <w:pPr>
              <w:spacing w:after="0"/>
              <w:rPr>
                <w:sz w:val="21"/>
                <w:szCs w:val="21"/>
                <w:color w:val="auto"/>
              </w:rPr>
            </w:pPr>
          </w:p>
        </w:tc>
        <w:tc>
          <w:tcPr>
            <w:tcW w:w="3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Foreign currency derivative liabilities</w:t>
            </w:r>
          </w:p>
        </w:tc>
        <w:tc>
          <w:tcPr>
            <w:tcW w:w="3280" w:type="dxa"/>
            <w:vAlign w:val="bottom"/>
          </w:tcPr>
          <w:p>
            <w:pPr>
              <w:jc w:val="right"/>
              <w:ind w:right="133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4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Notional contract values</w:t>
            </w:r>
          </w:p>
        </w:tc>
        <w:tc>
          <w:tcPr>
            <w:tcW w:w="32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185</w:t>
            </w:r>
          </w:p>
        </w:tc>
        <w:tc>
          <w:tcPr>
            <w:tcW w:w="44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535</w:t>
            </w:r>
          </w:p>
        </w:tc>
      </w:tr>
      <w:tr>
        <w:trPr>
          <w:trHeight w:val="148"/>
        </w:trPr>
        <w:tc>
          <w:tcPr>
            <w:tcW w:w="446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r>
    </w:tbl>
    <w:p>
      <w:pPr>
        <w:spacing w:after="0" w:line="8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Commodity derivatives</w:t>
      </w:r>
    </w:p>
    <w:p>
      <w:pPr>
        <w:spacing w:after="0" w:line="114"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20"/>
          <w:szCs w:val="20"/>
          <w:color w:val="auto"/>
        </w:rPr>
        <w:t>To manage its exposure to the market price volatility of natural gas consumed by its U.S. plants during the manufacturing process, Ashland regularly enters into forward contracts that are designated as cash flow hedges.</w:t>
      </w:r>
    </w:p>
    <w:p>
      <w:pPr>
        <w:spacing w:after="0" w:line="69" w:lineRule="exact"/>
        <w:rPr>
          <w:sz w:val="20"/>
          <w:szCs w:val="20"/>
          <w:color w:val="auto"/>
        </w:rPr>
      </w:pPr>
    </w:p>
    <w:p>
      <w:pPr>
        <w:jc w:val="both"/>
        <w:ind w:left="380" w:right="380"/>
        <w:spacing w:after="0" w:line="272" w:lineRule="auto"/>
        <w:rPr>
          <w:sz w:val="20"/>
          <w:szCs w:val="20"/>
          <w:color w:val="auto"/>
        </w:rPr>
      </w:pPr>
      <w:r>
        <w:rPr>
          <w:rFonts w:ascii="Arial" w:cs="Arial" w:eastAsia="Arial" w:hAnsi="Arial"/>
          <w:sz w:val="19"/>
          <w:szCs w:val="19"/>
          <w:color w:val="auto"/>
        </w:rPr>
        <w:t>The following table summarizes the gains and losses recognized during the three months ended December 31, 2022 and 2021, respectively, within the cost of sales caption of the Statements of Consolidated Comprehensive Income (Loss).</w:t>
      </w:r>
    </w:p>
    <w:tbl>
      <w:tblPr>
        <w:tblLayout w:type="fixed"/>
        <w:tblInd w:w="420" w:type="dxa"/>
        <w:tblCellMar>
          <w:top w:w="0" w:type="dxa"/>
          <w:left w:w="0" w:type="dxa"/>
          <w:bottom w:w="0" w:type="dxa"/>
          <w:right w:w="0" w:type="dxa"/>
        </w:tblCellMar>
      </w:tblPr>
      <w:tr>
        <w:trPr>
          <w:trHeight w:val="211"/>
        </w:trPr>
        <w:tc>
          <w:tcPr>
            <w:tcW w:w="6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Three months ended</w:t>
            </w: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32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December 31</w:t>
            </w:r>
          </w:p>
        </w:tc>
        <w:tc>
          <w:tcPr>
            <w:tcW w:w="12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r>
      <w:tr>
        <w:trPr>
          <w:trHeight w:val="24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Commodity derivative gains</w:t>
            </w:r>
          </w:p>
        </w:tc>
        <w:tc>
          <w:tcPr>
            <w:tcW w:w="1180" w:type="dxa"/>
            <w:vAlign w:val="bottom"/>
            <w:shd w:val="clear" w:color="auto" w:fill="CFF0FC"/>
          </w:tcPr>
          <w:p>
            <w:pPr>
              <w:jc w:val="right"/>
              <w:ind w:right="101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r>
      <w:tr>
        <w:trPr>
          <w:trHeight w:val="148"/>
        </w:trPr>
        <w:tc>
          <w:tcPr>
            <w:tcW w:w="6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bl>
    <w:p>
      <w:pPr>
        <w:spacing w:after="0" w:line="91" w:lineRule="exact"/>
        <w:rPr>
          <w:sz w:val="20"/>
          <w:szCs w:val="20"/>
          <w:color w:val="auto"/>
        </w:rPr>
      </w:pPr>
    </w:p>
    <w:p>
      <w:pPr>
        <w:jc w:val="both"/>
        <w:ind w:left="380" w:right="380"/>
        <w:spacing w:after="0" w:line="380" w:lineRule="auto"/>
        <w:rPr>
          <w:sz w:val="20"/>
          <w:szCs w:val="20"/>
          <w:color w:val="auto"/>
        </w:rPr>
      </w:pPr>
      <w:r>
        <w:rPr>
          <w:rFonts w:ascii="Arial" w:cs="Arial" w:eastAsia="Arial" w:hAnsi="Arial"/>
          <w:sz w:val="16"/>
          <w:szCs w:val="16"/>
          <w:color w:val="auto"/>
        </w:rPr>
        <w:t>The following table summarizes the fair values of the outstanding commodity derivatives as of December 31, 2022, and September 30, 2022 included in accounts receivable and accrued expenses and other liabilities of the Condensed Consolidated Balance Sheets.</w:t>
      </w:r>
    </w:p>
    <w:p>
      <w:pPr>
        <w:sectPr>
          <w:pgSz w:w="11900" w:h="16838" w:orient="portrait"/>
          <w:cols w:equalWidth="0" w:num="1">
            <w:col w:w="11240"/>
          </w:cols>
          <w:pgMar w:left="320" w:top="447" w:right="339" w:bottom="1440" w:gutter="0" w:footer="0" w:header="0"/>
        </w:sectPr>
      </w:pPr>
    </w:p>
    <w:tbl>
      <w:tblPr>
        <w:tblLayout w:type="fixed"/>
        <w:tblInd w:w="420" w:type="dxa"/>
        <w:tblCellMar>
          <w:top w:w="0" w:type="dxa"/>
          <w:left w:w="0" w:type="dxa"/>
          <w:bottom w:w="0" w:type="dxa"/>
          <w:right w:w="0" w:type="dxa"/>
        </w:tblCellMar>
      </w:tblPr>
      <w:tr>
        <w:trPr>
          <w:trHeight w:val="225"/>
        </w:trPr>
        <w:tc>
          <w:tcPr>
            <w:tcW w:w="428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December 31</w:t>
            </w:r>
          </w:p>
        </w:tc>
      </w:tr>
      <w:tr>
        <w:trPr>
          <w:trHeight w:val="249"/>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2022</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Commodity derivative assets</w:t>
            </w: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2"/>
        </w:trPr>
        <w:tc>
          <w:tcPr>
            <w:tcW w:w="428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2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86"/>
        </w:trPr>
        <w:tc>
          <w:tcPr>
            <w:tcW w:w="4280" w:type="dxa"/>
            <w:vAlign w:val="bottom"/>
          </w:tcPr>
          <w:p>
            <w:pPr>
              <w:spacing w:after="0"/>
              <w:rPr>
                <w:sz w:val="20"/>
                <w:szCs w:val="20"/>
                <w:color w:val="auto"/>
              </w:rPr>
            </w:pPr>
            <w:r>
              <w:rPr>
                <w:rFonts w:ascii="Arial" w:cs="Arial" w:eastAsia="Arial" w:hAnsi="Arial"/>
                <w:sz w:val="18"/>
                <w:szCs w:val="18"/>
                <w:color w:val="auto"/>
              </w:rPr>
              <w:t>Commodity derivative liabilities</w:t>
            </w: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28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2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-762635</wp:posOffset>
            </wp:positionV>
            <wp:extent cx="662622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-454025</wp:posOffset>
            </wp:positionV>
            <wp:extent cx="662622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-145415</wp:posOffset>
            </wp:positionV>
            <wp:extent cx="662622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102870</wp:posOffset>
            </wp:positionV>
            <wp:extent cx="51689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689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September 30</w:t>
            </w:r>
          </w:p>
        </w:tc>
      </w:tr>
      <w:tr>
        <w:trPr>
          <w:trHeight w:val="249"/>
        </w:trPr>
        <w:tc>
          <w:tcPr>
            <w:tcW w:w="4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r>
      <w:tr>
        <w:trPr>
          <w:trHeight w:val="230"/>
        </w:trPr>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2"/>
        </w:trPr>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86"/>
        </w:trPr>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102870</wp:posOffset>
            </wp:positionV>
            <wp:extent cx="13290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100"/>
            <w:col w:w="2580"/>
          </w:cols>
          <w:pgMar w:left="320" w:top="447" w:right="339" w:bottom="1440" w:gutter="0" w:footer="0" w:header="0"/>
          <w:type w:val="continuous"/>
        </w:sectPr>
      </w:pPr>
    </w:p>
    <w:p>
      <w:pPr>
        <w:spacing w:after="0" w:line="6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Other financial instruments</w:t>
      </w:r>
    </w:p>
    <w:p>
      <w:pPr>
        <w:spacing w:after="0" w:line="114"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19"/>
          <w:szCs w:val="19"/>
          <w:color w:val="auto"/>
        </w:rPr>
        <w:t>At December 31, 2022 and September 30, 2022, Ashland's long-term debt (including the current portion and excluding debt issuance cost discounts) had a carrying value of $1,330 million and $1,284 million, respectively, compared to a fair value of $1,186 million and $1,102 million, respectively. The fair values of long-term debt are based on quoted market prices or, if market prices are not available, the present values of the underlying cash flows discounted at Ashland’s incremental borrowing rates. The carrying value of long-term debt with variable interest approximated fair value.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F – INVENTORIES</w:t>
      </w:r>
    </w:p>
    <w:p>
      <w:pPr>
        <w:spacing w:after="0" w:line="114" w:lineRule="exact"/>
        <w:rPr>
          <w:sz w:val="20"/>
          <w:szCs w:val="20"/>
          <w:color w:val="auto"/>
        </w:rPr>
      </w:pPr>
    </w:p>
    <w:p>
      <w:pPr>
        <w:jc w:val="both"/>
        <w:ind w:left="380" w:right="380"/>
        <w:spacing w:after="0" w:line="250" w:lineRule="auto"/>
        <w:rPr>
          <w:sz w:val="20"/>
          <w:szCs w:val="20"/>
          <w:color w:val="auto"/>
        </w:rPr>
      </w:pPr>
      <w:r>
        <w:rPr>
          <w:rFonts w:ascii="Arial" w:cs="Arial" w:eastAsia="Arial" w:hAnsi="Arial"/>
          <w:sz w:val="20"/>
          <w:szCs w:val="20"/>
          <w:color w:val="auto"/>
        </w:rPr>
        <w:t>Inventories are carried at the lower of cost or net realizable value. Inventories are stated at cost using the weighted-average cost method. This method values inventories using average costs for raw materials and most recent production costs for labor and overhead.</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summarizes Ashland’s inventories as of the reported Condensed Consolidated Balance Sheet dates.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0" w:type="dxa"/>
            <w:vAlign w:val="bottom"/>
          </w:tcPr>
          <w:p>
            <w:pPr>
              <w:spacing w:after="0"/>
              <w:rPr>
                <w:sz w:val="21"/>
                <w:szCs w:val="21"/>
                <w:color w:val="auto"/>
              </w:rPr>
            </w:pPr>
          </w:p>
        </w:tc>
        <w:tc>
          <w:tcPr>
            <w:tcW w:w="400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December 31</w:t>
            </w:r>
          </w:p>
        </w:tc>
        <w:tc>
          <w:tcPr>
            <w:tcW w:w="4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jc w:val="right"/>
              <w:ind w:right="455"/>
              <w:spacing w:after="0"/>
              <w:rPr>
                <w:sz w:val="20"/>
                <w:szCs w:val="20"/>
                <w:color w:val="auto"/>
              </w:rPr>
            </w:pPr>
            <w:r>
              <w:rPr>
                <w:rFonts w:ascii="Arial" w:cs="Arial" w:eastAsia="Arial" w:hAnsi="Arial"/>
                <w:sz w:val="18"/>
                <w:szCs w:val="18"/>
                <w:color w:val="auto"/>
              </w:rPr>
              <w:t>September 30</w:t>
            </w:r>
          </w:p>
        </w:tc>
        <w:tc>
          <w:tcPr>
            <w:tcW w:w="400" w:type="dxa"/>
            <w:vAlign w:val="bottom"/>
          </w:tcPr>
          <w:p>
            <w:pPr>
              <w:spacing w:after="0"/>
              <w:rPr>
                <w:sz w:val="21"/>
                <w:szCs w:val="21"/>
                <w:color w:val="auto"/>
              </w:rPr>
            </w:pPr>
          </w:p>
        </w:tc>
      </w:tr>
      <w:tr>
        <w:trPr>
          <w:trHeight w:val="249"/>
        </w:trPr>
        <w:tc>
          <w:tcPr>
            <w:tcW w:w="420" w:type="dxa"/>
            <w:vAlign w:val="bottom"/>
          </w:tcPr>
          <w:p>
            <w:pPr>
              <w:spacing w:after="0"/>
              <w:rPr>
                <w:sz w:val="21"/>
                <w:szCs w:val="21"/>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37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1"/>
                <w:szCs w:val="21"/>
                <w:color w:val="auto"/>
              </w:rPr>
            </w:pPr>
          </w:p>
        </w:tc>
      </w:tr>
      <w:tr>
        <w:trPr>
          <w:trHeight w:val="229"/>
        </w:trPr>
        <w:tc>
          <w:tcPr>
            <w:tcW w:w="4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Finished products</w:t>
            </w:r>
          </w:p>
        </w:tc>
        <w:tc>
          <w:tcPr>
            <w:tcW w:w="3780" w:type="dxa"/>
            <w:vAlign w:val="bottom"/>
            <w:gridSpan w:val="2"/>
            <w:shd w:val="clear" w:color="auto" w:fill="CFF0FC"/>
          </w:tcPr>
          <w:p>
            <w:pPr>
              <w:jc w:val="right"/>
              <w:ind w:right="137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462</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ind w:right="15"/>
              <w:spacing w:after="0"/>
              <w:rPr>
                <w:sz w:val="20"/>
                <w:szCs w:val="20"/>
                <w:color w:val="auto"/>
              </w:rPr>
            </w:pPr>
            <w:r>
              <w:rPr>
                <w:rFonts w:ascii="Arial" w:cs="Arial" w:eastAsia="Arial" w:hAnsi="Arial"/>
                <w:sz w:val="16"/>
                <w:szCs w:val="16"/>
                <w:color w:val="auto"/>
              </w:rPr>
              <w:t>391</w:t>
            </w:r>
          </w:p>
        </w:tc>
        <w:tc>
          <w:tcPr>
            <w:tcW w:w="400" w:type="dxa"/>
            <w:vAlign w:val="bottom"/>
          </w:tcPr>
          <w:p>
            <w:pPr>
              <w:spacing w:after="0"/>
              <w:rPr>
                <w:sz w:val="19"/>
                <w:szCs w:val="19"/>
                <w:color w:val="auto"/>
              </w:rPr>
            </w:pPr>
          </w:p>
        </w:tc>
      </w:tr>
      <w:tr>
        <w:trPr>
          <w:trHeight w:val="226"/>
        </w:trPr>
        <w:tc>
          <w:tcPr>
            <w:tcW w:w="4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Raw materials, supplies and work in process</w:t>
            </w:r>
          </w:p>
        </w:tc>
        <w:tc>
          <w:tcPr>
            <w:tcW w:w="222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262</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color w:val="auto"/>
              </w:rPr>
              <w:t>238</w:t>
            </w:r>
          </w:p>
        </w:tc>
        <w:tc>
          <w:tcPr>
            <w:tcW w:w="400" w:type="dxa"/>
            <w:vAlign w:val="bottom"/>
          </w:tcPr>
          <w:p>
            <w:pPr>
              <w:spacing w:after="0"/>
              <w:rPr>
                <w:sz w:val="19"/>
                <w:szCs w:val="19"/>
                <w:color w:val="auto"/>
              </w:rPr>
            </w:pPr>
          </w:p>
        </w:tc>
      </w:tr>
      <w:tr>
        <w:trPr>
          <w:trHeight w:val="260"/>
        </w:trPr>
        <w:tc>
          <w:tcPr>
            <w:tcW w:w="420" w:type="dxa"/>
            <w:vAlign w:val="bottom"/>
          </w:tcPr>
          <w:p>
            <w:pPr>
              <w:spacing w:after="0"/>
              <w:rPr>
                <w:sz w:val="22"/>
                <w:szCs w:val="22"/>
                <w:color w:val="auto"/>
              </w:rPr>
            </w:pPr>
          </w:p>
        </w:tc>
        <w:tc>
          <w:tcPr>
            <w:tcW w:w="4000" w:type="dxa"/>
            <w:vAlign w:val="bottom"/>
            <w:shd w:val="clear" w:color="auto" w:fill="CFF0FC"/>
          </w:tcPr>
          <w:p>
            <w:pPr>
              <w:spacing w:after="0"/>
              <w:rPr>
                <w:sz w:val="22"/>
                <w:szCs w:val="22"/>
                <w:color w:val="auto"/>
              </w:rPr>
            </w:pPr>
          </w:p>
        </w:tc>
        <w:tc>
          <w:tcPr>
            <w:tcW w:w="3780" w:type="dxa"/>
            <w:vAlign w:val="bottom"/>
            <w:gridSpan w:val="2"/>
            <w:shd w:val="clear" w:color="auto" w:fill="CFF0FC"/>
          </w:tcPr>
          <w:p>
            <w:pPr>
              <w:jc w:val="right"/>
              <w:ind w:right="137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724</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ind w:right="15"/>
              <w:spacing w:after="0"/>
              <w:rPr>
                <w:sz w:val="20"/>
                <w:szCs w:val="20"/>
                <w:color w:val="auto"/>
              </w:rPr>
            </w:pPr>
            <w:r>
              <w:rPr>
                <w:rFonts w:ascii="Arial" w:cs="Arial" w:eastAsia="Arial" w:hAnsi="Arial"/>
                <w:sz w:val="16"/>
                <w:szCs w:val="16"/>
                <w:color w:val="auto"/>
              </w:rPr>
              <w:t>629</w:t>
            </w:r>
          </w:p>
        </w:tc>
        <w:tc>
          <w:tcPr>
            <w:tcW w:w="400" w:type="dxa"/>
            <w:vAlign w:val="bottom"/>
          </w:tcPr>
          <w:p>
            <w:pPr>
              <w:spacing w:after="0"/>
              <w:rPr>
                <w:sz w:val="22"/>
                <w:szCs w:val="22"/>
                <w:color w:val="auto"/>
              </w:rPr>
            </w:pPr>
          </w:p>
        </w:tc>
      </w:tr>
      <w:tr>
        <w:trPr>
          <w:trHeight w:val="527"/>
        </w:trPr>
        <w:tc>
          <w:tcPr>
            <w:tcW w:w="420" w:type="dxa"/>
            <w:vAlign w:val="bottom"/>
          </w:tcPr>
          <w:p>
            <w:pPr>
              <w:spacing w:after="0"/>
              <w:rPr>
                <w:sz w:val="24"/>
                <w:szCs w:val="24"/>
                <w:color w:val="auto"/>
              </w:rPr>
            </w:pPr>
          </w:p>
        </w:tc>
        <w:tc>
          <w:tcPr>
            <w:tcW w:w="4000" w:type="dxa"/>
            <w:vAlign w:val="bottom"/>
            <w:tcBorders>
              <w:top w:val="single" w:sz="8" w:color="CFF0FC"/>
            </w:tcBorders>
          </w:tcPr>
          <w:p>
            <w:pPr>
              <w:spacing w:after="0"/>
              <w:rPr>
                <w:sz w:val="24"/>
                <w:szCs w:val="24"/>
                <w:color w:val="auto"/>
              </w:rPr>
            </w:pPr>
          </w:p>
        </w:tc>
        <w:tc>
          <w:tcPr>
            <w:tcW w:w="2220" w:type="dxa"/>
            <w:vAlign w:val="bottom"/>
            <w:tcBorders>
              <w:top w:val="single" w:sz="8" w:color="CFF0FC"/>
            </w:tcBorders>
          </w:tcPr>
          <w:p>
            <w:pPr>
              <w:jc w:val="right"/>
              <w:ind w:right="835"/>
              <w:spacing w:after="0"/>
              <w:rPr>
                <w:sz w:val="20"/>
                <w:szCs w:val="20"/>
                <w:color w:val="auto"/>
              </w:rPr>
            </w:pPr>
            <w:r>
              <w:rPr>
                <w:rFonts w:ascii="Arial" w:cs="Arial" w:eastAsia="Arial" w:hAnsi="Arial"/>
                <w:sz w:val="18"/>
                <w:szCs w:val="18"/>
                <w:color w:val="auto"/>
              </w:rPr>
              <w:t>10</w:t>
            </w:r>
          </w:p>
        </w:tc>
        <w:tc>
          <w:tcPr>
            <w:tcW w:w="15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-445135</wp:posOffset>
            </wp:positionV>
            <wp:extent cx="1200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-427990</wp:posOffset>
            </wp:positionV>
            <wp:extent cx="1200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NOTE G – GOODWILL AND OTHER INTANGIBLES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Goodwill</w:t>
      </w:r>
    </w:p>
    <w:p>
      <w:pPr>
        <w:spacing w:after="0" w:line="114" w:lineRule="exact"/>
        <w:rPr>
          <w:sz w:val="20"/>
          <w:szCs w:val="20"/>
          <w:color w:val="auto"/>
        </w:rPr>
      </w:pPr>
    </w:p>
    <w:p>
      <w:pPr>
        <w:ind w:left="380" w:right="380"/>
        <w:spacing w:after="0" w:line="260" w:lineRule="auto"/>
        <w:rPr>
          <w:sz w:val="20"/>
          <w:szCs w:val="20"/>
          <w:color w:val="auto"/>
        </w:rPr>
      </w:pPr>
      <w:r>
        <w:rPr>
          <w:rFonts w:ascii="Arial" w:cs="Arial" w:eastAsia="Arial" w:hAnsi="Arial"/>
          <w:sz w:val="20"/>
          <w:szCs w:val="20"/>
          <w:color w:val="auto"/>
        </w:rPr>
        <w:t>Ashland tests goodwill and other indefinite-lived intangible assets for impairment annually as of July 1 and when events and circumstances indicate an impairment may have occurred.</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No indicators of impairment were identified in the three months ended December 31, 2022.</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is a progression of goodwill by reportable segment for the three months ended December 31, 2022.</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31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Life</w:t>
            </w:r>
          </w:p>
        </w:tc>
        <w:tc>
          <w:tcPr>
            <w:tcW w:w="1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5"/>
              </w:rPr>
              <w:t>Personal</w:t>
            </w:r>
          </w:p>
        </w:tc>
        <w:tc>
          <w:tcPr>
            <w:tcW w:w="2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Specialty</w:t>
            </w:r>
          </w:p>
        </w:tc>
        <w:tc>
          <w:tcPr>
            <w:tcW w:w="2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49"/>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3"/>
              </w:rPr>
              <w:t>Sciences</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 xml:space="preserve">Care </w:t>
            </w:r>
            <w:r>
              <w:rPr>
                <w:rFonts w:ascii="Arial" w:cs="Arial" w:eastAsia="Arial" w:hAnsi="Arial"/>
                <w:sz w:val="14"/>
                <w:szCs w:val="14"/>
                <w:color w:val="auto"/>
              </w:rPr>
              <w:t>(a)</w:t>
            </w: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2"/>
              </w:rPr>
              <w:t xml:space="preserve">Additives </w:t>
            </w:r>
            <w:r>
              <w:rPr>
                <w:rFonts w:ascii="Arial" w:cs="Arial" w:eastAsia="Arial" w:hAnsi="Arial"/>
                <w:sz w:val="14"/>
                <w:szCs w:val="14"/>
                <w:color w:val="auto"/>
                <w:w w:val="92"/>
              </w:rPr>
              <w:t>(a)</w:t>
            </w: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Intermediates </w:t>
            </w:r>
            <w:r>
              <w:rPr>
                <w:rFonts w:ascii="Arial" w:cs="Arial" w:eastAsia="Arial" w:hAnsi="Arial"/>
                <w:sz w:val="14"/>
                <w:szCs w:val="14"/>
                <w:color w:val="auto"/>
              </w:rPr>
              <w:t>(a)</w:t>
            </w: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r>
      <w:tr>
        <w:trPr>
          <w:trHeight w:val="243"/>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2022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787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ind w:left="1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1,312</w:t>
            </w: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Currency translation</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r>
      <w:tr>
        <w:trPr>
          <w:trHeight w:val="277"/>
        </w:trPr>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822</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424</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1,369</w:t>
            </w:r>
          </w:p>
        </w:tc>
      </w:tr>
      <w:tr>
        <w:trPr>
          <w:trHeight w:val="129"/>
        </w:trPr>
        <w:tc>
          <w:tcPr>
            <w:tcW w:w="3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-128270</wp:posOffset>
            </wp:positionV>
            <wp:extent cx="310324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03245" cy="128905"/>
                    </a:xfrm>
                    <a:prstGeom prst="rect">
                      <a:avLst/>
                    </a:prstGeom>
                    <a:noFill/>
                  </pic:spPr>
                </pic:pic>
              </a:graphicData>
            </a:graphic>
          </wp:anchor>
        </w:drawing>
      </w:r>
    </w:p>
    <w:p>
      <w:pPr>
        <w:spacing w:after="0" w:line="69" w:lineRule="exact"/>
        <w:rPr>
          <w:sz w:val="20"/>
          <w:szCs w:val="20"/>
          <w:color w:val="auto"/>
        </w:rPr>
      </w:pPr>
    </w:p>
    <w:p>
      <w:pPr>
        <w:ind w:left="740" w:right="380" w:hanging="358"/>
        <w:spacing w:after="0" w:line="253" w:lineRule="auto"/>
        <w:tabs>
          <w:tab w:leader="none" w:pos="7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December 31, 2022 and September 30, 2022, there were accumulated impairments of $356 million, $174 million and $90 million related to the Personal Care, Specialty Additives and Intermediates reportable segments, respectively.</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Other intangible assets</w:t>
      </w:r>
    </w:p>
    <w:p>
      <w:pPr>
        <w:spacing w:after="0" w:line="114"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20 years, intellectual property over 3 to 20 years, and customer and supplier relationships over 10 to 24 years.</w:t>
      </w:r>
    </w:p>
    <w:p>
      <w:pPr>
        <w:spacing w:after="0" w:line="83"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20"/>
          <w:szCs w:val="20"/>
          <w:color w:val="auto"/>
        </w:rPr>
        <w:t>Ashland annually reviews, as of July 1, indefinite-lived intangible assets for possible impairment or whenever events or changes in circumstances indicate that carrying amounts may not be recoverable.</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No indicators of impairment were identified in the three months ended December 31, 2022.</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Other intangible assets were comprised of the following as of December 31, 2022 and September 30,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 w:type="dxa"/>
            <w:vAlign w:val="bottom"/>
          </w:tcPr>
          <w:p>
            <w:pPr>
              <w:spacing w:after="0"/>
              <w:rPr>
                <w:sz w:val="21"/>
                <w:szCs w:val="21"/>
                <w:color w:val="auto"/>
              </w:rPr>
            </w:pPr>
          </w:p>
        </w:tc>
        <w:tc>
          <w:tcPr>
            <w:tcW w:w="46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December 31, 2022</w:t>
            </w:r>
          </w:p>
        </w:tc>
        <w:tc>
          <w:tcPr>
            <w:tcW w:w="3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center"/>
              <w:ind w:right="27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color w:val="auto"/>
                <w:w w:val="92"/>
              </w:rPr>
              <w:t>Net</w:t>
            </w:r>
          </w:p>
        </w:tc>
        <w:tc>
          <w:tcPr>
            <w:tcW w:w="400" w:type="dxa"/>
            <w:vAlign w:val="bottom"/>
          </w:tcPr>
          <w:p>
            <w:pPr>
              <w:spacing w:after="0"/>
              <w:rPr>
                <w:sz w:val="20"/>
                <w:szCs w:val="20"/>
                <w:color w:val="auto"/>
              </w:rPr>
            </w:pPr>
          </w:p>
        </w:tc>
      </w:tr>
      <w:tr>
        <w:trPr>
          <w:trHeight w:val="242"/>
        </w:trPr>
        <w:tc>
          <w:tcPr>
            <w:tcW w:w="4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center"/>
              <w:ind w:right="250"/>
              <w:spacing w:after="0"/>
              <w:rPr>
                <w:sz w:val="20"/>
                <w:szCs w:val="20"/>
                <w:color w:val="auto"/>
              </w:rPr>
            </w:pPr>
            <w:r>
              <w:rPr>
                <w:rFonts w:ascii="Arial" w:cs="Arial" w:eastAsia="Arial" w:hAnsi="Arial"/>
                <w:sz w:val="18"/>
                <w:szCs w:val="18"/>
                <w:color w:val="auto"/>
                <w:w w:val="93"/>
              </w:rPr>
              <w:t>carrying</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tcPr>
          <w:p>
            <w:pPr>
              <w:jc w:val="right"/>
              <w:ind w:right="590"/>
              <w:spacing w:after="0"/>
              <w:rPr>
                <w:sz w:val="20"/>
                <w:szCs w:val="20"/>
                <w:color w:val="auto"/>
              </w:rPr>
            </w:pPr>
            <w:r>
              <w:rPr>
                <w:rFonts w:ascii="Arial" w:cs="Arial" w:eastAsia="Arial" w:hAnsi="Arial"/>
                <w:sz w:val="18"/>
                <w:szCs w:val="18"/>
                <w:color w:val="auto"/>
              </w:rPr>
              <w:t>Accumulated</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center"/>
              <w:ind w:right="290"/>
              <w:spacing w:after="0"/>
              <w:rPr>
                <w:sz w:val="20"/>
                <w:szCs w:val="20"/>
                <w:color w:val="auto"/>
              </w:rPr>
            </w:pPr>
            <w:r>
              <w:rPr>
                <w:rFonts w:ascii="Arial" w:cs="Arial" w:eastAsia="Arial" w:hAnsi="Arial"/>
                <w:sz w:val="18"/>
                <w:szCs w:val="18"/>
                <w:color w:val="auto"/>
                <w:w w:val="93"/>
              </w:rPr>
              <w:t>carrying</w:t>
            </w:r>
          </w:p>
        </w:tc>
        <w:tc>
          <w:tcPr>
            <w:tcW w:w="400" w:type="dxa"/>
            <w:vAlign w:val="bottom"/>
          </w:tcPr>
          <w:p>
            <w:pPr>
              <w:spacing w:after="0"/>
              <w:rPr>
                <w:sz w:val="21"/>
                <w:szCs w:val="21"/>
                <w:color w:val="auto"/>
              </w:rPr>
            </w:pPr>
          </w:p>
        </w:tc>
      </w:tr>
      <w:tr>
        <w:trPr>
          <w:trHeight w:val="250"/>
        </w:trPr>
        <w:tc>
          <w:tcPr>
            <w:tcW w:w="420" w:type="dxa"/>
            <w:vAlign w:val="bottom"/>
          </w:tcPr>
          <w:p>
            <w:pPr>
              <w:spacing w:after="0"/>
              <w:rPr>
                <w:sz w:val="21"/>
                <w:szCs w:val="21"/>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amount</w:t>
            </w: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amount</w:t>
            </w: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420" w:type="dxa"/>
            <w:vAlign w:val="bottom"/>
          </w:tcPr>
          <w:p>
            <w:pPr>
              <w:spacing w:after="0"/>
              <w:rPr>
                <w:sz w:val="20"/>
                <w:szCs w:val="20"/>
                <w:color w:val="auto"/>
              </w:rPr>
            </w:pPr>
          </w:p>
        </w:tc>
        <w:tc>
          <w:tcPr>
            <w:tcW w:w="4620" w:type="dxa"/>
            <w:vAlign w:val="bottom"/>
          </w:tcPr>
          <w:p>
            <w:pPr>
              <w:ind w:left="80"/>
              <w:spacing w:after="0"/>
              <w:rPr>
                <w:sz w:val="20"/>
                <w:szCs w:val="20"/>
                <w:color w:val="auto"/>
              </w:rPr>
            </w:pPr>
            <w:r>
              <w:rPr>
                <w:rFonts w:ascii="Arial" w:cs="Arial" w:eastAsia="Arial" w:hAnsi="Arial"/>
                <w:sz w:val="18"/>
                <w:szCs w:val="18"/>
                <w:color w:val="auto"/>
              </w:rPr>
              <w:t>Trademarks and trade names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(39 )</w:t>
            </w: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20"/>
                <w:szCs w:val="20"/>
                <w:color w:val="auto"/>
              </w:rPr>
            </w:pPr>
          </w:p>
        </w:tc>
      </w:tr>
      <w:tr>
        <w:trPr>
          <w:trHeight w:val="249"/>
        </w:trPr>
        <w:tc>
          <w:tcPr>
            <w:tcW w:w="420" w:type="dxa"/>
            <w:vAlign w:val="bottom"/>
          </w:tcPr>
          <w:p>
            <w:pPr>
              <w:spacing w:after="0"/>
              <w:rPr>
                <w:sz w:val="21"/>
                <w:szCs w:val="21"/>
                <w:color w:val="auto"/>
              </w:rPr>
            </w:pPr>
          </w:p>
        </w:tc>
        <w:tc>
          <w:tcPr>
            <w:tcW w:w="4620" w:type="dxa"/>
            <w:vAlign w:val="bottom"/>
            <w:shd w:val="clear" w:color="auto" w:fill="CFF0FC"/>
          </w:tcPr>
          <w:p>
            <w:pPr>
              <w:ind w:left="80"/>
              <w:spacing w:after="0"/>
              <w:rPr>
                <w:sz w:val="20"/>
                <w:szCs w:val="20"/>
                <w:color w:val="auto"/>
              </w:rPr>
            </w:pPr>
            <w:r>
              <w:rPr>
                <w:rFonts w:ascii="Arial" w:cs="Arial" w:eastAsia="Arial" w:hAnsi="Arial"/>
                <w:sz w:val="18"/>
                <w:szCs w:val="18"/>
                <w:color w:val="auto"/>
              </w:rPr>
              <w:t>Intellectual property</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(546 )</w:t>
            </w: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188</w:t>
            </w: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4620" w:type="dxa"/>
            <w:vAlign w:val="bottom"/>
          </w:tcPr>
          <w:p>
            <w:pPr>
              <w:ind w:left="80"/>
              <w:spacing w:after="0"/>
              <w:rPr>
                <w:sz w:val="20"/>
                <w:szCs w:val="20"/>
                <w:color w:val="auto"/>
              </w:rPr>
            </w:pPr>
            <w:r>
              <w:rPr>
                <w:rFonts w:ascii="Arial" w:cs="Arial" w:eastAsia="Arial" w:hAnsi="Arial"/>
                <w:sz w:val="18"/>
                <w:szCs w:val="18"/>
                <w:color w:val="auto"/>
              </w:rPr>
              <w:t>Customer and supplier relationships</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824</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(390 )</w:t>
            </w:r>
          </w:p>
        </w:tc>
        <w:tc>
          <w:tcPr>
            <w:tcW w:w="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w:t>
            </w:r>
          </w:p>
        </w:tc>
        <w:tc>
          <w:tcPr>
            <w:tcW w:w="400" w:type="dxa"/>
            <w:vAlign w:val="bottom"/>
          </w:tcPr>
          <w:p>
            <w:pPr>
              <w:spacing w:after="0"/>
              <w:rPr>
                <w:sz w:val="21"/>
                <w:szCs w:val="21"/>
                <w:color w:val="auto"/>
              </w:rPr>
            </w:pPr>
          </w:p>
        </w:tc>
      </w:tr>
      <w:tr>
        <w:trPr>
          <w:trHeight w:val="236"/>
        </w:trPr>
        <w:tc>
          <w:tcPr>
            <w:tcW w:w="420" w:type="dxa"/>
            <w:vAlign w:val="bottom"/>
          </w:tcPr>
          <w:p>
            <w:pPr>
              <w:spacing w:after="0"/>
              <w:rPr>
                <w:sz w:val="20"/>
                <w:szCs w:val="20"/>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2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1,656</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(975 )</w:t>
            </w:r>
          </w:p>
        </w:tc>
        <w:tc>
          <w:tcPr>
            <w:tcW w:w="3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681</w:t>
            </w:r>
          </w:p>
        </w:tc>
        <w:tc>
          <w:tcPr>
            <w:tcW w:w="400" w:type="dxa"/>
            <w:vAlign w:val="bottom"/>
          </w:tcPr>
          <w:p>
            <w:pPr>
              <w:spacing w:after="0"/>
              <w:rPr>
                <w:sz w:val="20"/>
                <w:szCs w:val="20"/>
                <w:color w:val="auto"/>
              </w:rPr>
            </w:pPr>
          </w:p>
        </w:tc>
      </w:tr>
      <w:tr>
        <w:trPr>
          <w:trHeight w:val="237"/>
        </w:trPr>
        <w:tc>
          <w:tcPr>
            <w:tcW w:w="4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3"/>
        </w:trPr>
        <w:tc>
          <w:tcPr>
            <w:tcW w:w="420" w:type="dxa"/>
            <w:vAlign w:val="bottom"/>
          </w:tcPr>
          <w:p>
            <w:pPr>
              <w:spacing w:after="0"/>
              <w:rPr>
                <w:sz w:val="21"/>
                <w:szCs w:val="21"/>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4620" w:type="dxa"/>
            <w:vAlign w:val="bottom"/>
          </w:tcPr>
          <w:p>
            <w:pPr>
              <w:ind w:left="80"/>
              <w:spacing w:after="0"/>
              <w:rPr>
                <w:sz w:val="20"/>
                <w:szCs w:val="20"/>
                <w:color w:val="auto"/>
              </w:rPr>
            </w:pPr>
            <w:r>
              <w:rPr>
                <w:rFonts w:ascii="Arial" w:cs="Arial" w:eastAsia="Arial" w:hAnsi="Arial"/>
                <w:sz w:val="18"/>
                <w:szCs w:val="18"/>
                <w:color w:val="auto"/>
              </w:rPr>
              <w:t>Trademarks and trade names</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400" w:type="dxa"/>
            <w:vAlign w:val="bottom"/>
          </w:tcPr>
          <w:p>
            <w:pPr>
              <w:spacing w:after="0"/>
              <w:rPr>
                <w:sz w:val="21"/>
                <w:szCs w:val="21"/>
                <w:color w:val="auto"/>
              </w:rPr>
            </w:pPr>
          </w:p>
        </w:tc>
      </w:tr>
      <w:tr>
        <w:trPr>
          <w:trHeight w:val="277"/>
        </w:trPr>
        <w:tc>
          <w:tcPr>
            <w:tcW w:w="420" w:type="dxa"/>
            <w:vAlign w:val="bottom"/>
          </w:tcPr>
          <w:p>
            <w:pPr>
              <w:spacing w:after="0"/>
              <w:rPr>
                <w:sz w:val="24"/>
                <w:szCs w:val="24"/>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1,934</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(975 )</w:t>
            </w:r>
          </w:p>
        </w:tc>
        <w:tc>
          <w:tcPr>
            <w:tcW w:w="3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959</w:t>
            </w:r>
          </w:p>
        </w:tc>
        <w:tc>
          <w:tcPr>
            <w:tcW w:w="400" w:type="dxa"/>
            <w:vAlign w:val="bottom"/>
          </w:tcPr>
          <w:p>
            <w:pPr>
              <w:spacing w:after="0"/>
              <w:rPr>
                <w:sz w:val="24"/>
                <w:szCs w:val="24"/>
                <w:color w:val="auto"/>
              </w:rPr>
            </w:pPr>
          </w:p>
        </w:tc>
      </w:tr>
      <w:tr>
        <w:trPr>
          <w:trHeight w:val="520"/>
        </w:trPr>
        <w:tc>
          <w:tcPr>
            <w:tcW w:w="4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69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46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-1079500</wp:posOffset>
            </wp:positionV>
            <wp:extent cx="10287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-1079500</wp:posOffset>
            </wp:positionV>
            <wp:extent cx="24003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0030" cy="16319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-445135</wp:posOffset>
            </wp:positionV>
            <wp:extent cx="1028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-427990</wp:posOffset>
            </wp:positionV>
            <wp:extent cx="102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-445135</wp:posOffset>
            </wp:positionV>
            <wp:extent cx="2400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-427990</wp:posOffset>
            </wp:positionV>
            <wp:extent cx="2400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tbl>
      <w:tblPr>
        <w:tblLayout w:type="fixed"/>
        <w:tblInd w:w="420" w:type="dxa"/>
        <w:tblCellMar>
          <w:top w:w="0" w:type="dxa"/>
          <w:left w:w="0" w:type="dxa"/>
          <w:bottom w:w="0" w:type="dxa"/>
          <w:right w:w="0" w:type="dxa"/>
        </w:tblCellMar>
      </w:tblPr>
      <w:tr>
        <w:trPr>
          <w:trHeight w:val="250"/>
        </w:trPr>
        <w:tc>
          <w:tcPr>
            <w:tcW w:w="46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September 30, 2022</w:t>
            </w:r>
          </w:p>
        </w:tc>
        <w:tc>
          <w:tcPr>
            <w:tcW w:w="3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r>
      <w:tr>
        <w:trPr>
          <w:trHeight w:val="23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center"/>
              <w:ind w:right="27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center"/>
              <w:ind w:right="270"/>
              <w:spacing w:after="0"/>
              <w:rPr>
                <w:sz w:val="20"/>
                <w:szCs w:val="20"/>
                <w:color w:val="auto"/>
              </w:rPr>
            </w:pPr>
            <w:r>
              <w:rPr>
                <w:rFonts w:ascii="Arial" w:cs="Arial" w:eastAsia="Arial" w:hAnsi="Arial"/>
                <w:sz w:val="18"/>
                <w:szCs w:val="18"/>
                <w:color w:val="auto"/>
                <w:w w:val="92"/>
              </w:rPr>
              <w:t>Net</w:t>
            </w:r>
          </w:p>
        </w:tc>
      </w:tr>
      <w:tr>
        <w:trPr>
          <w:trHeight w:val="242"/>
        </w:trPr>
        <w:tc>
          <w:tcPr>
            <w:tcW w:w="4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center"/>
              <w:ind w:right="250"/>
              <w:spacing w:after="0"/>
              <w:rPr>
                <w:sz w:val="20"/>
                <w:szCs w:val="20"/>
                <w:color w:val="auto"/>
              </w:rPr>
            </w:pPr>
            <w:r>
              <w:rPr>
                <w:rFonts w:ascii="Arial" w:cs="Arial" w:eastAsia="Arial" w:hAnsi="Arial"/>
                <w:sz w:val="18"/>
                <w:szCs w:val="18"/>
                <w:color w:val="auto"/>
                <w:w w:val="93"/>
              </w:rPr>
              <w:t>carrying</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tcPr>
          <w:p>
            <w:pPr>
              <w:jc w:val="right"/>
              <w:ind w:right="590"/>
              <w:spacing w:after="0"/>
              <w:rPr>
                <w:sz w:val="20"/>
                <w:szCs w:val="20"/>
                <w:color w:val="auto"/>
              </w:rPr>
            </w:pPr>
            <w:r>
              <w:rPr>
                <w:rFonts w:ascii="Arial" w:cs="Arial" w:eastAsia="Arial" w:hAnsi="Arial"/>
                <w:sz w:val="18"/>
                <w:szCs w:val="18"/>
                <w:color w:val="auto"/>
              </w:rPr>
              <w:t>Accumulated</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center"/>
              <w:ind w:right="290"/>
              <w:spacing w:after="0"/>
              <w:rPr>
                <w:sz w:val="20"/>
                <w:szCs w:val="20"/>
                <w:color w:val="auto"/>
              </w:rPr>
            </w:pPr>
            <w:r>
              <w:rPr>
                <w:rFonts w:ascii="Arial" w:cs="Arial" w:eastAsia="Arial" w:hAnsi="Arial"/>
                <w:sz w:val="18"/>
                <w:szCs w:val="18"/>
                <w:color w:val="auto"/>
                <w:w w:val="93"/>
              </w:rPr>
              <w:t>carrying</w:t>
            </w:r>
          </w:p>
        </w:tc>
      </w:tr>
      <w:tr>
        <w:trPr>
          <w:trHeight w:val="250"/>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amount</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amount</w:t>
            </w:r>
          </w:p>
        </w:tc>
      </w:tr>
      <w:tr>
        <w:trPr>
          <w:trHeight w:val="24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7"/>
        </w:trPr>
        <w:tc>
          <w:tcPr>
            <w:tcW w:w="4620" w:type="dxa"/>
            <w:vAlign w:val="bottom"/>
          </w:tcPr>
          <w:p>
            <w:pPr>
              <w:ind w:left="80"/>
              <w:spacing w:after="0"/>
              <w:rPr>
                <w:sz w:val="20"/>
                <w:szCs w:val="20"/>
                <w:color w:val="auto"/>
              </w:rPr>
            </w:pPr>
            <w:r>
              <w:rPr>
                <w:rFonts w:ascii="Arial" w:cs="Arial" w:eastAsia="Arial" w:hAnsi="Arial"/>
                <w:sz w:val="18"/>
                <w:szCs w:val="18"/>
                <w:color w:val="auto"/>
              </w:rPr>
              <w:t>Trademarks and trade names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(37 )</w:t>
            </w: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49"/>
        </w:trPr>
        <w:tc>
          <w:tcPr>
            <w:tcW w:w="4620" w:type="dxa"/>
            <w:vAlign w:val="bottom"/>
            <w:shd w:val="clear" w:color="auto" w:fill="CFF0FC"/>
          </w:tcPr>
          <w:p>
            <w:pPr>
              <w:ind w:left="80"/>
              <w:spacing w:after="0"/>
              <w:rPr>
                <w:sz w:val="20"/>
                <w:szCs w:val="20"/>
                <w:color w:val="auto"/>
              </w:rPr>
            </w:pPr>
            <w:r>
              <w:rPr>
                <w:rFonts w:ascii="Arial" w:cs="Arial" w:eastAsia="Arial" w:hAnsi="Arial"/>
                <w:sz w:val="18"/>
                <w:szCs w:val="18"/>
                <w:color w:val="auto"/>
              </w:rPr>
              <w:t>Intellectual property</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718</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(523 )</w:t>
            </w: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195</w:t>
            </w:r>
          </w:p>
        </w:tc>
      </w:tr>
      <w:tr>
        <w:trPr>
          <w:trHeight w:val="243"/>
        </w:trPr>
        <w:tc>
          <w:tcPr>
            <w:tcW w:w="4620" w:type="dxa"/>
            <w:vAlign w:val="bottom"/>
          </w:tcPr>
          <w:p>
            <w:pPr>
              <w:ind w:left="80"/>
              <w:spacing w:after="0"/>
              <w:rPr>
                <w:sz w:val="20"/>
                <w:szCs w:val="20"/>
                <w:color w:val="auto"/>
              </w:rPr>
            </w:pPr>
            <w:r>
              <w:rPr>
                <w:rFonts w:ascii="Arial" w:cs="Arial" w:eastAsia="Arial" w:hAnsi="Arial"/>
                <w:sz w:val="18"/>
                <w:szCs w:val="18"/>
                <w:color w:val="auto"/>
              </w:rPr>
              <w:t>Customer and supplier relationships</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801</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(369 )</w:t>
            </w:r>
          </w:p>
        </w:tc>
        <w:tc>
          <w:tcPr>
            <w:tcW w:w="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w:t>
            </w:r>
          </w:p>
        </w:tc>
      </w:tr>
      <w:tr>
        <w:trPr>
          <w:trHeight w:val="237"/>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2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1,614</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(929 )</w:t>
            </w:r>
          </w:p>
        </w:tc>
        <w:tc>
          <w:tcPr>
            <w:tcW w:w="3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685</w:t>
            </w: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43"/>
        </w:trPr>
        <w:tc>
          <w:tcPr>
            <w:tcW w:w="4620" w:type="dxa"/>
            <w:vAlign w:val="bottom"/>
          </w:tcPr>
          <w:p>
            <w:pPr>
              <w:ind w:left="80"/>
              <w:spacing w:after="0"/>
              <w:rPr>
                <w:sz w:val="20"/>
                <w:szCs w:val="20"/>
                <w:color w:val="auto"/>
              </w:rPr>
            </w:pPr>
            <w:r>
              <w:rPr>
                <w:rFonts w:ascii="Arial" w:cs="Arial" w:eastAsia="Arial" w:hAnsi="Arial"/>
                <w:sz w:val="18"/>
                <w:szCs w:val="18"/>
                <w:color w:val="auto"/>
              </w:rPr>
              <w:t>Trademarks and trade names</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r>
      <w:tr>
        <w:trPr>
          <w:trHeight w:val="276"/>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1,892</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(929 )</w:t>
            </w:r>
          </w:p>
        </w:tc>
        <w:tc>
          <w:tcPr>
            <w:tcW w:w="3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-659130</wp:posOffset>
            </wp:positionV>
            <wp:extent cx="10287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-659130</wp:posOffset>
            </wp:positionV>
            <wp:extent cx="24003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0030" cy="16319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-25400</wp:posOffset>
            </wp:positionV>
            <wp:extent cx="102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2400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2400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85" w:lineRule="exact"/>
        <w:rPr>
          <w:sz w:val="20"/>
          <w:szCs w:val="20"/>
          <w:color w:val="auto"/>
        </w:rPr>
      </w:pPr>
    </w:p>
    <w:p>
      <w:pPr>
        <w:jc w:val="both"/>
        <w:ind w:left="380"/>
        <w:spacing w:after="0" w:line="276" w:lineRule="auto"/>
        <w:rPr>
          <w:sz w:val="20"/>
          <w:szCs w:val="20"/>
          <w:color w:val="auto"/>
        </w:rPr>
      </w:pPr>
      <w:r>
        <w:rPr>
          <w:rFonts w:ascii="Arial" w:cs="Arial" w:eastAsia="Arial" w:hAnsi="Arial"/>
          <w:sz w:val="18"/>
          <w:szCs w:val="18"/>
          <w:color w:val="auto"/>
        </w:rPr>
        <w:t>Amortization expense recognized on intangible assets was $23 million and $24 million for the three months ended December 31, 2022 and 2021, respectively, and is included in the intangibles amortization expense caption of the Statements of Consolidated Comprehensive Income (Loss). Estimated amortization expense for future periods is $92 million in 2023 (includes three months actual and nine months estimated), $78 million in 2024, $73 million in 2025, $70 million in 2026 and $50 million in 2027. Actual amounts may change from such estimated amounts due to fluctuations in foreign currency exchange rates, additional intangible asset acquisitions and divestitures, potential impairment, accelerated amortization, or other events.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H – DEBT AND OTHER FINANCING ACTIVITIES</w:t>
      </w:r>
    </w:p>
    <w:p>
      <w:pPr>
        <w:spacing w:after="0" w:line="11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The following table summarizes Ashland’s current and long-term debt as of the dates reported in the Condensed Consolidated Balance Sheets.</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50"/>
        </w:trPr>
        <w:tc>
          <w:tcPr>
            <w:tcW w:w="6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2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December 31, 2022</w:t>
            </w:r>
          </w:p>
        </w:tc>
        <w:tc>
          <w:tcPr>
            <w:tcW w:w="1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September 30, 2022</w:t>
            </w:r>
          </w:p>
        </w:tc>
      </w:tr>
      <w:tr>
        <w:trPr>
          <w:trHeight w:val="243"/>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3.375% Senior Notes, due 2031</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450</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450</w:t>
            </w:r>
          </w:p>
        </w:tc>
      </w:tr>
      <w:tr>
        <w:trPr>
          <w:trHeight w:val="237"/>
        </w:trPr>
        <w:tc>
          <w:tcPr>
            <w:tcW w:w="6120" w:type="dxa"/>
            <w:vAlign w:val="bottom"/>
          </w:tcPr>
          <w:p>
            <w:pPr>
              <w:spacing w:after="0"/>
              <w:rPr>
                <w:sz w:val="20"/>
                <w:szCs w:val="20"/>
                <w:color w:val="auto"/>
              </w:rPr>
            </w:pPr>
            <w:r>
              <w:rPr>
                <w:rFonts w:ascii="Arial" w:cs="Arial" w:eastAsia="Arial" w:hAnsi="Arial"/>
                <w:sz w:val="18"/>
                <w:szCs w:val="18"/>
                <w:color w:val="auto"/>
              </w:rPr>
              <w:t>2.00% Senior Notes, due 2028 (Euro 500 million principal)</w:t>
            </w:r>
          </w:p>
        </w:tc>
        <w:tc>
          <w:tcPr>
            <w:tcW w:w="32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489</w:t>
            </w:r>
          </w:p>
        </w:tc>
      </w:tr>
      <w:tr>
        <w:trPr>
          <w:trHeight w:val="249"/>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6.875% notes, due 2043</w:t>
            </w:r>
          </w:p>
        </w:tc>
        <w:tc>
          <w:tcPr>
            <w:tcW w:w="32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282</w:t>
            </w:r>
          </w:p>
        </w:tc>
      </w:tr>
      <w:tr>
        <w:trPr>
          <w:trHeight w:val="237"/>
        </w:trPr>
        <w:tc>
          <w:tcPr>
            <w:tcW w:w="6120" w:type="dxa"/>
            <w:vAlign w:val="bottom"/>
          </w:tcPr>
          <w:p>
            <w:pPr>
              <w:spacing w:after="0"/>
              <w:rPr>
                <w:sz w:val="20"/>
                <w:szCs w:val="20"/>
                <w:color w:val="auto"/>
              </w:rPr>
            </w:pPr>
            <w:r>
              <w:rPr>
                <w:rFonts w:ascii="Arial" w:cs="Arial" w:eastAsia="Arial" w:hAnsi="Arial"/>
                <w:sz w:val="18"/>
                <w:szCs w:val="18"/>
                <w:color w:val="auto"/>
              </w:rPr>
              <w:t>6.50% junior subordinated notes, due 2029</w:t>
            </w:r>
          </w:p>
        </w:tc>
        <w:tc>
          <w:tcPr>
            <w:tcW w:w="32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49"/>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32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Total debt</w:t>
            </w:r>
          </w:p>
        </w:tc>
        <w:tc>
          <w:tcPr>
            <w:tcW w:w="32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1,270</w:t>
            </w:r>
          </w:p>
        </w:tc>
      </w:tr>
      <w:tr>
        <w:trPr>
          <w:trHeight w:val="249"/>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32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1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1,316</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1,270</w:t>
            </w:r>
          </w:p>
        </w:tc>
      </w:tr>
      <w:tr>
        <w:trPr>
          <w:trHeight w:val="20"/>
        </w:trPr>
        <w:tc>
          <w:tcPr>
            <w:tcW w:w="6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6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-608330</wp:posOffset>
            </wp:positionV>
            <wp:extent cx="12001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-290830</wp:posOffset>
            </wp:positionV>
            <wp:extent cx="120015" cy="291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 cy="29146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includes $14 million of debt issuance costs as of December 31, 2022 and September 30, 2022, respectively.</w:t>
      </w:r>
    </w:p>
    <w:p>
      <w:pPr>
        <w:spacing w:after="0" w:line="97"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The scheduled aggregate maturities of long-term debt by year (including the current portion and excluding debt issuance costs) are as follows as of December 31, 2022: zero in the next 4 years and $4 million in 2027.</w:t>
      </w:r>
    </w:p>
    <w:p>
      <w:pPr>
        <w:spacing w:after="0" w:line="63" w:lineRule="exact"/>
        <w:rPr>
          <w:sz w:val="20"/>
          <w:szCs w:val="20"/>
          <w:color w:val="auto"/>
        </w:rPr>
      </w:pPr>
    </w:p>
    <w:p>
      <w:pPr>
        <w:ind w:left="380" w:right="4700"/>
        <w:spacing w:after="0" w:line="355" w:lineRule="auto"/>
        <w:rPr>
          <w:sz w:val="20"/>
          <w:szCs w:val="20"/>
          <w:color w:val="auto"/>
        </w:rPr>
      </w:pPr>
      <w:r>
        <w:rPr>
          <w:rFonts w:ascii="Arial" w:cs="Arial" w:eastAsia="Arial" w:hAnsi="Arial"/>
          <w:sz w:val="20"/>
          <w:szCs w:val="20"/>
          <w:b w:val="1"/>
          <w:bCs w:val="1"/>
          <w:color w:val="auto"/>
        </w:rPr>
        <w:t xml:space="preserve">Accounts Receivable Facilities and Off-Balance Sheet Arrangements </w:t>
      </w:r>
      <w:r>
        <w:rPr>
          <w:rFonts w:ascii="Arial" w:cs="Arial" w:eastAsia="Arial" w:hAnsi="Arial"/>
          <w:sz w:val="20"/>
          <w:szCs w:val="20"/>
          <w:i w:val="1"/>
          <w:iCs w:val="1"/>
          <w:color w:val="auto"/>
        </w:rPr>
        <w:t>U.S. Accounts Receivable Sales Program</w:t>
      </w:r>
    </w:p>
    <w:p>
      <w:pPr>
        <w:spacing w:after="0" w:line="1"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Ashland continues to maintain its U.S. Accounts Receivable Sales Program entered into during fiscal 2021. Ashland accounts for the receivables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Statements of Condensed Consolidated Cash Flows. Losses on sale of assets, including related transaction expenses are recorded within the net interest and other expense (income) caption of the Statements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spacing w:after="0" w:line="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52" w:right="71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8"/>
          <w:szCs w:val="18"/>
          <w:color w:val="auto"/>
        </w:rPr>
        <w:t>Ashland recognized a loss of less than $1 million within the Statements of Consolidated Comprehensive Income (Loss) for the three months ended December 31, 2022 and 2021, respectively, within the net interest and other expense (income) caption associated with sales under the program. Ashland has recorded $90 million of sales at December 31, 2022 against the buyer’s limit, which was $100 million at December 31, 2022 compared to $110 million of sales at September 30, 2022 against the buyer's limit, which was $125 million at September 30, 2022. Ashland transferred $115 million and $136 million in receivables to the special purpose entity (SPE) as of December 31, 2022 and September 30, 2022, respectively. Ashland recorded liabilities related to its service obligations and limited guarantee as of December 31, 2022 and September 30, 2022 of less than $1 million. As of December 31, 2022, the year-to-date gross cash proceeds received for receivables transferred and derecognized was $49 million, of which $68 million was collected, which includes collections from the sales in prior year transferred to the buyer. The difference of $19 million represents the impact of a net reduction in accounts receivable sales volume during the current year.</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Accounts Receivable Securitization Facility</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Ashland continues to maintain its Foreign 2018 Accounts Receivable Securitization Facility. Ashland accounts for the Foreign 2018 Accounts Receivable Securitization Facility as secured borrowings, and the receivables sold pursuant to the facility are included in the Consolidated Balance Sheets as accounts receivable. At December 31, 2022 and September 30, 2022, the outstanding amounts of accounts receivable transferred by Ashland were $158 million and $162 million, respectively, and there were zero borrowings (denominated in multiple currencies) under the facility in both periods.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borrowing capacity and liquidity</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borrowing capacity remaining under the 2022 Credit Agreement which included the $600 million Revolving Credit Facility was $581 million due to an outstanding balance of zero, as well as a reduction of $19 million for letters of credit outstanding as of December 31, 2022. Ashland's total borrowing capacity at December 31, 2022 was $687 million, which included $106 million of available capacity from the foreign 2018 Accounts Receivable Securitization Facility.</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Additionally, Ashland had zero available liquidity under its current U.S. Accounts Receivable Sales Program as of December 31, 2022.</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Covenants related to current Ashland debt agreements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December 31, 2022, Ashland is in compliance with all debt agreement covenant restrictions.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maximum consolidated net leverage ratio permitted under Ashland's current credit agreement (the 2022 Credit Agreement) is 4.0. At December 31, 2022, Ashland’s calculation of the consolidated net leverage ratio was 1.3.</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minimum required consolidated interest coverage ratio under the 2022 Credit Agreement during its entire duration is 3.0. At December 31, 2022, Ashland’s calculation of the interest coverage ratio was 10.8.</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NOTE I – LEASING ARRANGEMENTS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lease cost recognized within the Statements of Consolidated Comprehensive Income (Loss) were as follows:</w:t>
      </w:r>
    </w:p>
    <w:p>
      <w:pPr>
        <w:spacing w:after="0" w:line="235"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2120" w:type="dxa"/>
            <w:vAlign w:val="bottom"/>
            <w:tcBorders>
              <w:top w:val="single" w:sz="8" w:color="auto"/>
            </w:tcBorders>
          </w:tcPr>
          <w:p>
            <w:pPr>
              <w:spacing w:after="0"/>
              <w:rPr>
                <w:sz w:val="21"/>
                <w:szCs w:val="21"/>
                <w:color w:val="auto"/>
              </w:rPr>
            </w:pPr>
          </w:p>
        </w:tc>
        <w:tc>
          <w:tcPr>
            <w:tcW w:w="4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gridSpan w:val="4"/>
          </w:tcPr>
          <w:p>
            <w:pPr>
              <w:jc w:val="right"/>
              <w:ind w:right="890"/>
              <w:spacing w:after="0"/>
              <w:rPr>
                <w:sz w:val="20"/>
                <w:szCs w:val="20"/>
                <w:color w:val="auto"/>
              </w:rPr>
            </w:pPr>
            <w:r>
              <w:rPr>
                <w:rFonts w:ascii="Arial" w:cs="Arial" w:eastAsia="Arial" w:hAnsi="Arial"/>
                <w:sz w:val="18"/>
                <w:szCs w:val="18"/>
                <w:color w:val="auto"/>
              </w:rPr>
              <w:t>Three months ended</w:t>
            </w:r>
          </w:p>
        </w:tc>
      </w:tr>
      <w:tr>
        <w:trPr>
          <w:trHeight w:val="249"/>
        </w:trPr>
        <w:tc>
          <w:tcPr>
            <w:tcW w:w="21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December 31</w:t>
            </w:r>
          </w:p>
        </w:tc>
        <w:tc>
          <w:tcPr>
            <w:tcW w:w="1120" w:type="dxa"/>
            <w:vAlign w:val="bottom"/>
            <w:tcBorders>
              <w:bottom w:val="single" w:sz="8" w:color="auto"/>
            </w:tcBorders>
          </w:tcPr>
          <w:p>
            <w:pPr>
              <w:spacing w:after="0"/>
              <w:rPr>
                <w:sz w:val="21"/>
                <w:szCs w:val="21"/>
                <w:color w:val="auto"/>
              </w:rPr>
            </w:pPr>
          </w:p>
        </w:tc>
      </w:tr>
      <w:tr>
        <w:trPr>
          <w:trHeight w:val="237"/>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98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Location</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r>
      <w:tr>
        <w:trPr>
          <w:trHeight w:val="243"/>
        </w:trPr>
        <w:tc>
          <w:tcPr>
            <w:tcW w:w="2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49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7"/>
        </w:trPr>
        <w:tc>
          <w:tcPr>
            <w:tcW w:w="2120" w:type="dxa"/>
            <w:vAlign w:val="bottom"/>
          </w:tcPr>
          <w:p>
            <w:pPr>
              <w:spacing w:after="0"/>
              <w:rPr>
                <w:sz w:val="20"/>
                <w:szCs w:val="20"/>
                <w:color w:val="auto"/>
              </w:rPr>
            </w:pPr>
            <w:r>
              <w:rPr>
                <w:rFonts w:ascii="Arial" w:cs="Arial" w:eastAsia="Arial" w:hAnsi="Arial"/>
                <w:sz w:val="18"/>
                <w:szCs w:val="18"/>
                <w:color w:val="auto"/>
              </w:rPr>
              <w:t>Operating lease cost</w:t>
            </w:r>
          </w:p>
        </w:tc>
        <w:tc>
          <w:tcPr>
            <w:tcW w:w="4980" w:type="dxa"/>
            <w:vAlign w:val="bottom"/>
          </w:tcPr>
          <w:p>
            <w:pPr>
              <w:ind w:left="640"/>
              <w:spacing w:after="0"/>
              <w:rPr>
                <w:sz w:val="20"/>
                <w:szCs w:val="20"/>
                <w:color w:val="auto"/>
              </w:rPr>
            </w:pPr>
            <w:r>
              <w:rPr>
                <w:rFonts w:ascii="Arial" w:cs="Arial" w:eastAsia="Arial" w:hAnsi="Arial"/>
                <w:sz w:val="18"/>
                <w:szCs w:val="18"/>
                <w:color w:val="auto"/>
              </w:rPr>
              <w:t>Selling, General &amp; Administrative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6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4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49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2120" w:type="dxa"/>
            <w:vAlign w:val="bottom"/>
          </w:tcPr>
          <w:p>
            <w:pPr>
              <w:spacing w:after="0"/>
              <w:rPr>
                <w:sz w:val="20"/>
                <w:szCs w:val="20"/>
                <w:color w:val="auto"/>
              </w:rPr>
            </w:pPr>
            <w:r>
              <w:rPr>
                <w:rFonts w:ascii="Arial" w:cs="Arial" w:eastAsia="Arial" w:hAnsi="Arial"/>
                <w:sz w:val="18"/>
                <w:szCs w:val="18"/>
                <w:color w:val="auto"/>
              </w:rPr>
              <w:t>Variable lease cost</w:t>
            </w:r>
          </w:p>
        </w:tc>
        <w:tc>
          <w:tcPr>
            <w:tcW w:w="4980" w:type="dxa"/>
            <w:vAlign w:val="bottom"/>
          </w:tcPr>
          <w:p>
            <w:pPr>
              <w:ind w:left="640"/>
              <w:spacing w:after="0"/>
              <w:rPr>
                <w:sz w:val="20"/>
                <w:szCs w:val="20"/>
                <w:color w:val="auto"/>
              </w:rPr>
            </w:pPr>
            <w:r>
              <w:rPr>
                <w:rFonts w:ascii="Arial" w:cs="Arial" w:eastAsia="Arial" w:hAnsi="Arial"/>
                <w:sz w:val="18"/>
                <w:szCs w:val="18"/>
                <w:color w:val="auto"/>
              </w:rPr>
              <w:t>Selling, General &amp; Administrative</w:t>
            </w:r>
          </w:p>
        </w:tc>
        <w:tc>
          <w:tcPr>
            <w:tcW w:w="3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4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49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2120" w:type="dxa"/>
            <w:vAlign w:val="bottom"/>
          </w:tcPr>
          <w:p>
            <w:pPr>
              <w:spacing w:after="0"/>
              <w:rPr>
                <w:sz w:val="20"/>
                <w:szCs w:val="20"/>
                <w:color w:val="auto"/>
              </w:rPr>
            </w:pPr>
            <w:r>
              <w:rPr>
                <w:rFonts w:ascii="Arial" w:cs="Arial" w:eastAsia="Arial" w:hAnsi="Arial"/>
                <w:sz w:val="18"/>
                <w:szCs w:val="18"/>
                <w:color w:val="auto"/>
              </w:rPr>
              <w:t>Short-term leases</w:t>
            </w:r>
          </w:p>
        </w:tc>
        <w:tc>
          <w:tcPr>
            <w:tcW w:w="4980" w:type="dxa"/>
            <w:vAlign w:val="bottom"/>
          </w:tcPr>
          <w:p>
            <w:pPr>
              <w:ind w:left="64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49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-25400</wp:posOffset>
            </wp:positionV>
            <wp:extent cx="1111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1111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93"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Right-of-use assets exchanged for new operating lease obligations was $2 million and $1 million for the three months ended December 31, 2022 and 2021, respectively.</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provides cash paid for amounts included in the measurement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78740</wp:posOffset>
            </wp:positionV>
            <wp:extent cx="6626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17"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Three months ended</w:t>
      </w:r>
    </w:p>
    <w:p>
      <w:pPr>
        <w:spacing w:after="0" w:line="36"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5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3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4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r>
      <w:tr>
        <w:trPr>
          <w:trHeight w:val="24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2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J – INCOME TAXES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Current fiscal year</w:t>
      </w:r>
    </w:p>
    <w:p>
      <w:pPr>
        <w:spacing w:after="0" w:line="114" w:lineRule="exact"/>
        <w:rPr>
          <w:sz w:val="20"/>
          <w:szCs w:val="20"/>
          <w:color w:val="auto"/>
        </w:rPr>
      </w:pPr>
    </w:p>
    <w:p>
      <w:pPr>
        <w:jc w:val="both"/>
        <w:ind w:left="380"/>
        <w:spacing w:after="0" w:line="287" w:lineRule="auto"/>
        <w:rPr>
          <w:sz w:val="20"/>
          <w:szCs w:val="20"/>
          <w:color w:val="auto"/>
        </w:rPr>
      </w:pPr>
      <w:r>
        <w:rPr>
          <w:rFonts w:ascii="Arial" w:cs="Arial" w:eastAsia="Arial" w:hAnsi="Arial"/>
          <w:sz w:val="19"/>
          <w:szCs w:val="19"/>
          <w:color w:val="auto"/>
        </w:rPr>
        <w:t>Ashland’s effective tax rate in any interim period is subject to adjustments related to discrete items and the mix of domestic and foreign operating results. The overall effective tax rate was 16% for the three months ended December 31, 2022.</w:t>
      </w:r>
    </w:p>
    <w:p>
      <w:pPr>
        <w:spacing w:after="0" w:line="44" w:lineRule="exact"/>
        <w:rPr>
          <w:sz w:val="20"/>
          <w:szCs w:val="20"/>
          <w:color w:val="auto"/>
        </w:rPr>
      </w:pPr>
    </w:p>
    <w:p>
      <w:pPr>
        <w:ind w:left="380" w:right="120"/>
        <w:spacing w:after="0" w:line="352" w:lineRule="auto"/>
        <w:rPr>
          <w:sz w:val="20"/>
          <w:szCs w:val="20"/>
          <w:color w:val="auto"/>
        </w:rPr>
      </w:pPr>
      <w:r>
        <w:rPr>
          <w:rFonts w:ascii="Arial" w:cs="Arial" w:eastAsia="Arial" w:hAnsi="Arial"/>
          <w:sz w:val="20"/>
          <w:szCs w:val="20"/>
          <w:color w:val="auto"/>
        </w:rPr>
        <w:t xml:space="preserve">The current quarter tax rate was impacted by jurisdictional income mix, as well as net $1 million from favorable tax discrete items. </w:t>
      </w:r>
      <w:r>
        <w:rPr>
          <w:rFonts w:ascii="Arial" w:cs="Arial" w:eastAsia="Arial" w:hAnsi="Arial"/>
          <w:sz w:val="20"/>
          <w:szCs w:val="20"/>
          <w:b w:val="1"/>
          <w:bCs w:val="1"/>
          <w:color w:val="auto"/>
        </w:rPr>
        <w:t>Prior fiscal year</w:t>
      </w:r>
    </w:p>
    <w:p>
      <w:pPr>
        <w:jc w:val="both"/>
        <w:ind w:left="380"/>
        <w:spacing w:after="0" w:line="260" w:lineRule="auto"/>
        <w:rPr>
          <w:sz w:val="20"/>
          <w:szCs w:val="20"/>
          <w:color w:val="auto"/>
        </w:rPr>
      </w:pPr>
      <w:r>
        <w:rPr>
          <w:rFonts w:ascii="Arial" w:cs="Arial" w:eastAsia="Arial" w:hAnsi="Arial"/>
          <w:sz w:val="20"/>
          <w:szCs w:val="20"/>
          <w:color w:val="auto"/>
        </w:rPr>
        <w:t>The overall effective tax rate was 13% for the three months ended December 31, 2021. The quarter tax rate was impacted by jurisdictional income mix, as well as $3 million from favorable tax discrete items.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Unrecognized tax benefits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Changes in unrecognized tax benefits are summarized as follows for the three months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87630</wp:posOffset>
            </wp:positionV>
            <wp:extent cx="6626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420" w:type="dxa"/>
        <w:tblCellMar>
          <w:top w:w="0" w:type="dxa"/>
          <w:left w:w="0" w:type="dxa"/>
          <w:bottom w:w="0" w:type="dxa"/>
          <w:right w:w="0" w:type="dxa"/>
        </w:tblCellMar>
      </w:tblPr>
      <w:tr>
        <w:trPr>
          <w:trHeight w:val="250"/>
        </w:trPr>
        <w:tc>
          <w:tcPr>
            <w:tcW w:w="8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October 1, 2022</w:t>
            </w: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8100" w:type="dxa"/>
            <w:vAlign w:val="bottom"/>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10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8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2022</w:t>
            </w: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85</w:t>
            </w:r>
          </w:p>
        </w:tc>
      </w:tr>
      <w:tr>
        <w:trPr>
          <w:trHeight w:val="129"/>
        </w:trPr>
        <w:tc>
          <w:tcPr>
            <w:tcW w:w="8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bl>
    <w:p>
      <w:pPr>
        <w:spacing w:after="0" w:line="91"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From a combination of statute expirations and audit settlements in the next twelve months, Ashland expects a decrease in the amount accrued for uncertain tax positions of between $25 million and $35 million.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49" w:right="71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NOTE K - EMPLOYEE BENEFIT PLANS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Plan contributions</w:t>
      </w:r>
    </w:p>
    <w:p>
      <w:pPr>
        <w:spacing w:after="0" w:line="114"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For the three months ended December 31, 2022, Ashland contributed $1 million to its non-U.S. pension plans and zero to its U.S. pension plans. Ashland does not expect to contribute to its U.S. pension plans and expects to make additional contributions of approximately $3 million to its non-U.S. pension plans during the remainder of fiscal 2023.</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Components of net periodic benefit loss (income)</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details the components of pension and other postretirement benefit costs for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74930</wp:posOffset>
            </wp:positionV>
            <wp:extent cx="6638925" cy="4845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38925" cy="484505"/>
                    </a:xfrm>
                    <a:prstGeom prst="rect">
                      <a:avLst/>
                    </a:prstGeom>
                    <a:noFill/>
                  </pic:spPr>
                </pic:pic>
              </a:graphicData>
            </a:graphic>
          </wp:anchor>
        </w:drawing>
      </w:r>
    </w:p>
    <w:p>
      <w:pPr>
        <w:spacing w:after="0" w:line="98"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3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5"/>
          </w:tcPr>
          <w:p>
            <w:pPr>
              <w:jc w:val="center"/>
              <w:ind w:right="250"/>
              <w:spacing w:after="0"/>
              <w:rPr>
                <w:sz w:val="20"/>
                <w:szCs w:val="20"/>
                <w:color w:val="auto"/>
              </w:rPr>
            </w:pPr>
            <w:r>
              <w:rPr>
                <w:rFonts w:ascii="Arial" w:cs="Arial" w:eastAsia="Arial" w:hAnsi="Arial"/>
                <w:sz w:val="18"/>
                <w:szCs w:val="18"/>
                <w:color w:val="auto"/>
                <w:w w:val="90"/>
              </w:rPr>
              <w:t>Other postretirement</w:t>
            </w:r>
          </w:p>
        </w:tc>
        <w:tc>
          <w:tcPr>
            <w:tcW w:w="80" w:type="dxa"/>
            <w:vAlign w:val="bottom"/>
          </w:tcPr>
          <w:p>
            <w:pPr>
              <w:spacing w:after="0"/>
              <w:rPr>
                <w:sz w:val="19"/>
                <w:szCs w:val="19"/>
                <w:color w:val="auto"/>
              </w:rPr>
            </w:pPr>
          </w:p>
        </w:tc>
      </w:tr>
      <w:tr>
        <w:trPr>
          <w:trHeight w:val="237"/>
        </w:trPr>
        <w:tc>
          <w:tcPr>
            <w:tcW w:w="34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w w:val="91"/>
              </w:rPr>
              <w:t>Pension benefits</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color w:val="auto"/>
                <w:w w:val="91"/>
              </w:rPr>
              <w:t>benefits</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r>
      <w:tr>
        <w:trPr>
          <w:trHeight w:val="243"/>
        </w:trPr>
        <w:tc>
          <w:tcPr>
            <w:tcW w:w="3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Three months ended December 31</w:t>
            </w:r>
          </w:p>
        </w:tc>
        <w:tc>
          <w:tcPr>
            <w:tcW w:w="10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Service cost</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34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r>
      <w:tr>
        <w:trPr>
          <w:trHeight w:val="249"/>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0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1"/>
                <w:szCs w:val="21"/>
                <w:color w:val="auto"/>
              </w:rPr>
            </w:pPr>
          </w:p>
        </w:tc>
      </w:tr>
      <w:tr>
        <w:trPr>
          <w:trHeight w:val="237"/>
        </w:trPr>
        <w:tc>
          <w:tcPr>
            <w:tcW w:w="34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r>
      <w:tr>
        <w:trPr>
          <w:trHeight w:val="283"/>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periodic benefit loss</w:t>
            </w: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93"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Income (Loss). All other components are recorded within the other net periodic benefit loss caption on the Statements of Consolidated Comprehensive Income (Loss), which netted to $1 million and zero for the three months ended December 31, 2022 and 2021,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L – LITIGATION, CLAIMS AND CONTINGENCIES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Asbestos litigation</w:t>
      </w:r>
    </w:p>
    <w:p>
      <w:pPr>
        <w:spacing w:after="0" w:line="114" w:lineRule="exact"/>
        <w:rPr>
          <w:sz w:val="20"/>
          <w:szCs w:val="20"/>
          <w:color w:val="auto"/>
        </w:rPr>
      </w:pPr>
    </w:p>
    <w:p>
      <w:pPr>
        <w:jc w:val="both"/>
        <w:ind w:left="380"/>
        <w:spacing w:after="0" w:line="257" w:lineRule="auto"/>
        <w:rPr>
          <w:sz w:val="20"/>
          <w:szCs w:val="20"/>
          <w:color w:val="auto"/>
        </w:rPr>
      </w:pPr>
      <w:r>
        <w:rPr>
          <w:rFonts w:ascii="Arial" w:cs="Arial" w:eastAsia="Arial" w:hAnsi="Arial"/>
          <w:sz w:val="19"/>
          <w:szCs w:val="19"/>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77" w:lineRule="exact"/>
        <w:rPr>
          <w:sz w:val="20"/>
          <w:szCs w:val="20"/>
          <w:color w:val="auto"/>
        </w:rPr>
      </w:pPr>
    </w:p>
    <w:p>
      <w:pPr>
        <w:jc w:val="both"/>
        <w:ind w:left="380"/>
        <w:spacing w:after="0" w:line="255" w:lineRule="auto"/>
        <w:rPr>
          <w:sz w:val="20"/>
          <w:szCs w:val="20"/>
          <w:color w:val="auto"/>
        </w:rPr>
      </w:pPr>
      <w:r>
        <w:rPr>
          <w:rFonts w:ascii="Arial" w:cs="Arial" w:eastAsia="Arial" w:hAnsi="Arial"/>
          <w:sz w:val="19"/>
          <w:szCs w:val="19"/>
          <w:color w:val="auto"/>
        </w:rPr>
        <w:t>To assist in developing and annually updating independent reserve estimates for future asbestos claims and related costs given various assumptions for Ashland and Hercules asbestos claims, Ashland retained third party actuarial experts Gnarus. The methodology used by Gnarus to project future asbestos costs is based largely on recent experience, including claim-filing and settlement rates, disease mix,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8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49" w:right="719" w:bottom="1440" w:gutter="0" w:footer="0" w:header="0"/>
        </w:sectPr>
      </w:pPr>
    </w:p>
    <w:bookmarkStart w:id="15" w:name="page16"/>
    <w:bookmarkEnd w:id="15"/>
    <w:p>
      <w:pPr>
        <w:spacing w:after="0"/>
        <w:rPr>
          <w:sz w:val="20"/>
          <w:szCs w:val="20"/>
          <w:color w:val="auto"/>
        </w:rPr>
      </w:pPr>
      <w:r>
        <w:rPr>
          <w:rFonts w:ascii="Arial" w:cs="Arial" w:eastAsia="Arial" w:hAnsi="Arial"/>
          <w:sz w:val="20"/>
          <w:szCs w:val="20"/>
          <w:i w:val="1"/>
          <w:iCs w:val="1"/>
          <w:color w:val="auto"/>
        </w:rPr>
        <w:t>Ashland asbestos-related litigation</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follows.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444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Three months ended</w:t>
            </w: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49"/>
        </w:trPr>
        <w:tc>
          <w:tcPr>
            <w:tcW w:w="4440" w:type="dxa"/>
            <w:vAlign w:val="bottom"/>
          </w:tcPr>
          <w:p>
            <w:pPr>
              <w:spacing w:after="0"/>
              <w:rPr>
                <w:sz w:val="21"/>
                <w:szCs w:val="21"/>
                <w:color w:val="auto"/>
              </w:rPr>
            </w:pPr>
          </w:p>
        </w:tc>
        <w:tc>
          <w:tcPr>
            <w:tcW w:w="23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21"/>
                <w:szCs w:val="21"/>
                <w:color w:val="auto"/>
              </w:rPr>
            </w:pPr>
          </w:p>
        </w:tc>
        <w:tc>
          <w:tcPr>
            <w:tcW w:w="268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color w:val="auto"/>
                <w:w w:val="88"/>
              </w:rPr>
              <w:t>Years ended September 30</w:t>
            </w:r>
          </w:p>
        </w:tc>
        <w:tc>
          <w:tcPr>
            <w:tcW w:w="800" w:type="dxa"/>
            <w:vAlign w:val="bottom"/>
            <w:tcBorders>
              <w:bottom w:val="single" w:sz="8" w:color="auto"/>
            </w:tcBorders>
          </w:tcPr>
          <w:p>
            <w:pPr>
              <w:spacing w:after="0"/>
              <w:rPr>
                <w:sz w:val="21"/>
                <w:szCs w:val="21"/>
                <w:color w:val="auto"/>
              </w:rPr>
            </w:pPr>
          </w:p>
        </w:tc>
      </w:tr>
      <w:tr>
        <w:trPr>
          <w:trHeight w:val="237"/>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2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2020</w:t>
            </w:r>
          </w:p>
        </w:tc>
      </w:tr>
      <w:tr>
        <w:trPr>
          <w:trHeight w:val="24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w:t>
            </w: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1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11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r>
      <w:tr>
        <w:trPr>
          <w:trHeight w:val="237"/>
        </w:trPr>
        <w:tc>
          <w:tcPr>
            <w:tcW w:w="4440" w:type="dxa"/>
            <w:vAlign w:val="bottom"/>
          </w:tcPr>
          <w:p>
            <w:pPr>
              <w:spacing w:after="0"/>
              <w:rPr>
                <w:sz w:val="20"/>
                <w:szCs w:val="20"/>
                <w:color w:val="auto"/>
              </w:rPr>
            </w:pPr>
            <w:r>
              <w:rPr>
                <w:rFonts w:ascii="Arial" w:cs="Arial" w:eastAsia="Arial" w:hAnsi="Arial"/>
                <w:sz w:val="18"/>
                <w:szCs w:val="18"/>
                <w:color w:val="auto"/>
              </w:rPr>
              <w:t>New claims filed</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4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Claims settled</w:t>
            </w: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Claims dismissed</w:t>
            </w:r>
          </w:p>
        </w:tc>
        <w:tc>
          <w:tcPr>
            <w:tcW w:w="1120" w:type="dxa"/>
            <w:vAlign w:val="bottom"/>
          </w:tcPr>
          <w:p>
            <w:pPr>
              <w:jc w:val="right"/>
              <w:spacing w:after="0"/>
              <w:rPr>
                <w:sz w:val="20"/>
                <w:szCs w:val="20"/>
                <w:color w:val="auto"/>
              </w:rPr>
            </w:pPr>
            <w:r>
              <w:rPr>
                <w:rFonts w:ascii="Arial" w:cs="Arial" w:eastAsia="Arial" w:hAnsi="Arial"/>
                <w:sz w:val="18"/>
                <w:szCs w:val="18"/>
                <w:color w:val="auto"/>
              </w:rPr>
              <w:t>(1 )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7"/>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Open claims - end of period</w:t>
            </w:r>
          </w:p>
        </w:tc>
        <w:tc>
          <w:tcPr>
            <w:tcW w:w="11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-24765</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-7620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-24765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4341495</wp:posOffset>
            </wp:positionH>
            <wp:positionV relativeFrom="paragraph">
              <wp:posOffset>-7620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5130165</wp:posOffset>
            </wp:positionH>
            <wp:positionV relativeFrom="paragraph">
              <wp:posOffset>-24765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5130165</wp:posOffset>
            </wp:positionH>
            <wp:positionV relativeFrom="paragraph">
              <wp:posOffset>-7620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-24765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-7620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asbestos-related liability</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most recent update completed during 2022, it was determined that the liability for Ashland asbestos-related claims should be increased by $16 million. Total reserves for asbestos claims were $292 million at December 31, 2022 compared to $305 million at September 30, 2022.</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42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gridSpan w:val="4"/>
          </w:tcPr>
          <w:p>
            <w:pPr>
              <w:jc w:val="right"/>
              <w:ind w:right="450"/>
              <w:spacing w:after="0"/>
              <w:rPr>
                <w:sz w:val="20"/>
                <w:szCs w:val="20"/>
                <w:color w:val="auto"/>
              </w:rPr>
            </w:pPr>
            <w:r>
              <w:rPr>
                <w:rFonts w:ascii="Arial" w:cs="Arial" w:eastAsia="Arial" w:hAnsi="Arial"/>
                <w:sz w:val="18"/>
                <w:szCs w:val="18"/>
                <w:color w:val="auto"/>
                <w:w w:val="98"/>
              </w:rPr>
              <w:t>Three months ended</w:t>
            </w:r>
          </w:p>
        </w:tc>
        <w:tc>
          <w:tcPr>
            <w:tcW w:w="1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r>
      <w:tr>
        <w:trPr>
          <w:trHeight w:val="249"/>
        </w:trPr>
        <w:tc>
          <w:tcPr>
            <w:tcW w:w="4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rPr>
              <w:t>Years ended September 30</w:t>
            </w:r>
          </w:p>
        </w:tc>
        <w:tc>
          <w:tcPr>
            <w:tcW w:w="840" w:type="dxa"/>
            <w:vAlign w:val="bottom"/>
            <w:tcBorders>
              <w:bottom w:val="single" w:sz="8" w:color="auto"/>
            </w:tcBorders>
          </w:tcPr>
          <w:p>
            <w:pPr>
              <w:spacing w:after="0"/>
              <w:rPr>
                <w:sz w:val="21"/>
                <w:szCs w:val="21"/>
                <w:color w:val="auto"/>
              </w:rPr>
            </w:pPr>
          </w:p>
        </w:tc>
      </w:tr>
      <w:tr>
        <w:trPr>
          <w:trHeight w:val="2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2020</w:t>
            </w:r>
          </w:p>
        </w:tc>
      </w:tr>
      <w:tr>
        <w:trPr>
          <w:trHeight w:val="24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352</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Reserve adjustment</w:t>
            </w:r>
          </w:p>
        </w:tc>
        <w:tc>
          <w:tcPr>
            <w:tcW w:w="2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49"/>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Amounts paid</w:t>
            </w: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(30 )</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335</w:t>
            </w:r>
          </w:p>
        </w:tc>
      </w:tr>
      <w:tr>
        <w:trPr>
          <w:trHeight w:val="20"/>
        </w:trPr>
        <w:tc>
          <w:tcPr>
            <w:tcW w:w="4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-290830</wp:posOffset>
            </wp:positionV>
            <wp:extent cx="102870" cy="291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29146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-290830</wp:posOffset>
            </wp:positionV>
            <wp:extent cx="94615" cy="291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29146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-290830</wp:posOffset>
            </wp:positionV>
            <wp:extent cx="94615" cy="291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615" cy="291465"/>
                    </a:xfrm>
                    <a:prstGeom prst="rect">
                      <a:avLst/>
                    </a:prstGeom>
                    <a:noFill/>
                  </pic:spPr>
                </pic:pic>
              </a:graphicData>
            </a:graphic>
          </wp:anchor>
        </w:drawing>
        <w:drawing>
          <wp:anchor simplePos="0" relativeHeight="251657728" behindDoc="1" locked="0" layoutInCell="0" allowOverlap="1">
            <wp:simplePos x="0" y="0"/>
            <wp:positionH relativeFrom="column">
              <wp:posOffset>5867400</wp:posOffset>
            </wp:positionH>
            <wp:positionV relativeFrom="paragraph">
              <wp:posOffset>-290830</wp:posOffset>
            </wp:positionV>
            <wp:extent cx="85725" cy="291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291465"/>
                    </a:xfrm>
                    <a:prstGeom prst="rect">
                      <a:avLst/>
                    </a:prstGeom>
                    <a:noFill/>
                  </pic:spPr>
                </pic:pic>
              </a:graphicData>
            </a:graphic>
          </wp:anchor>
        </w:drawing>
      </w:r>
    </w:p>
    <w:p>
      <w:pPr>
        <w:spacing w:after="0" w:line="110" w:lineRule="exact"/>
        <w:rPr>
          <w:sz w:val="20"/>
          <w:szCs w:val="20"/>
          <w:color w:val="auto"/>
        </w:rPr>
      </w:pPr>
    </w:p>
    <w:p>
      <w:pPr>
        <w:ind w:left="360" w:hanging="358"/>
        <w:spacing w:after="0"/>
        <w:tabs>
          <w:tab w:leader="none" w:pos="3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Included $29 million classified in accrued expenses and other liabilities on the Condensed Consolidated Balance Sheets as of December 31, 2022 and September 30, 2022.</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asbestos-related receivables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 December 31, 2022, Ashland’s receivable for recoveries of litigation defense and claim settlement costs from insurers amounted to $99 million (excluding the Hercules receivable for asbestos claims discussed below) compared to $101 million at September 30, 2022. During fiscal year 2022, the annual update of the model used for purposes of valuing the asbestos reserve and its impact on valuation of future recoveries from insurers was completed. This model update resulted in a $7 million increase in the receivable for probable insurance recoveries.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16" w:name="page17"/>
    <w:bookmarkEnd w:id="16"/>
    <w:p>
      <w:pPr>
        <w:spacing w:after="0"/>
        <w:rPr>
          <w:sz w:val="20"/>
          <w:szCs w:val="20"/>
          <w:color w:val="auto"/>
        </w:rPr>
      </w:pPr>
      <w:r>
        <w:rPr>
          <w:rFonts w:ascii="Arial" w:cs="Arial" w:eastAsia="Arial" w:hAnsi="Arial"/>
          <w:sz w:val="20"/>
          <w:szCs w:val="20"/>
          <w:color w:val="auto"/>
        </w:rPr>
        <w:t>A progression of activity in the Ashland insurance receivable is presented in the following table.</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4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gridSpan w:val="4"/>
          </w:tcPr>
          <w:p>
            <w:pPr>
              <w:jc w:val="right"/>
              <w:ind w:right="450"/>
              <w:spacing w:after="0"/>
              <w:rPr>
                <w:sz w:val="20"/>
                <w:szCs w:val="20"/>
                <w:color w:val="auto"/>
              </w:rPr>
            </w:pPr>
            <w:r>
              <w:rPr>
                <w:rFonts w:ascii="Arial" w:cs="Arial" w:eastAsia="Arial" w:hAnsi="Arial"/>
                <w:sz w:val="18"/>
                <w:szCs w:val="18"/>
                <w:color w:val="auto"/>
                <w:w w:val="98"/>
              </w:rPr>
              <w:t>Three months ended</w:t>
            </w: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r>
      <w:tr>
        <w:trPr>
          <w:trHeight w:val="249"/>
        </w:trPr>
        <w:tc>
          <w:tcPr>
            <w:tcW w:w="4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Years ended September 30</w:t>
            </w:r>
          </w:p>
        </w:tc>
        <w:tc>
          <w:tcPr>
            <w:tcW w:w="840" w:type="dxa"/>
            <w:vAlign w:val="bottom"/>
            <w:tcBorders>
              <w:bottom w:val="single" w:sz="8" w:color="auto"/>
            </w:tcBorders>
          </w:tcPr>
          <w:p>
            <w:pPr>
              <w:spacing w:after="0"/>
              <w:rPr>
                <w:sz w:val="21"/>
                <w:szCs w:val="21"/>
                <w:color w:val="auto"/>
              </w:rPr>
            </w:pPr>
          </w:p>
        </w:tc>
      </w:tr>
      <w:tr>
        <w:trPr>
          <w:trHeight w:val="2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2020</w:t>
            </w:r>
          </w:p>
        </w:tc>
      </w:tr>
      <w:tr>
        <w:trPr>
          <w:trHeight w:val="236"/>
        </w:trPr>
        <w:tc>
          <w:tcPr>
            <w:tcW w:w="4240" w:type="dxa"/>
            <w:vAlign w:val="bottom"/>
          </w:tcPr>
          <w:p>
            <w:pPr>
              <w:spacing w:after="0"/>
              <w:rPr>
                <w:sz w:val="20"/>
                <w:szCs w:val="20"/>
                <w:color w:val="auto"/>
              </w:rPr>
            </w:pPr>
            <w:r>
              <w:rPr>
                <w:rFonts w:ascii="Arial" w:cs="Arial" w:eastAsia="Arial" w:hAnsi="Arial"/>
                <w:sz w:val="18"/>
                <w:szCs w:val="18"/>
                <w:color w:val="auto"/>
              </w:rPr>
              <w:t>Insurance receivable - beginning of year</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4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Receivable adjustment </w:t>
            </w:r>
            <w:r>
              <w:rPr>
                <w:rFonts w:ascii="Arial" w:cs="Arial" w:eastAsia="Arial" w:hAnsi="Arial"/>
                <w:sz w:val="14"/>
                <w:szCs w:val="14"/>
                <w:color w:val="auto"/>
              </w:rPr>
              <w:t>(a)</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Insurance settlement</w:t>
            </w:r>
          </w:p>
        </w:tc>
        <w:tc>
          <w:tcPr>
            <w:tcW w:w="20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49"/>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Amounts collected</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(b)</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0"/>
        </w:trPr>
        <w:tc>
          <w:tcPr>
            <w:tcW w:w="4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-290830</wp:posOffset>
            </wp:positionV>
            <wp:extent cx="93980" cy="291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29146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-290830</wp:posOffset>
            </wp:positionV>
            <wp:extent cx="93980" cy="291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29146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-290830</wp:posOffset>
            </wp:positionV>
            <wp:extent cx="93980" cy="291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291465"/>
                    </a:xfrm>
                    <a:prstGeom prst="rect">
                      <a:avLst/>
                    </a:prstGeom>
                    <a:noFill/>
                  </pic:spPr>
                </pic:pic>
              </a:graphicData>
            </a:graphic>
          </wp:anchor>
        </w:drawing>
        <w:drawing>
          <wp:anchor simplePos="0" relativeHeight="251657728" behindDoc="1" locked="0" layoutInCell="0" allowOverlap="1">
            <wp:simplePos x="0" y="0"/>
            <wp:positionH relativeFrom="column">
              <wp:posOffset>5867400</wp:posOffset>
            </wp:positionH>
            <wp:positionV relativeFrom="paragraph">
              <wp:posOffset>-290830</wp:posOffset>
            </wp:positionV>
            <wp:extent cx="85725" cy="291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291465"/>
                    </a:xfrm>
                    <a:prstGeom prst="rect">
                      <a:avLst/>
                    </a:prstGeom>
                    <a:noFill/>
                  </pic:spPr>
                </pic:pic>
              </a:graphicData>
            </a:graphic>
          </wp:anchor>
        </w:drawing>
      </w:r>
    </w:p>
    <w:p>
      <w:pPr>
        <w:spacing w:after="0" w:line="69" w:lineRule="exact"/>
        <w:rPr>
          <w:sz w:val="20"/>
          <w:szCs w:val="20"/>
          <w:color w:val="auto"/>
        </w:rPr>
      </w:pPr>
    </w:p>
    <w:p>
      <w:pPr>
        <w:ind w:left="360" w:hanging="358"/>
        <w:spacing w:after="0" w:line="253" w:lineRule="auto"/>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2021 includes a $2 million reserve adjustment related to allowances for credit losses as a result of Ashland's adoption of the new credit measurement standard. The total allowance for credit losses was $2 million as of December 31, 2022 and September 30, 2022.</w:t>
      </w:r>
    </w:p>
    <w:p>
      <w:pPr>
        <w:spacing w:after="0" w:line="38" w:lineRule="exact"/>
        <w:rPr>
          <w:rFonts w:ascii="Arial" w:cs="Arial" w:eastAsia="Arial" w:hAnsi="Arial"/>
          <w:sz w:val="14"/>
          <w:szCs w:val="14"/>
          <w:color w:val="auto"/>
        </w:rPr>
      </w:pPr>
    </w:p>
    <w:p>
      <w:pPr>
        <w:ind w:left="360" w:hanging="358"/>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$12 million classified in accounts receivable on the Condensed Consolidated Balance Sheets as of December 31, 2022 and September 30, 2022.</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Hercules asbestos-related litigation</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4480" w:type="dxa"/>
            <w:vAlign w:val="bottom"/>
            <w:tcBorders>
              <w:top w:val="single" w:sz="8" w:color="auto"/>
            </w:tcBorders>
          </w:tcPr>
          <w:p>
            <w:pPr>
              <w:spacing w:after="0"/>
              <w:rPr>
                <w:sz w:val="21"/>
                <w:szCs w:val="21"/>
                <w:color w:val="auto"/>
              </w:rPr>
            </w:pPr>
          </w:p>
        </w:tc>
        <w:tc>
          <w:tcPr>
            <w:tcW w:w="2340" w:type="dxa"/>
            <w:vAlign w:val="bottom"/>
            <w:tcBorders>
              <w:top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Three months ended</w:t>
            </w: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49"/>
        </w:trPr>
        <w:tc>
          <w:tcPr>
            <w:tcW w:w="4480" w:type="dxa"/>
            <w:vAlign w:val="bottom"/>
          </w:tcPr>
          <w:p>
            <w:pPr>
              <w:spacing w:after="0"/>
              <w:rPr>
                <w:sz w:val="21"/>
                <w:szCs w:val="21"/>
                <w:color w:val="auto"/>
              </w:rPr>
            </w:pPr>
          </w:p>
        </w:tc>
        <w:tc>
          <w:tcPr>
            <w:tcW w:w="23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21"/>
                <w:szCs w:val="21"/>
                <w:color w:val="auto"/>
              </w:rPr>
            </w:pPr>
          </w:p>
        </w:tc>
        <w:tc>
          <w:tcPr>
            <w:tcW w:w="268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color w:val="auto"/>
                <w:w w:val="88"/>
              </w:rPr>
              <w:t>Years ended September 30</w:t>
            </w:r>
          </w:p>
        </w:tc>
        <w:tc>
          <w:tcPr>
            <w:tcW w:w="780" w:type="dxa"/>
            <w:vAlign w:val="bottom"/>
            <w:tcBorders>
              <w:bottom w:val="single" w:sz="8" w:color="auto"/>
            </w:tcBorders>
          </w:tcPr>
          <w:p>
            <w:pPr>
              <w:spacing w:after="0"/>
              <w:rPr>
                <w:sz w:val="21"/>
                <w:szCs w:val="21"/>
                <w:color w:val="auto"/>
              </w:rPr>
            </w:pPr>
          </w:p>
        </w:tc>
      </w:tr>
      <w:tr>
        <w:trPr>
          <w:trHeight w:val="237"/>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2020</w:t>
            </w: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4480" w:type="dxa"/>
            <w:vAlign w:val="bottom"/>
          </w:tcPr>
          <w:p>
            <w:pPr>
              <w:spacing w:after="0"/>
              <w:rPr>
                <w:sz w:val="20"/>
                <w:szCs w:val="20"/>
                <w:color w:val="auto"/>
              </w:rPr>
            </w:pPr>
            <w:r>
              <w:rPr>
                <w:rFonts w:ascii="Arial" w:cs="Arial" w:eastAsia="Arial" w:hAnsi="Arial"/>
                <w:sz w:val="18"/>
                <w:szCs w:val="18"/>
                <w:color w:val="auto"/>
              </w:rPr>
              <w:t>New claims filed</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49"/>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Claims dismissed</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4480" w:type="dxa"/>
            <w:vAlign w:val="bottom"/>
          </w:tcPr>
          <w:p>
            <w:pPr>
              <w:spacing w:after="0"/>
              <w:rPr>
                <w:sz w:val="20"/>
                <w:szCs w:val="20"/>
                <w:color w:val="auto"/>
              </w:rPr>
            </w:pPr>
            <w:r>
              <w:rPr>
                <w:rFonts w:ascii="Arial" w:cs="Arial" w:eastAsia="Arial" w:hAnsi="Arial"/>
                <w:sz w:val="18"/>
                <w:szCs w:val="18"/>
                <w:color w:val="auto"/>
              </w:rPr>
              <w:t>Open claims - end of period</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6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0"/>
        </w:trPr>
        <w:tc>
          <w:tcPr>
            <w:tcW w:w="44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4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-290830</wp:posOffset>
            </wp:positionV>
            <wp:extent cx="94615"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4615" cy="291465"/>
                    </a:xfrm>
                    <a:prstGeom prst="rect">
                      <a:avLst/>
                    </a:prstGeom>
                    <a:noFill/>
                  </pic:spPr>
                </pic:pic>
              </a:graphicData>
            </a:graphic>
          </wp:anchor>
        </w:drawing>
        <w:drawing>
          <wp:anchor simplePos="0" relativeHeight="251657728" behindDoc="1" locked="0" layoutInCell="0" allowOverlap="1">
            <wp:simplePos x="0" y="0"/>
            <wp:positionH relativeFrom="column">
              <wp:posOffset>4349750</wp:posOffset>
            </wp:positionH>
            <wp:positionV relativeFrom="paragraph">
              <wp:posOffset>-290830</wp:posOffset>
            </wp:positionV>
            <wp:extent cx="93980" cy="291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29146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-290830</wp:posOffset>
            </wp:positionV>
            <wp:extent cx="85725" cy="291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291465"/>
                    </a:xfrm>
                    <a:prstGeom prst="rect">
                      <a:avLst/>
                    </a:prstGeom>
                    <a:noFill/>
                  </pic:spPr>
                </pic:pic>
              </a:graphicData>
            </a:graphic>
          </wp:anchor>
        </w:drawing>
        <w:drawing>
          <wp:anchor simplePos="0" relativeHeight="251657728" behindDoc="1" locked="0" layoutInCell="0" allowOverlap="1">
            <wp:simplePos x="0" y="0"/>
            <wp:positionH relativeFrom="column">
              <wp:posOffset>5892800</wp:posOffset>
            </wp:positionH>
            <wp:positionV relativeFrom="paragraph">
              <wp:posOffset>-290830</wp:posOffset>
            </wp:positionV>
            <wp:extent cx="85725"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29146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Hercules asbestos-related liability</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From the range of estimates, Ashland records the amount it believes to be the best estimate of future payments for litigation defense and claim settlement costs. Ashland reviews this estimate, and related assumptions quarterly and annually updates the results of a non-inflated, non-discounted approximate 40-year model developed with the assistance of Gnarus. As a result of the most recent annual update of this estimate, completed during fiscal year 2022, it was determined that the liability for Hercules asbestos-related claims should be increased by $15 million. Total reserves for asbestos claims were $209 million at December 31, 2022 compared to $213 million at September 30, 2022.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42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Three months ended</w:t>
            </w: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r>
      <w:tr>
        <w:trPr>
          <w:trHeight w:val="249"/>
        </w:trPr>
        <w:tc>
          <w:tcPr>
            <w:tcW w:w="4240" w:type="dxa"/>
            <w:vAlign w:val="bottom"/>
          </w:tcPr>
          <w:p>
            <w:pPr>
              <w:spacing w:after="0"/>
              <w:rPr>
                <w:sz w:val="21"/>
                <w:szCs w:val="21"/>
                <w:color w:val="auto"/>
              </w:rPr>
            </w:pPr>
          </w:p>
        </w:tc>
        <w:tc>
          <w:tcPr>
            <w:tcW w:w="20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color w:val="auto"/>
              </w:rPr>
              <w:t>December 31</w:t>
            </w:r>
          </w:p>
        </w:tc>
        <w:tc>
          <w:tcPr>
            <w:tcW w:w="4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w w:val="89"/>
              </w:rPr>
              <w:t>Years ended September 30</w:t>
            </w:r>
          </w:p>
        </w:tc>
        <w:tc>
          <w:tcPr>
            <w:tcW w:w="840" w:type="dxa"/>
            <w:vAlign w:val="bottom"/>
            <w:tcBorders>
              <w:bottom w:val="single" w:sz="8" w:color="auto"/>
            </w:tcBorders>
          </w:tcPr>
          <w:p>
            <w:pPr>
              <w:spacing w:after="0"/>
              <w:rPr>
                <w:sz w:val="21"/>
                <w:szCs w:val="21"/>
                <w:color w:val="auto"/>
              </w:rPr>
            </w:pPr>
          </w:p>
        </w:tc>
      </w:tr>
      <w:tr>
        <w:trPr>
          <w:trHeight w:val="237"/>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2020</w:t>
            </w:r>
          </w:p>
        </w:tc>
      </w:tr>
      <w:tr>
        <w:trPr>
          <w:trHeight w:val="24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700" w:type="dxa"/>
            <w:vAlign w:val="bottom"/>
            <w:shd w:val="clear" w:color="auto" w:fill="CFF0FC"/>
          </w:tcPr>
          <w:p>
            <w:pPr>
              <w:jc w:val="right"/>
              <w:ind w:right="53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213</w:t>
            </w:r>
          </w:p>
        </w:tc>
        <w:tc>
          <w:tcPr>
            <w:tcW w:w="88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217</w:t>
            </w:r>
          </w:p>
        </w:tc>
        <w:tc>
          <w:tcPr>
            <w:tcW w:w="86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6"/>
              </w:rPr>
              <w:t>217</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229</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252</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Reserve adjustments</w:t>
            </w:r>
          </w:p>
        </w:tc>
        <w:tc>
          <w:tcPr>
            <w:tcW w:w="7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49"/>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Amounts paid</w:t>
            </w:r>
          </w:p>
        </w:tc>
        <w:tc>
          <w:tcPr>
            <w:tcW w:w="7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(19 )</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700" w:type="dxa"/>
            <w:vAlign w:val="bottom"/>
          </w:tcPr>
          <w:p>
            <w:pPr>
              <w:jc w:val="right"/>
              <w:ind w:right="53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209</w:t>
            </w: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211</w:t>
            </w:r>
          </w:p>
        </w:tc>
        <w:tc>
          <w:tcPr>
            <w:tcW w:w="86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213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229</w:t>
            </w:r>
          </w:p>
        </w:tc>
      </w:tr>
      <w:tr>
        <w:trPr>
          <w:trHeight w:val="20"/>
        </w:trPr>
        <w:tc>
          <w:tcPr>
            <w:tcW w:w="4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-290830</wp:posOffset>
            </wp:positionV>
            <wp:extent cx="102870" cy="291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29146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-290830</wp:posOffset>
            </wp:positionV>
            <wp:extent cx="94615" cy="291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615" cy="29146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-290830</wp:posOffset>
            </wp:positionV>
            <wp:extent cx="94615" cy="291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615" cy="291465"/>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-290830</wp:posOffset>
            </wp:positionV>
            <wp:extent cx="94615" cy="291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291465"/>
                    </a:xfrm>
                    <a:prstGeom prst="rect">
                      <a:avLst/>
                    </a:prstGeom>
                    <a:noFill/>
                  </pic:spPr>
                </pic:pic>
              </a:graphicData>
            </a:graphic>
          </wp:anchor>
        </w:drawing>
      </w:r>
    </w:p>
    <w:p>
      <w:pPr>
        <w:spacing w:after="0" w:line="69" w:lineRule="exact"/>
        <w:rPr>
          <w:sz w:val="20"/>
          <w:szCs w:val="20"/>
          <w:color w:val="auto"/>
        </w:rPr>
      </w:pPr>
    </w:p>
    <w:p>
      <w:pPr>
        <w:ind w:left="360" w:hanging="358"/>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Included $18 million classified in accrued expenses and other liabilities on the Condensed Consolidated Balance Sheets as of December 31, 2022 and September 30, 2022.</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17" w:name="page18"/>
    <w:bookmarkEnd w:id="17"/>
    <w:p>
      <w:pPr>
        <w:spacing w:after="0"/>
        <w:rPr>
          <w:sz w:val="20"/>
          <w:szCs w:val="20"/>
          <w:color w:val="auto"/>
        </w:rPr>
      </w:pPr>
      <w:r>
        <w:rPr>
          <w:rFonts w:ascii="Arial" w:cs="Arial" w:eastAsia="Arial" w:hAnsi="Arial"/>
          <w:sz w:val="20"/>
          <w:szCs w:val="20"/>
          <w:i w:val="1"/>
          <w:iCs w:val="1"/>
          <w:color w:val="auto"/>
        </w:rPr>
        <w:t>Hercules asbestos-related receivables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of December 31, 2022, Ashland’s receivable for recoveries of litigation defense and claims costs from insurers with respect to Hercules amounted to $51 million compared to $52 million at September 30, 2022. During fiscal year 2022, the annual update of the model used for purposes of valuing the asbestos reserve and its impact on valuation of future recoveries from insurers was completed. This model update resulted in an increase of $7 million in the receivable for probable insurance recoveries.</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Hercules insurance receivable is presented in the following table.</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42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9"/>
              </w:rPr>
              <w:t>Three months ended</w:t>
            </w:r>
          </w:p>
        </w:tc>
        <w:tc>
          <w:tcPr>
            <w:tcW w:w="1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49"/>
        </w:trPr>
        <w:tc>
          <w:tcPr>
            <w:tcW w:w="4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rPr>
              <w:t>Years ended September 30</w:t>
            </w:r>
          </w:p>
        </w:tc>
        <w:tc>
          <w:tcPr>
            <w:tcW w:w="820" w:type="dxa"/>
            <w:vAlign w:val="bottom"/>
            <w:tcBorders>
              <w:bottom w:val="single" w:sz="8" w:color="auto"/>
            </w:tcBorders>
          </w:tcPr>
          <w:p>
            <w:pPr>
              <w:spacing w:after="0"/>
              <w:rPr>
                <w:sz w:val="21"/>
                <w:szCs w:val="21"/>
                <w:color w:val="auto"/>
              </w:rPr>
            </w:pPr>
          </w:p>
        </w:tc>
      </w:tr>
      <w:tr>
        <w:trPr>
          <w:trHeight w:val="237"/>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2020</w:t>
            </w:r>
          </w:p>
        </w:tc>
      </w:tr>
      <w:tr>
        <w:trPr>
          <w:trHeight w:val="24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 xml:space="preserve">Receivable adjustment </w:t>
            </w:r>
            <w:r>
              <w:rPr>
                <w:rFonts w:ascii="Arial" w:cs="Arial" w:eastAsia="Arial" w:hAnsi="Arial"/>
                <w:sz w:val="14"/>
                <w:szCs w:val="14"/>
                <w:color w:val="auto"/>
              </w:rPr>
              <w:t>(a)</w:t>
            </w: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49"/>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Amounts collected</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Pr>
          <w:p>
            <w:pPr>
              <w:spacing w:after="0"/>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(b)</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0"/>
        </w:trPr>
        <w:tc>
          <w:tcPr>
            <w:tcW w:w="4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2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-290830</wp:posOffset>
            </wp:positionV>
            <wp:extent cx="94615"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615" cy="291465"/>
                    </a:xfrm>
                    <a:prstGeom prst="rect">
                      <a:avLst/>
                    </a:prstGeom>
                    <a:noFill/>
                  </pic:spPr>
                </pic:pic>
              </a:graphicData>
            </a:graphic>
          </wp:anchor>
        </w:drawing>
        <w:drawing>
          <wp:anchor simplePos="0" relativeHeight="251657728" behindDoc="1" locked="0" layoutInCell="0" allowOverlap="1">
            <wp:simplePos x="0" y="0"/>
            <wp:positionH relativeFrom="column">
              <wp:posOffset>4272915</wp:posOffset>
            </wp:positionH>
            <wp:positionV relativeFrom="paragraph">
              <wp:posOffset>-290830</wp:posOffset>
            </wp:positionV>
            <wp:extent cx="94615" cy="291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4615" cy="29146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-290830</wp:posOffset>
            </wp:positionV>
            <wp:extent cx="93980" cy="291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291465"/>
                    </a:xfrm>
                    <a:prstGeom prst="rect">
                      <a:avLst/>
                    </a:prstGeom>
                    <a:noFill/>
                  </pic:spPr>
                </pic:pic>
              </a:graphicData>
            </a:graphic>
          </wp:anchor>
        </w:drawing>
        <w:drawing>
          <wp:anchor simplePos="0" relativeHeight="251657728" behindDoc="1" locked="0" layoutInCell="0" allowOverlap="1">
            <wp:simplePos x="0" y="0"/>
            <wp:positionH relativeFrom="column">
              <wp:posOffset>5867400</wp:posOffset>
            </wp:positionH>
            <wp:positionV relativeFrom="paragraph">
              <wp:posOffset>-290830</wp:posOffset>
            </wp:positionV>
            <wp:extent cx="85725" cy="291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291465"/>
                    </a:xfrm>
                    <a:prstGeom prst="rect">
                      <a:avLst/>
                    </a:prstGeom>
                    <a:noFill/>
                  </pic:spPr>
                </pic:pic>
              </a:graphicData>
            </a:graphic>
          </wp:anchor>
        </w:drawing>
      </w:r>
    </w:p>
    <w:p>
      <w:pPr>
        <w:spacing w:after="0" w:line="69" w:lineRule="exact"/>
        <w:rPr>
          <w:sz w:val="20"/>
          <w:szCs w:val="20"/>
          <w:color w:val="auto"/>
        </w:rPr>
      </w:pPr>
    </w:p>
    <w:p>
      <w:pPr>
        <w:ind w:left="360" w:hanging="358"/>
        <w:spacing w:after="0" w:line="253" w:lineRule="auto"/>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2021 includes a $1 million reserve adjustment related to allowances for credit losses as a result of Ashland's adoption of the new credit measurement standard. The total allowance for credit losses was $1 million as of December 31, 2022 and September 30, 2022.</w:t>
      </w:r>
    </w:p>
    <w:p>
      <w:pPr>
        <w:spacing w:after="0" w:line="38" w:lineRule="exact"/>
        <w:rPr>
          <w:rFonts w:ascii="Arial" w:cs="Arial" w:eastAsia="Arial" w:hAnsi="Arial"/>
          <w:sz w:val="14"/>
          <w:szCs w:val="14"/>
          <w:color w:val="auto"/>
        </w:rPr>
      </w:pPr>
    </w:p>
    <w:p>
      <w:pPr>
        <w:ind w:left="360" w:hanging="358"/>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$3 million classified in accounts receivable on the Condensed Consolidated Balance Sheets as of December 31, 2022 and September 30, 2022.</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Asbestos litigation cost projection</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Projecting future asbestos costs is subject to numerous variables that are difficult to predict. In addition to the uncertainties surrounding the number of claims that might be received, other variables include the type and severity of the disease alleged by each claimant and the related costs incurred in resolving those claims, mortality rates, dismissal rates, uncertainties surrounding the litigation process from jurisdiction to jurisdiction and from case to case.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year periods that it is reasonably possible that total future litigation defense and claim settlement costs on an inflated and undiscounted basis could range as high as approximately $456 million for the Ashland asbestos-related litigation (current reserve of $292 million) and approximately $317 million for the Hercules asbestos-related litigation (current reserve of $209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remediation and asset retirement obligations</w:t>
      </w:r>
    </w:p>
    <w:p>
      <w:pPr>
        <w:spacing w:after="0" w:line="11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Ashland is subject to various federal, state and local environmental laws and regulations that require environmental assessment or remediation efforts (collectively environmental remediation) at multiple locations. At December 31, 2022, such locations included 59 sites where Ashland has been identified as a potentially responsible party under Superfund or similar state laws, 109 current and former operating facilities and about 1225 service station properties, of which 17 are being actively remediated.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18" w:name="page19"/>
    <w:bookmarkEnd w:id="18"/>
    <w:p>
      <w:pPr>
        <w:jc w:val="both"/>
        <w:spacing w:after="0" w:line="282" w:lineRule="auto"/>
        <w:rPr>
          <w:sz w:val="20"/>
          <w:szCs w:val="20"/>
          <w:color w:val="auto"/>
        </w:rPr>
      </w:pPr>
      <w:r>
        <w:rPr>
          <w:rFonts w:ascii="Arial" w:cs="Arial" w:eastAsia="Arial" w:hAnsi="Arial"/>
          <w:sz w:val="18"/>
          <w:szCs w:val="18"/>
          <w:color w:val="auto"/>
        </w:rPr>
        <w:t>Ashland’s reserves for environmental remediation and related environmental litigation amounted to $206 million at December 31, 2022 compared to $211 million at September 30, 2022, of which $157 million at December 31, 2022 and September 30, 2022 was classified in other noncurrent liabilities on the Condensed Consolidated Balance Sheets. The remaining reserves were classified in accrued expenses and other liabilities on the Condensed Consolidated Balance Sheets.</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provides a reconciliation of the changes in the environmental remediation reserves during the three months ended December 31, 2022 and 2021.</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66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Three months ended</w:t>
            </w:r>
          </w:p>
        </w:tc>
        <w:tc>
          <w:tcPr>
            <w:tcW w:w="1140" w:type="dxa"/>
            <w:vAlign w:val="bottom"/>
            <w:tcBorders>
              <w:top w:val="single" w:sz="8" w:color="auto"/>
            </w:tcBorders>
          </w:tcPr>
          <w:p>
            <w:pPr>
              <w:spacing w:after="0"/>
              <w:rPr>
                <w:sz w:val="21"/>
                <w:szCs w:val="21"/>
                <w:color w:val="auto"/>
              </w:rPr>
            </w:pPr>
          </w:p>
        </w:tc>
      </w:tr>
      <w:tr>
        <w:trPr>
          <w:trHeight w:val="249"/>
        </w:trPr>
        <w:tc>
          <w:tcPr>
            <w:tcW w:w="66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December 31</w:t>
            </w:r>
          </w:p>
        </w:tc>
        <w:tc>
          <w:tcPr>
            <w:tcW w:w="1140" w:type="dxa"/>
            <w:vAlign w:val="bottom"/>
            <w:tcBorders>
              <w:bottom w:val="single" w:sz="8" w:color="auto"/>
            </w:tcBorders>
          </w:tcPr>
          <w:p>
            <w:pPr>
              <w:spacing w:after="0"/>
              <w:rPr>
                <w:sz w:val="21"/>
                <w:szCs w:val="21"/>
                <w:color w:val="auto"/>
              </w:rPr>
            </w:pPr>
          </w:p>
        </w:tc>
      </w:tr>
      <w:tr>
        <w:trPr>
          <w:trHeight w:val="237"/>
        </w:trPr>
        <w:tc>
          <w:tcPr>
            <w:tcW w:w="6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4"/>
              </w:rPr>
              <w:t>2021</w:t>
            </w:r>
          </w:p>
        </w:tc>
      </w:tr>
      <w:tr>
        <w:trPr>
          <w:trHeight w:val="24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Reserve - beginning of period</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211</w:t>
            </w:r>
          </w:p>
        </w:tc>
        <w:tc>
          <w:tcPr>
            <w:tcW w:w="84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207</w:t>
            </w:r>
          </w:p>
        </w:tc>
      </w:tr>
      <w:tr>
        <w:trPr>
          <w:trHeight w:val="237"/>
        </w:trPr>
        <w:tc>
          <w:tcPr>
            <w:tcW w:w="6660" w:type="dxa"/>
            <w:vAlign w:val="bottom"/>
          </w:tcPr>
          <w:p>
            <w:pPr>
              <w:ind w:left="180"/>
              <w:spacing w:after="0"/>
              <w:rPr>
                <w:sz w:val="20"/>
                <w:szCs w:val="20"/>
                <w:color w:val="auto"/>
              </w:rPr>
            </w:pPr>
            <w:r>
              <w:rPr>
                <w:rFonts w:ascii="Arial" w:cs="Arial" w:eastAsia="Arial" w:hAnsi="Arial"/>
                <w:sz w:val="18"/>
                <w:szCs w:val="18"/>
                <w:color w:val="auto"/>
              </w:rPr>
              <w:t>Disbursements</w:t>
            </w:r>
          </w:p>
        </w:tc>
        <w:tc>
          <w:tcPr>
            <w:tcW w:w="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(13 )</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49"/>
        </w:trPr>
        <w:tc>
          <w:tcPr>
            <w:tcW w:w="66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Revised obligation estimates and accretion</w:t>
            </w:r>
          </w:p>
        </w:tc>
        <w:tc>
          <w:tcPr>
            <w:tcW w:w="3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6660" w:type="dxa"/>
            <w:vAlign w:val="bottom"/>
          </w:tcPr>
          <w:p>
            <w:pPr>
              <w:spacing w:after="0"/>
              <w:rPr>
                <w:sz w:val="20"/>
                <w:szCs w:val="20"/>
                <w:color w:val="auto"/>
              </w:rPr>
            </w:pPr>
            <w:r>
              <w:rPr>
                <w:rFonts w:ascii="Arial" w:cs="Arial" w:eastAsia="Arial" w:hAnsi="Arial"/>
                <w:sz w:val="18"/>
                <w:szCs w:val="18"/>
                <w:color w:val="auto"/>
              </w:rPr>
              <w:t>Reserve - end of period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206</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0"/>
        </w:trPr>
        <w:tc>
          <w:tcPr>
            <w:tcW w:w="6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66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5378450</wp:posOffset>
            </wp:positionH>
            <wp:positionV relativeFrom="paragraph">
              <wp:posOffset>-290830</wp:posOffset>
            </wp:positionV>
            <wp:extent cx="162560" cy="291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2560" cy="291465"/>
                    </a:xfrm>
                    <a:prstGeom prst="rect">
                      <a:avLst/>
                    </a:prstGeom>
                    <a:noFill/>
                  </pic:spPr>
                </pic:pic>
              </a:graphicData>
            </a:graphic>
          </wp:anchor>
        </w:drawing>
      </w:r>
    </w:p>
    <w:p>
      <w:pPr>
        <w:spacing w:after="0" w:line="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December 31, 2022 and September 30, 2022, Ashland’s recorded receivable for these probable insurance recoveries was $20 million and $21 million, of which $17 million at December 31, 2022 and September 30, 2022 was classified in other noncurrent assets on the Condensed Consolidated Balance Sheets.</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Components of environmental remediation expense included within the selling, general and administrative expense caption of the Statements of Consolidated Comprehensive Income (Loss) are presented in the following table for the three ended December 31, 2022 and 2021.</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67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Three months ended</w:t>
            </w:r>
          </w:p>
        </w:tc>
        <w:tc>
          <w:tcPr>
            <w:tcW w:w="10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9"/>
        </w:trPr>
        <w:tc>
          <w:tcPr>
            <w:tcW w:w="67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December 31</w:t>
            </w:r>
          </w:p>
        </w:tc>
        <w:tc>
          <w:tcPr>
            <w:tcW w:w="10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4"/>
              </w:rPr>
              <w:t>2021</w:t>
            </w:r>
          </w:p>
        </w:tc>
        <w:tc>
          <w:tcPr>
            <w:tcW w:w="80" w:type="dxa"/>
            <w:vAlign w:val="bottom"/>
          </w:tcPr>
          <w:p>
            <w:pPr>
              <w:spacing w:after="0"/>
              <w:rPr>
                <w:sz w:val="20"/>
                <w:szCs w:val="20"/>
                <w:color w:val="auto"/>
              </w:rPr>
            </w:pPr>
          </w:p>
        </w:tc>
      </w:tr>
      <w:tr>
        <w:trPr>
          <w:trHeight w:val="24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Environmental expense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Legal expense</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r>
      <w:tr>
        <w:trPr>
          <w:trHeight w:val="237"/>
        </w:trPr>
        <w:tc>
          <w:tcPr>
            <w:tcW w:w="6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expense</w:t>
            </w: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0"/>
                <w:szCs w:val="20"/>
                <w:color w:val="auto"/>
              </w:rPr>
            </w:pPr>
          </w:p>
        </w:tc>
      </w:tr>
      <w:tr>
        <w:trPr>
          <w:trHeight w:val="243"/>
        </w:trPr>
        <w:tc>
          <w:tcPr>
            <w:tcW w:w="6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Insurance receivable</w:t>
            </w: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Total expense, net of receivable activity </w:t>
            </w:r>
            <w:r>
              <w:rPr>
                <w:rFonts w:ascii="Arial" w:cs="Arial" w:eastAsia="Arial" w:hAnsi="Arial"/>
                <w:sz w:val="14"/>
                <w:szCs w:val="14"/>
                <w:color w:val="auto"/>
              </w:rPr>
              <w:t>(a)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9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67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5353050</wp:posOffset>
            </wp:positionH>
            <wp:positionV relativeFrom="paragraph">
              <wp:posOffset>-290830</wp:posOffset>
            </wp:positionV>
            <wp:extent cx="68580" cy="291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-290830</wp:posOffset>
            </wp:positionV>
            <wp:extent cx="59690" cy="291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291465"/>
                    </a:xfrm>
                    <a:prstGeom prst="rect">
                      <a:avLst/>
                    </a:prstGeom>
                    <a:noFill/>
                  </pic:spPr>
                </pic:pic>
              </a:graphicData>
            </a:graphic>
          </wp:anchor>
        </w:drawing>
      </w:r>
    </w:p>
    <w:p>
      <w:pPr>
        <w:spacing w:after="0" w:line="69" w:lineRule="exact"/>
        <w:rPr>
          <w:sz w:val="20"/>
          <w:szCs w:val="20"/>
          <w:color w:val="auto"/>
        </w:rPr>
      </w:pPr>
    </w:p>
    <w:p>
      <w:pPr>
        <w:jc w:val="both"/>
        <w:ind w:left="360" w:hanging="358"/>
        <w:spacing w:after="0" w:line="238"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Net expense of $1 million for the three months ended December 31, 2022 and 2021 relates to divested businesses which qualified for treatment as discontinued operations for which certain environmental liabilities were retained by Ashland. These amounts are classified within the income (loss) from discontinued operations caption of the Statements of Consolidated Comprehensive Income (loss).</w:t>
      </w:r>
    </w:p>
    <w:p>
      <w:pPr>
        <w:spacing w:after="0" w:line="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Environmental remediation reserves are subject to uncertainties that affect Ashland’s ability to estimate its share of the costs. Such uncertainties involve the nature and extent of contamination at each site and the extent of required cleanup efforts under existing environmental regulations. Although it is not possible to predict with certainty the ultimate costs of environmental remediation, Ashland currently estimates that the upper end of the reasonably possible range of future costs for identified sites could be as high as approximately $460 million. The largest reserve for any site is 13% of the remediation reserve.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legal proceedings and claims</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19" w:name="page20"/>
    <w:bookmarkEnd w:id="19"/>
    <w:p>
      <w:pPr>
        <w:jc w:val="both"/>
        <w:ind w:left="380" w:right="380"/>
        <w:spacing w:after="0" w:line="282" w:lineRule="auto"/>
        <w:rPr>
          <w:sz w:val="20"/>
          <w:szCs w:val="20"/>
          <w:color w:val="auto"/>
        </w:rPr>
      </w:pPr>
      <w:r>
        <w:rPr>
          <w:rFonts w:ascii="Arial" w:cs="Arial" w:eastAsia="Arial" w:hAnsi="Arial"/>
          <w:sz w:val="18"/>
          <w:szCs w:val="18"/>
          <w:color w:val="auto"/>
        </w:rPr>
        <w:t>damages, some of which are for substantial amounts. While Ashland cannot predict with certainty the outcome of such actions, it believes that adequate reserves have been recorded and losses already recognized with respect to such actions were immaterial as of December 31, 2022. There is a reasonable possibility that a loss exceeding amounts already recognized may be incurred related to these actions; however, Ashland believes that such potential losses were immaterial as of December 31, 2022.</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M – EARNINGS PER SHARE</w:t>
      </w:r>
    </w:p>
    <w:p>
      <w:pPr>
        <w:spacing w:after="0" w:line="114" w:lineRule="exact"/>
        <w:rPr>
          <w:sz w:val="20"/>
          <w:szCs w:val="20"/>
          <w:color w:val="auto"/>
        </w:rPr>
      </w:pPr>
    </w:p>
    <w:p>
      <w:pPr>
        <w:jc w:val="both"/>
        <w:ind w:left="380" w:right="380"/>
        <w:spacing w:after="0" w:line="243" w:lineRule="auto"/>
        <w:rPr>
          <w:sz w:val="20"/>
          <w:szCs w:val="20"/>
          <w:color w:val="auto"/>
        </w:rPr>
      </w:pPr>
      <w:r>
        <w:rPr>
          <w:rFonts w:ascii="Arial" w:cs="Arial" w:eastAsia="Arial" w:hAnsi="Arial"/>
          <w:sz w:val="20"/>
          <w:szCs w:val="20"/>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1 million at December 31, 2022 and 2021, respectively. The majority of these shares are for warrants with a strike price of $128.66. Earnings per share is reported under the treasury stock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73025</wp:posOffset>
            </wp:positionV>
            <wp:extent cx="65665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23495</wp:posOffset>
            </wp:positionV>
            <wp:extent cx="56235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6626225"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26225" cy="154305"/>
                    </a:xfrm>
                    <a:prstGeom prst="rect">
                      <a:avLst/>
                    </a:prstGeom>
                    <a:noFill/>
                  </pic:spPr>
                </pic:pic>
              </a:graphicData>
            </a:graphic>
          </wp:anchor>
        </w:drawing>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Numerator for basic and diluted EPS -</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Income (loss) from continuing operations</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6626225"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26225" cy="154305"/>
                    </a:xfrm>
                    <a:prstGeom prst="rect">
                      <a:avLst/>
                    </a:prstGeom>
                    <a:noFill/>
                  </pic:spPr>
                </pic:pic>
              </a:graphicData>
            </a:graphic>
          </wp:anchor>
        </w:drawing>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Denominator for basic EPS - Weighted-</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6626225" cy="4540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26225" cy="454025"/>
                    </a:xfrm>
                    <a:prstGeom prst="rect">
                      <a:avLst/>
                    </a:prstGeom>
                    <a:noFill/>
                  </pic:spPr>
                </pic:pic>
              </a:graphicData>
            </a:graphic>
          </wp:anchor>
        </w:drawing>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Share based awards convertible to common shares</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Denominator for diluted EPS - Adjusted weighted-</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average shares and assumed conversions</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EPS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6626225"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26225" cy="154305"/>
                    </a:xfrm>
                    <a:prstGeom prst="rect">
                      <a:avLst/>
                    </a:prstGeom>
                    <a:noFill/>
                  </pic:spPr>
                </pic:pic>
              </a:graphicData>
            </a:graphic>
          </wp:anchor>
        </w:drawing>
      </w:r>
    </w:p>
    <w:p>
      <w:pPr>
        <w:spacing w:after="0" w:line="2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Basic</w:t>
      </w:r>
    </w:p>
    <w:p>
      <w:pPr>
        <w:spacing w:after="0" w:line="3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-130175</wp:posOffset>
            </wp:positionV>
            <wp:extent cx="6626225"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117475</wp:posOffset>
            </wp:positionV>
            <wp:extent cx="56235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Three months ended</w:t>
      </w:r>
    </w:p>
    <w:p>
      <w:pPr>
        <w:spacing w:after="0" w:line="3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19202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0" w:lineRule="exact"/>
        <w:rPr>
          <w:sz w:val="20"/>
          <w:szCs w:val="20"/>
          <w:color w:val="auto"/>
        </w:rPr>
      </w:pPr>
    </w:p>
    <w:p>
      <w:pPr>
        <w:ind w:left="600"/>
        <w:spacing w:after="0"/>
        <w:tabs>
          <w:tab w:leader="none" w:pos="224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23495</wp:posOffset>
            </wp:positionV>
            <wp:extent cx="8743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676"/>
        </w:trPr>
        <w:tc>
          <w:tcPr>
            <w:tcW w:w="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50"/>
        </w:trPr>
        <w:tc>
          <w:tcPr>
            <w:tcW w:w="6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59"/>
        </w:trPr>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0.77</w:t>
            </w: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0.56</w:t>
            </w:r>
          </w:p>
        </w:tc>
      </w:tr>
      <w:tr>
        <w:trPr>
          <w:trHeight w:val="243"/>
        </w:trPr>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162"/>
        </w:trPr>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7000" w:space="720"/>
            <w:col w:w="3520"/>
          </w:cols>
          <w:pgMar w:left="320" w:top="447"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N – EQUITY ITEMS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Stockholder dividends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Dividends of 33.5 cents and 30.0 cents per share were paid in the first quarters of fiscal 2023 and 2022, respectively.</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Accumulated other comprehensive income (loss)</w:t>
      </w:r>
    </w:p>
    <w:p>
      <w:pPr>
        <w:spacing w:after="0" w:line="87" w:lineRule="exact"/>
        <w:rPr>
          <w:sz w:val="20"/>
          <w:szCs w:val="20"/>
          <w:color w:val="auto"/>
        </w:rPr>
      </w:pPr>
    </w:p>
    <w:p>
      <w:pPr>
        <w:ind w:left="380" w:right="380"/>
        <w:spacing w:after="0" w:line="260" w:lineRule="auto"/>
        <w:rPr>
          <w:sz w:val="20"/>
          <w:szCs w:val="20"/>
          <w:color w:val="auto"/>
        </w:rPr>
      </w:pPr>
      <w:r>
        <w:rPr>
          <w:rFonts w:ascii="Arial" w:cs="Arial" w:eastAsia="Arial" w:hAnsi="Arial"/>
          <w:sz w:val="20"/>
          <w:szCs w:val="20"/>
          <w:color w:val="auto"/>
        </w:rPr>
        <w:t>Components of other comprehensive income (loss) recorded in the Statements of Consolidated Comprehensive Income (Loss) are presented below, before tax and net of tax effects.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 w:type="dxa"/>
            <w:vAlign w:val="bottom"/>
          </w:tcPr>
          <w:p>
            <w:pPr>
              <w:spacing w:after="0"/>
              <w:rPr>
                <w:sz w:val="21"/>
                <w:szCs w:val="21"/>
                <w:color w:val="auto"/>
              </w:rPr>
            </w:pPr>
          </w:p>
        </w:tc>
        <w:tc>
          <w:tcPr>
            <w:tcW w:w="3780" w:type="dxa"/>
            <w:vAlign w:val="bottom"/>
            <w:tcBorders>
              <w:top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2022</w:t>
            </w:r>
          </w:p>
        </w:tc>
        <w:tc>
          <w:tcPr>
            <w:tcW w:w="1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gridSpan w:val="2"/>
          </w:tcPr>
          <w:p>
            <w:pPr>
              <w:jc w:val="center"/>
              <w:ind w:left="90"/>
              <w:spacing w:after="0"/>
              <w:rPr>
                <w:sz w:val="20"/>
                <w:szCs w:val="20"/>
                <w:color w:val="auto"/>
              </w:rPr>
            </w:pPr>
            <w:r>
              <w:rPr>
                <w:rFonts w:ascii="Arial" w:cs="Arial" w:eastAsia="Arial" w:hAnsi="Arial"/>
                <w:sz w:val="18"/>
                <w:szCs w:val="18"/>
                <w:color w:val="auto"/>
                <w:w w:val="89"/>
              </w:rPr>
              <w:t>2021</w:t>
            </w:r>
          </w:p>
        </w:tc>
        <w:tc>
          <w:tcPr>
            <w:tcW w:w="2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15"/>
        </w:trPr>
        <w:tc>
          <w:tcPr>
            <w:tcW w:w="4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190"/>
              <w:spacing w:after="0"/>
              <w:rPr>
                <w:sz w:val="20"/>
                <w:szCs w:val="20"/>
                <w:color w:val="auto"/>
              </w:rPr>
            </w:pPr>
            <w:r>
              <w:rPr>
                <w:rFonts w:ascii="Arial" w:cs="Arial" w:eastAsia="Arial" w:hAnsi="Arial"/>
                <w:sz w:val="18"/>
                <w:szCs w:val="18"/>
                <w:color w:val="auto"/>
                <w:w w:val="86"/>
              </w:rPr>
              <w:t>Tax</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Tax</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Before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(expense)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w w:val="99"/>
              </w:rPr>
              <w:t>Net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w w:val="94"/>
              </w:rPr>
              <w:t>Before</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99"/>
              </w:rPr>
              <w:t>Net of</w:t>
            </w:r>
          </w:p>
        </w:tc>
        <w:tc>
          <w:tcPr>
            <w:tcW w:w="400" w:type="dxa"/>
            <w:vAlign w:val="bottom"/>
          </w:tcPr>
          <w:p>
            <w:pPr>
              <w:spacing w:after="0"/>
              <w:rPr>
                <w:sz w:val="18"/>
                <w:szCs w:val="18"/>
                <w:color w:val="auto"/>
              </w:rPr>
            </w:pPr>
          </w:p>
        </w:tc>
      </w:tr>
      <w:tr>
        <w:trPr>
          <w:trHeight w:val="237"/>
        </w:trPr>
        <w:tc>
          <w:tcPr>
            <w:tcW w:w="420" w:type="dxa"/>
            <w:vAlign w:val="bottom"/>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tax</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benefit</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tax</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2"/>
              </w:rPr>
              <w:t>benefit</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tax</w:t>
            </w:r>
          </w:p>
        </w:tc>
        <w:tc>
          <w:tcPr>
            <w:tcW w:w="400" w:type="dxa"/>
            <w:vAlign w:val="bottom"/>
          </w:tcPr>
          <w:p>
            <w:pPr>
              <w:spacing w:after="0"/>
              <w:rPr>
                <w:sz w:val="20"/>
                <w:szCs w:val="20"/>
                <w:color w:val="auto"/>
              </w:rPr>
            </w:pPr>
          </w:p>
        </w:tc>
      </w:tr>
      <w:tr>
        <w:trPr>
          <w:trHeight w:val="243"/>
        </w:trPr>
        <w:tc>
          <w:tcPr>
            <w:tcW w:w="420" w:type="dxa"/>
            <w:vAlign w:val="bottom"/>
          </w:tcPr>
          <w:p>
            <w:pPr>
              <w:spacing w:after="0"/>
              <w:rPr>
                <w:sz w:val="21"/>
                <w:szCs w:val="21"/>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Three months ended December 31</w:t>
            </w: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4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9"/>
        </w:trPr>
        <w:tc>
          <w:tcPr>
            <w:tcW w:w="420" w:type="dxa"/>
            <w:vAlign w:val="bottom"/>
          </w:tcPr>
          <w:p>
            <w:pPr>
              <w:spacing w:after="0"/>
              <w:rPr>
                <w:sz w:val="21"/>
                <w:szCs w:val="21"/>
                <w:color w:val="auto"/>
              </w:rPr>
            </w:pPr>
          </w:p>
        </w:tc>
        <w:tc>
          <w:tcPr>
            <w:tcW w:w="3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Unrealized translation gain (loss)</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9"/>
              </w:rPr>
              <w:t>83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86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400" w:type="dxa"/>
            <w:vAlign w:val="bottom"/>
          </w:tcPr>
          <w:p>
            <w:pPr>
              <w:spacing w:after="0"/>
              <w:rPr>
                <w:sz w:val="21"/>
                <w:szCs w:val="21"/>
                <w:color w:val="auto"/>
              </w:rPr>
            </w:pPr>
          </w:p>
        </w:tc>
      </w:tr>
      <w:tr>
        <w:trPr>
          <w:trHeight w:val="237"/>
        </w:trPr>
        <w:tc>
          <w:tcPr>
            <w:tcW w:w="420" w:type="dxa"/>
            <w:vAlign w:val="bottom"/>
          </w:tcPr>
          <w:p>
            <w:pPr>
              <w:spacing w:after="0"/>
              <w:rPr>
                <w:sz w:val="20"/>
                <w:szCs w:val="20"/>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Unrealized loss on commodity hedges</w:t>
            </w: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(5 )</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400" w:type="dxa"/>
            <w:vAlign w:val="bottom"/>
          </w:tcPr>
          <w:p>
            <w:pPr>
              <w:spacing w:after="0"/>
              <w:rPr>
                <w:sz w:val="20"/>
                <w:szCs w:val="20"/>
                <w:color w:val="auto"/>
              </w:rPr>
            </w:pPr>
          </w:p>
        </w:tc>
      </w:tr>
      <w:tr>
        <w:trPr>
          <w:trHeight w:val="283"/>
        </w:trPr>
        <w:tc>
          <w:tcPr>
            <w:tcW w:w="420" w:type="dxa"/>
            <w:vAlign w:val="bottom"/>
          </w:tcPr>
          <w:p>
            <w:pPr>
              <w:spacing w:after="0"/>
              <w:rPr>
                <w:sz w:val="24"/>
                <w:szCs w:val="24"/>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78</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400" w:type="dxa"/>
            <w:vAlign w:val="bottom"/>
          </w:tcPr>
          <w:p>
            <w:pPr>
              <w:spacing w:after="0"/>
              <w:rPr>
                <w:sz w:val="24"/>
                <w:szCs w:val="24"/>
                <w:color w:val="auto"/>
              </w:rPr>
            </w:pPr>
          </w:p>
        </w:tc>
      </w:tr>
      <w:tr>
        <w:trPr>
          <w:trHeight w:val="520"/>
        </w:trPr>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90"/>
              <w:spacing w:after="0"/>
              <w:rPr>
                <w:sz w:val="20"/>
                <w:szCs w:val="20"/>
                <w:color w:val="auto"/>
              </w:rPr>
            </w:pPr>
            <w:r>
              <w:rPr>
                <w:rFonts w:ascii="Arial" w:cs="Arial" w:eastAsia="Arial" w:hAnsi="Arial"/>
                <w:sz w:val="18"/>
                <w:szCs w:val="18"/>
                <w:color w:val="auto"/>
                <w:w w:val="99"/>
              </w:rPr>
              <w:t>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-453390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-436880</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-453390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-436880</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-453390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-436880</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-453390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-436880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-453390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-436880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type w:val="continuous"/>
        </w:sectPr>
      </w:pPr>
    </w:p>
    <w:bookmarkStart w:id="20" w:name="page21"/>
    <w:bookmarkEnd w:id="20"/>
    <w:p>
      <w:pPr>
        <w:ind w:left="380"/>
        <w:spacing w:after="0"/>
        <w:rPr>
          <w:sz w:val="20"/>
          <w:szCs w:val="20"/>
          <w:color w:val="auto"/>
        </w:rPr>
      </w:pPr>
      <w:r>
        <w:rPr>
          <w:rFonts w:ascii="Arial" w:cs="Arial" w:eastAsia="Arial" w:hAnsi="Arial"/>
          <w:sz w:val="20"/>
          <w:szCs w:val="20"/>
          <w:b w:val="1"/>
          <w:bCs w:val="1"/>
          <w:color w:val="auto"/>
        </w:rPr>
        <w:t>Summary of stockholders’ equity</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 reconciliation of changes in stockholders’ equity are as follows:</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67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Borders>
              <w:top w:val="single" w:sz="8" w:color="auto"/>
            </w:tcBorders>
          </w:tcPr>
          <w:p>
            <w:pPr>
              <w:spacing w:after="0"/>
              <w:rPr>
                <w:sz w:val="21"/>
                <w:szCs w:val="21"/>
                <w:color w:val="auto"/>
              </w:rPr>
            </w:pPr>
          </w:p>
        </w:tc>
      </w:tr>
      <w:tr>
        <w:trPr>
          <w:trHeight w:val="249"/>
        </w:trPr>
        <w:tc>
          <w:tcPr>
            <w:tcW w:w="67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December 31</w:t>
            </w:r>
          </w:p>
        </w:tc>
        <w:tc>
          <w:tcPr>
            <w:tcW w:w="1120" w:type="dxa"/>
            <w:vAlign w:val="bottom"/>
            <w:tcBorders>
              <w:bottom w:val="single" w:sz="8" w:color="auto"/>
            </w:tcBorders>
          </w:tcPr>
          <w:p>
            <w:pPr>
              <w:spacing w:after="0"/>
              <w:rPr>
                <w:sz w:val="21"/>
                <w:szCs w:val="21"/>
                <w:color w:val="auto"/>
              </w:rPr>
            </w:pPr>
          </w:p>
        </w:tc>
      </w:tr>
      <w:tr>
        <w:trPr>
          <w:trHeight w:val="237"/>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4"/>
              </w:rPr>
              <w:t>2021</w:t>
            </w:r>
          </w:p>
        </w:tc>
      </w:tr>
      <w:tr>
        <w:trPr>
          <w:trHeight w:val="243"/>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Common stock and paid in capital</w:t>
            </w:r>
          </w:p>
        </w:tc>
        <w:tc>
          <w:tcPr>
            <w:tcW w:w="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7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49"/>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Common shares issued under stock incentive and other plans </w:t>
            </w:r>
            <w:r>
              <w:rPr>
                <w:rFonts w:ascii="Arial" w:cs="Arial" w:eastAsia="Arial" w:hAnsi="Arial"/>
                <w:sz w:val="14"/>
                <w:szCs w:val="14"/>
                <w:color w:val="auto"/>
              </w:rPr>
              <w:t>(a)</w:t>
            </w:r>
          </w:p>
        </w:tc>
        <w:tc>
          <w:tcPr>
            <w:tcW w:w="3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2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r>
      <w:tr>
        <w:trPr>
          <w:trHeight w:val="237"/>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Retained earnings</w:t>
            </w:r>
          </w:p>
        </w:tc>
        <w:tc>
          <w:tcPr>
            <w:tcW w:w="3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8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3,653</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2,796</w:t>
            </w:r>
          </w:p>
        </w:tc>
      </w:tr>
      <w:tr>
        <w:trPr>
          <w:trHeight w:val="249"/>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Regular dividends</w:t>
            </w: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2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37"/>
        </w:trPr>
        <w:tc>
          <w:tcPr>
            <w:tcW w:w="6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Balance, end of period</w:t>
            </w:r>
          </w:p>
        </w:tc>
        <w:tc>
          <w:tcPr>
            <w:tcW w:w="3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3,675</w:t>
            </w:r>
          </w:p>
        </w:tc>
        <w:tc>
          <w:tcPr>
            <w:tcW w:w="2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2,827</w:t>
            </w:r>
          </w:p>
        </w:tc>
      </w:tr>
      <w:tr>
        <w:trPr>
          <w:trHeight w:val="232"/>
        </w:trPr>
        <w:tc>
          <w:tcPr>
            <w:tcW w:w="676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(569 )</w:t>
            </w: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(372 )</w:t>
            </w: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Unrealized translation gain (loss)</w:t>
            </w:r>
          </w:p>
        </w:tc>
        <w:tc>
          <w:tcPr>
            <w:tcW w:w="38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49"/>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Unrealized loss on commodity hedges</w:t>
            </w:r>
          </w:p>
        </w:tc>
        <w:tc>
          <w:tcPr>
            <w:tcW w:w="3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2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Balance, end of period</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(491 )</w:t>
            </w:r>
          </w:p>
        </w:tc>
        <w:tc>
          <w:tcPr>
            <w:tcW w:w="2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(392 )</w:t>
            </w:r>
          </w:p>
        </w:tc>
      </w:tr>
      <w:tr>
        <w:trPr>
          <w:trHeight w:val="277"/>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3,318</w:t>
            </w:r>
          </w:p>
        </w:tc>
        <w:tc>
          <w:tcPr>
            <w:tcW w:w="2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2,763</w:t>
            </w:r>
          </w:p>
        </w:tc>
      </w:tr>
      <w:tr>
        <w:trPr>
          <w:trHeight w:val="211"/>
        </w:trPr>
        <w:tc>
          <w:tcPr>
            <w:tcW w:w="676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0.335</w:t>
            </w:r>
          </w:p>
        </w:tc>
        <w:tc>
          <w:tcPr>
            <w:tcW w:w="7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-2074545</wp:posOffset>
            </wp:positionV>
            <wp:extent cx="12890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-1122680</wp:posOffset>
            </wp:positionV>
            <wp:extent cx="128905"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1631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-497205</wp:posOffset>
            </wp:positionV>
            <wp:extent cx="12890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-171450</wp:posOffset>
            </wp:positionV>
            <wp:extent cx="6626225" cy="2825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26225" cy="282575"/>
                    </a:xfrm>
                    <a:prstGeom prst="rect">
                      <a:avLst/>
                    </a:prstGeom>
                    <a:noFill/>
                  </pic:spPr>
                </pic:pic>
              </a:graphicData>
            </a:graphic>
          </wp:anchor>
        </w:drawing>
      </w:r>
    </w:p>
    <w:p>
      <w:pPr>
        <w:spacing w:after="0" w:line="244" w:lineRule="exact"/>
        <w:rPr>
          <w:sz w:val="20"/>
          <w:szCs w:val="20"/>
          <w:color w:val="auto"/>
        </w:rPr>
      </w:pPr>
    </w:p>
    <w:p>
      <w:pPr>
        <w:ind w:left="740" w:hanging="358"/>
        <w:spacing w:after="0" w:line="253" w:lineRule="auto"/>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Common shares issued were 127,577 shares and 94,715 for the three months ended December 31, 2022 and 2021, respectively. Includes $9 million and $5 million associated with stock based compensation employee withholding taxes for the three months ended December 31, 2022 and 2021,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 – STOCK INCENTIVE PLANS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components of Ashland’s pre-tax stock-based compensation expense included in continuing operations are as follows:</w:t>
      </w:r>
    </w:p>
    <w:p>
      <w:pPr>
        <w:spacing w:after="0" w:line="129"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69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140" w:type="dxa"/>
            <w:vAlign w:val="bottom"/>
            <w:tcBorders>
              <w:top w:val="single" w:sz="8" w:color="auto"/>
            </w:tcBorders>
            <w:gridSpan w:val="4"/>
          </w:tcPr>
          <w:p>
            <w:pPr>
              <w:jc w:val="center"/>
              <w:ind w:right="310"/>
              <w:spacing w:after="0"/>
              <w:rPr>
                <w:sz w:val="20"/>
                <w:szCs w:val="20"/>
                <w:color w:val="auto"/>
              </w:rPr>
            </w:pPr>
            <w:r>
              <w:rPr>
                <w:rFonts w:ascii="Arial" w:cs="Arial" w:eastAsia="Arial" w:hAnsi="Arial"/>
                <w:sz w:val="18"/>
                <w:szCs w:val="18"/>
                <w:color w:val="auto"/>
                <w:w w:val="87"/>
              </w:rPr>
              <w:t>Three months ended</w:t>
            </w:r>
          </w:p>
        </w:tc>
      </w:tr>
      <w:tr>
        <w:trPr>
          <w:trHeight w:val="249"/>
        </w:trPr>
        <w:tc>
          <w:tcPr>
            <w:tcW w:w="69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color w:val="auto"/>
                <w:w w:val="88"/>
              </w:rPr>
              <w:t>December 31</w:t>
            </w:r>
          </w:p>
        </w:tc>
        <w:tc>
          <w:tcPr>
            <w:tcW w:w="1200" w:type="dxa"/>
            <w:vAlign w:val="bottom"/>
            <w:tcBorders>
              <w:bottom w:val="single" w:sz="8" w:color="auto"/>
            </w:tcBorders>
          </w:tcPr>
          <w:p>
            <w:pPr>
              <w:spacing w:after="0"/>
              <w:rPr>
                <w:sz w:val="21"/>
                <w:szCs w:val="21"/>
                <w:color w:val="auto"/>
              </w:rPr>
            </w:pPr>
          </w:p>
        </w:tc>
      </w:tr>
      <w:tr>
        <w:trPr>
          <w:trHeight w:val="237"/>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 xml:space="preserve">2022 </w:t>
            </w:r>
            <w:r>
              <w:rPr>
                <w:rFonts w:ascii="Arial" w:cs="Arial" w:eastAsia="Arial" w:hAnsi="Arial"/>
                <w:sz w:val="14"/>
                <w:szCs w:val="14"/>
                <w:color w:val="auto"/>
              </w:rPr>
              <w:t>(a)</w:t>
            </w: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 xml:space="preserve">2021 </w:t>
            </w:r>
            <w:r>
              <w:rPr>
                <w:rFonts w:ascii="Arial" w:cs="Arial" w:eastAsia="Arial" w:hAnsi="Arial"/>
                <w:sz w:val="14"/>
                <w:szCs w:val="14"/>
                <w:color w:val="auto"/>
              </w:rPr>
              <w:t>(b)</w:t>
            </w:r>
          </w:p>
        </w:tc>
      </w:tr>
      <w:tr>
        <w:trPr>
          <w:trHeight w:val="243"/>
        </w:trPr>
        <w:tc>
          <w:tcPr>
            <w:tcW w:w="7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Nonvested stock awards</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7280" w:type="dxa"/>
            <w:vAlign w:val="bottom"/>
            <w:gridSpan w:val="2"/>
          </w:tcPr>
          <w:p>
            <w:pPr>
              <w:spacing w:after="0"/>
              <w:rPr>
                <w:sz w:val="20"/>
                <w:szCs w:val="20"/>
                <w:color w:val="auto"/>
              </w:rPr>
            </w:pPr>
            <w:r>
              <w:rPr>
                <w:rFonts w:ascii="Arial" w:cs="Arial" w:eastAsia="Arial" w:hAnsi="Arial"/>
                <w:sz w:val="18"/>
                <w:szCs w:val="18"/>
                <w:color w:val="auto"/>
              </w:rPr>
              <w:t>Performance share awards</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69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r>
      <w:tr>
        <w:trPr>
          <w:trHeight w:val="135"/>
        </w:trPr>
        <w:tc>
          <w:tcPr>
            <w:tcW w:w="6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-128270</wp:posOffset>
            </wp:positionV>
            <wp:extent cx="146050"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6050" cy="12890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Included $1 million of expense related to cash-settled nonvested restricted stock awards during the three months ended December 31, 2022.</w:t>
      </w:r>
    </w:p>
    <w:p>
      <w:pPr>
        <w:spacing w:after="0" w:line="28" w:lineRule="exact"/>
        <w:rPr>
          <w:rFonts w:ascii="Arial" w:cs="Arial" w:eastAsia="Arial" w:hAnsi="Arial"/>
          <w:sz w:val="14"/>
          <w:szCs w:val="14"/>
          <w:color w:val="auto"/>
        </w:rPr>
      </w:pPr>
    </w:p>
    <w:p>
      <w:pPr>
        <w:ind w:left="740" w:hanging="358"/>
        <w:spacing w:after="0"/>
        <w:tabs>
          <w:tab w:leader="none" w:pos="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Included $2 million of expense related to cash-settled nonvested restricted stock awards during the three months ended December 31, 2021.</w:t>
      </w:r>
    </w:p>
    <w:p>
      <w:pPr>
        <w:spacing w:after="0" w:line="3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54" w:right="71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NOTE P – REVENUE</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Disaggregation of revenue</w:t>
      </w:r>
    </w:p>
    <w:p>
      <w:pPr>
        <w:spacing w:after="0" w:line="114"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Ashland disaggregates its revenue by segment and geographical region as Ashland believes these categories best depict how management reviews the financial performance of its operations. Ashland includes only U.S. and Canada in its North America designation and includes Europe, the Middle East and Africa in its Europe designation. See the following tables for details. See Note Q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50800</wp:posOffset>
            </wp:positionV>
            <wp:extent cx="6638925" cy="6299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638925" cy="629920"/>
                    </a:xfrm>
                    <a:prstGeom prst="rect">
                      <a:avLst/>
                    </a:prstGeom>
                    <a:noFill/>
                  </pic:spPr>
                </pic:pic>
              </a:graphicData>
            </a:graphic>
          </wp:anchor>
        </w:drawing>
      </w:r>
    </w:p>
    <w:p>
      <w:pPr>
        <w:spacing w:after="0" w:line="8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Sales by geography</w:t>
      </w:r>
    </w:p>
    <w:p>
      <w:pPr>
        <w:spacing w:after="0" w:line="21" w:lineRule="exact"/>
        <w:rPr>
          <w:sz w:val="20"/>
          <w:szCs w:val="20"/>
          <w:color w:val="auto"/>
        </w:rPr>
      </w:pPr>
    </w:p>
    <w:tbl>
      <w:tblPr>
        <w:tblLayout w:type="fixed"/>
        <w:tblInd w:w="420" w:type="dxa"/>
        <w:tblCellMar>
          <w:top w:w="0" w:type="dxa"/>
          <w:left w:w="0" w:type="dxa"/>
          <w:bottom w:w="0" w:type="dxa"/>
          <w:right w:w="0" w:type="dxa"/>
        </w:tblCellMar>
      </w:tblPr>
      <w:tr>
        <w:trPr>
          <w:trHeight w:val="227"/>
        </w:trPr>
        <w:tc>
          <w:tcPr>
            <w:tcW w:w="306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gridSpan w:val="4"/>
          </w:tcPr>
          <w:p>
            <w:pPr>
              <w:ind w:left="920"/>
              <w:spacing w:after="0"/>
              <w:rPr>
                <w:sz w:val="20"/>
                <w:szCs w:val="20"/>
                <w:color w:val="auto"/>
              </w:rPr>
            </w:pPr>
            <w:r>
              <w:rPr>
                <w:rFonts w:ascii="Arial" w:cs="Arial" w:eastAsia="Arial" w:hAnsi="Arial"/>
                <w:sz w:val="17"/>
                <w:szCs w:val="17"/>
                <w:color w:val="auto"/>
                <w:w w:val="95"/>
              </w:rPr>
              <w:t>Three months ended</w:t>
            </w:r>
          </w:p>
        </w:tc>
        <w:tc>
          <w:tcPr>
            <w:tcW w:w="1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3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7"/>
                <w:szCs w:val="17"/>
                <w:color w:val="auto"/>
              </w:rPr>
              <w:t>December 31</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 millions)</w:t>
            </w:r>
          </w:p>
        </w:tc>
        <w:tc>
          <w:tcPr>
            <w:tcW w:w="3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19"/>
                <w:szCs w:val="19"/>
                <w:color w:val="auto"/>
              </w:rPr>
            </w:pPr>
          </w:p>
        </w:tc>
      </w:tr>
      <w:tr>
        <w:trPr>
          <w:trHeight w:val="223"/>
        </w:trPr>
        <w:tc>
          <w:tcPr>
            <w:tcW w:w="30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2"/>
          </w:tcPr>
          <w:p>
            <w:pPr>
              <w:jc w:val="center"/>
              <w:ind w:left="535"/>
              <w:spacing w:after="0"/>
              <w:rPr>
                <w:sz w:val="20"/>
                <w:szCs w:val="20"/>
                <w:color w:val="auto"/>
              </w:rPr>
            </w:pPr>
            <w:r>
              <w:rPr>
                <w:rFonts w:ascii="Arial" w:cs="Arial" w:eastAsia="Arial" w:hAnsi="Arial"/>
                <w:sz w:val="17"/>
                <w:szCs w:val="17"/>
                <w:color w:val="auto"/>
                <w:w w:val="90"/>
              </w:rPr>
              <w:t>Life Sciences</w:t>
            </w: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060" w:type="dxa"/>
            <w:vAlign w:val="bottom"/>
            <w:shd w:val="clear" w:color="auto" w:fill="CFF0FC"/>
          </w:tcPr>
          <w:p>
            <w:pPr>
              <w:ind w:left="80"/>
              <w:spacing w:after="0"/>
              <w:rPr>
                <w:sz w:val="20"/>
                <w:szCs w:val="20"/>
                <w:color w:val="auto"/>
              </w:rPr>
            </w:pPr>
            <w:r>
              <w:rPr>
                <w:rFonts w:ascii="Arial" w:cs="Arial" w:eastAsia="Arial" w:hAnsi="Arial"/>
                <w:sz w:val="17"/>
                <w:szCs w:val="17"/>
                <w:color w:val="auto"/>
              </w:rPr>
              <w:t>North America</w:t>
            </w:r>
          </w:p>
        </w:tc>
        <w:tc>
          <w:tcPr>
            <w:tcW w:w="3580" w:type="dxa"/>
            <w:vAlign w:val="bottom"/>
            <w:gridSpan w:val="2"/>
            <w:shd w:val="clear" w:color="auto" w:fill="CFF0FC"/>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960" w:type="dxa"/>
            <w:vAlign w:val="bottom"/>
            <w:gridSpan w:val="3"/>
            <w:shd w:val="clear" w:color="auto" w:fill="CFF0FC"/>
          </w:tcPr>
          <w:p>
            <w:pPr>
              <w:jc w:val="right"/>
              <w:ind w:right="48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80" w:type="dxa"/>
            <w:vAlign w:val="bottom"/>
            <w:shd w:val="clear" w:color="auto" w:fill="CFF0FC"/>
          </w:tcPr>
          <w:p>
            <w:pPr>
              <w:spacing w:after="0"/>
              <w:rPr>
                <w:sz w:val="19"/>
                <w:szCs w:val="19"/>
                <w:color w:val="auto"/>
              </w:rPr>
            </w:pPr>
          </w:p>
        </w:tc>
      </w:tr>
      <w:tr>
        <w:trPr>
          <w:trHeight w:val="223"/>
        </w:trPr>
        <w:tc>
          <w:tcPr>
            <w:tcW w:w="3060" w:type="dxa"/>
            <w:vAlign w:val="bottom"/>
          </w:tcPr>
          <w:p>
            <w:pPr>
              <w:ind w:left="80"/>
              <w:spacing w:after="0"/>
              <w:rPr>
                <w:sz w:val="20"/>
                <w:szCs w:val="20"/>
                <w:color w:val="auto"/>
              </w:rPr>
            </w:pPr>
            <w:r>
              <w:rPr>
                <w:rFonts w:ascii="Arial" w:cs="Arial" w:eastAsia="Arial" w:hAnsi="Arial"/>
                <w:sz w:val="17"/>
                <w:szCs w:val="17"/>
                <w:color w:val="auto"/>
              </w:rPr>
              <w:t>Europe</w:t>
            </w:r>
          </w:p>
        </w:tc>
        <w:tc>
          <w:tcPr>
            <w:tcW w:w="3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r>
      <w:tr>
        <w:trPr>
          <w:trHeight w:val="236"/>
        </w:trPr>
        <w:tc>
          <w:tcPr>
            <w:tcW w:w="3060" w:type="dxa"/>
            <w:vAlign w:val="bottom"/>
            <w:shd w:val="clear" w:color="auto" w:fill="CFF0FC"/>
          </w:tcPr>
          <w:p>
            <w:pPr>
              <w:ind w:left="80"/>
              <w:spacing w:after="0"/>
              <w:rPr>
                <w:sz w:val="20"/>
                <w:szCs w:val="20"/>
                <w:color w:val="auto"/>
              </w:rPr>
            </w:pPr>
            <w:r>
              <w:rPr>
                <w:rFonts w:ascii="Arial" w:cs="Arial" w:eastAsia="Arial" w:hAnsi="Arial"/>
                <w:sz w:val="17"/>
                <w:szCs w:val="17"/>
                <w:color w:val="auto"/>
              </w:rPr>
              <w:t>Asia Pacific</w:t>
            </w:r>
          </w:p>
        </w:tc>
        <w:tc>
          <w:tcPr>
            <w:tcW w:w="3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80" w:type="dxa"/>
            <w:vAlign w:val="bottom"/>
            <w:shd w:val="clear" w:color="auto" w:fill="CFF0FC"/>
          </w:tcPr>
          <w:p>
            <w:pPr>
              <w:spacing w:after="0"/>
              <w:rPr>
                <w:sz w:val="20"/>
                <w:szCs w:val="20"/>
                <w:color w:val="auto"/>
              </w:rPr>
            </w:pPr>
          </w:p>
        </w:tc>
      </w:tr>
      <w:tr>
        <w:trPr>
          <w:trHeight w:val="227"/>
        </w:trPr>
        <w:tc>
          <w:tcPr>
            <w:tcW w:w="3060" w:type="dxa"/>
            <w:vAlign w:val="bottom"/>
          </w:tcPr>
          <w:p>
            <w:pPr>
              <w:ind w:left="80"/>
              <w:spacing w:after="0"/>
              <w:rPr>
                <w:sz w:val="20"/>
                <w:szCs w:val="20"/>
                <w:color w:val="auto"/>
              </w:rPr>
            </w:pPr>
            <w:r>
              <w:rPr>
                <w:rFonts w:ascii="Arial" w:cs="Arial" w:eastAsia="Arial" w:hAnsi="Arial"/>
                <w:sz w:val="17"/>
                <w:szCs w:val="17"/>
                <w:color w:val="auto"/>
              </w:rPr>
              <w:t>Latin America &amp; other</w:t>
            </w:r>
          </w:p>
        </w:tc>
        <w:tc>
          <w:tcPr>
            <w:tcW w:w="3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r>
      <w:tr>
        <w:trPr>
          <w:trHeight w:val="259"/>
        </w:trPr>
        <w:tc>
          <w:tcPr>
            <w:tcW w:w="3060" w:type="dxa"/>
            <w:vAlign w:val="bottom"/>
            <w:tcBorders>
              <w:bottom w:val="single" w:sz="8" w:color="CFF0FC"/>
            </w:tcBorders>
            <w:shd w:val="clear" w:color="auto" w:fill="CFF0FC"/>
          </w:tcPr>
          <w:p>
            <w:pPr>
              <w:spacing w:after="0"/>
              <w:rPr>
                <w:sz w:val="22"/>
                <w:szCs w:val="22"/>
                <w:color w:val="auto"/>
              </w:rPr>
            </w:pPr>
          </w:p>
        </w:tc>
        <w:tc>
          <w:tcPr>
            <w:tcW w:w="31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207</w:t>
            </w:r>
          </w:p>
        </w:tc>
        <w:tc>
          <w:tcPr>
            <w:tcW w:w="320" w:type="dxa"/>
            <w:vAlign w:val="bottom"/>
            <w:tcBorders>
              <w:bottom w:val="single" w:sz="8" w:color="CFF0FC"/>
            </w:tcBorders>
            <w:gridSpan w:val="2"/>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17"/>
        </w:trPr>
        <w:tc>
          <w:tcPr>
            <w:tcW w:w="3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gridSpan w:val="2"/>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ind w:left="920"/>
              <w:spacing w:after="0"/>
              <w:rPr>
                <w:sz w:val="20"/>
                <w:szCs w:val="20"/>
                <w:color w:val="auto"/>
              </w:rPr>
            </w:pPr>
            <w:r>
              <w:rPr>
                <w:rFonts w:ascii="Arial" w:cs="Arial" w:eastAsia="Arial" w:hAnsi="Arial"/>
                <w:sz w:val="17"/>
                <w:szCs w:val="17"/>
                <w:color w:val="auto"/>
              </w:rPr>
              <w:t>Three</w:t>
            </w:r>
          </w:p>
        </w:tc>
        <w:tc>
          <w:tcPr>
            <w:tcW w:w="960" w:type="dxa"/>
            <w:vAlign w:val="bottom"/>
            <w:gridSpan w:val="3"/>
          </w:tcPr>
          <w:p>
            <w:pPr>
              <w:jc w:val="right"/>
              <w:ind w:right="45"/>
              <w:spacing w:after="0"/>
              <w:rPr>
                <w:sz w:val="20"/>
                <w:szCs w:val="20"/>
                <w:color w:val="auto"/>
              </w:rPr>
            </w:pPr>
            <w:r>
              <w:rPr>
                <w:rFonts w:ascii="Arial" w:cs="Arial" w:eastAsia="Arial" w:hAnsi="Arial"/>
                <w:sz w:val="17"/>
                <w:szCs w:val="17"/>
                <w:color w:val="auto"/>
                <w:w w:val="76"/>
              </w:rPr>
              <w:t>months ended</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3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7"/>
                <w:szCs w:val="17"/>
                <w:color w:val="auto"/>
              </w:rPr>
              <w:t>December 31</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 millions)</w:t>
            </w:r>
          </w:p>
        </w:tc>
        <w:tc>
          <w:tcPr>
            <w:tcW w:w="3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19"/>
                <w:szCs w:val="19"/>
                <w:color w:val="auto"/>
              </w:rPr>
            </w:pPr>
          </w:p>
        </w:tc>
      </w:tr>
      <w:tr>
        <w:trPr>
          <w:trHeight w:val="223"/>
        </w:trPr>
        <w:tc>
          <w:tcPr>
            <w:tcW w:w="30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2"/>
          </w:tcPr>
          <w:p>
            <w:pPr>
              <w:jc w:val="center"/>
              <w:ind w:left="535"/>
              <w:spacing w:after="0"/>
              <w:rPr>
                <w:sz w:val="20"/>
                <w:szCs w:val="20"/>
                <w:color w:val="auto"/>
              </w:rPr>
            </w:pPr>
            <w:r>
              <w:rPr>
                <w:rFonts w:ascii="Arial" w:cs="Arial" w:eastAsia="Arial" w:hAnsi="Arial"/>
                <w:sz w:val="17"/>
                <w:szCs w:val="17"/>
                <w:color w:val="auto"/>
                <w:w w:val="88"/>
              </w:rPr>
              <w:t>Personal Care</w:t>
            </w: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3060" w:type="dxa"/>
            <w:vAlign w:val="bottom"/>
            <w:shd w:val="clear" w:color="auto" w:fill="CFF0FC"/>
          </w:tcPr>
          <w:p>
            <w:pPr>
              <w:ind w:left="80"/>
              <w:spacing w:after="0"/>
              <w:rPr>
                <w:sz w:val="20"/>
                <w:szCs w:val="20"/>
                <w:color w:val="auto"/>
              </w:rPr>
            </w:pPr>
            <w:r>
              <w:rPr>
                <w:rFonts w:ascii="Arial" w:cs="Arial" w:eastAsia="Arial" w:hAnsi="Arial"/>
                <w:sz w:val="17"/>
                <w:szCs w:val="17"/>
                <w:color w:val="auto"/>
              </w:rPr>
              <w:t>North America</w:t>
            </w:r>
          </w:p>
        </w:tc>
        <w:tc>
          <w:tcPr>
            <w:tcW w:w="3580" w:type="dxa"/>
            <w:vAlign w:val="bottom"/>
            <w:gridSpan w:val="2"/>
            <w:shd w:val="clear" w:color="auto" w:fill="CFF0FC"/>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960" w:type="dxa"/>
            <w:vAlign w:val="bottom"/>
            <w:gridSpan w:val="3"/>
            <w:shd w:val="clear" w:color="auto" w:fill="CFF0FC"/>
          </w:tcPr>
          <w:p>
            <w:pPr>
              <w:jc w:val="right"/>
              <w:ind w:right="48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80" w:type="dxa"/>
            <w:vAlign w:val="bottom"/>
            <w:shd w:val="clear" w:color="auto" w:fill="CFF0FC"/>
          </w:tcPr>
          <w:p>
            <w:pPr>
              <w:spacing w:after="0"/>
              <w:rPr>
                <w:sz w:val="19"/>
                <w:szCs w:val="19"/>
                <w:color w:val="auto"/>
              </w:rPr>
            </w:pPr>
          </w:p>
        </w:tc>
      </w:tr>
      <w:tr>
        <w:trPr>
          <w:trHeight w:val="223"/>
        </w:trPr>
        <w:tc>
          <w:tcPr>
            <w:tcW w:w="3060" w:type="dxa"/>
            <w:vAlign w:val="bottom"/>
          </w:tcPr>
          <w:p>
            <w:pPr>
              <w:ind w:left="80"/>
              <w:spacing w:after="0"/>
              <w:rPr>
                <w:sz w:val="20"/>
                <w:szCs w:val="20"/>
                <w:color w:val="auto"/>
              </w:rPr>
            </w:pPr>
            <w:r>
              <w:rPr>
                <w:rFonts w:ascii="Arial" w:cs="Arial" w:eastAsia="Arial" w:hAnsi="Arial"/>
                <w:sz w:val="17"/>
                <w:szCs w:val="17"/>
                <w:color w:val="auto"/>
              </w:rPr>
              <w:t>Europe</w:t>
            </w:r>
          </w:p>
        </w:tc>
        <w:tc>
          <w:tcPr>
            <w:tcW w:w="3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9"/>
                <w:szCs w:val="19"/>
                <w:color w:val="auto"/>
              </w:rPr>
            </w:pPr>
          </w:p>
        </w:tc>
      </w:tr>
      <w:tr>
        <w:trPr>
          <w:trHeight w:val="236"/>
        </w:trPr>
        <w:tc>
          <w:tcPr>
            <w:tcW w:w="3060" w:type="dxa"/>
            <w:vAlign w:val="bottom"/>
            <w:shd w:val="clear" w:color="auto" w:fill="CFF0FC"/>
          </w:tcPr>
          <w:p>
            <w:pPr>
              <w:ind w:left="80"/>
              <w:spacing w:after="0"/>
              <w:rPr>
                <w:sz w:val="20"/>
                <w:szCs w:val="20"/>
                <w:color w:val="auto"/>
              </w:rPr>
            </w:pPr>
            <w:r>
              <w:rPr>
                <w:rFonts w:ascii="Arial" w:cs="Arial" w:eastAsia="Arial" w:hAnsi="Arial"/>
                <w:sz w:val="17"/>
                <w:szCs w:val="17"/>
                <w:color w:val="auto"/>
              </w:rPr>
              <w:t>Asia Pacific</w:t>
            </w:r>
          </w:p>
        </w:tc>
        <w:tc>
          <w:tcPr>
            <w:tcW w:w="3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FF0FC"/>
          </w:tcPr>
          <w:p>
            <w:pPr>
              <w:spacing w:after="0"/>
              <w:rPr>
                <w:sz w:val="20"/>
                <w:szCs w:val="20"/>
                <w:color w:val="auto"/>
              </w:rPr>
            </w:pPr>
          </w:p>
        </w:tc>
      </w:tr>
      <w:tr>
        <w:trPr>
          <w:trHeight w:val="228"/>
        </w:trPr>
        <w:tc>
          <w:tcPr>
            <w:tcW w:w="3060" w:type="dxa"/>
            <w:vAlign w:val="bottom"/>
          </w:tcPr>
          <w:p>
            <w:pPr>
              <w:ind w:left="80"/>
              <w:spacing w:after="0"/>
              <w:rPr>
                <w:sz w:val="20"/>
                <w:szCs w:val="20"/>
                <w:color w:val="auto"/>
              </w:rPr>
            </w:pPr>
            <w:r>
              <w:rPr>
                <w:rFonts w:ascii="Arial" w:cs="Arial" w:eastAsia="Arial" w:hAnsi="Arial"/>
                <w:sz w:val="17"/>
                <w:szCs w:val="17"/>
                <w:color w:val="auto"/>
              </w:rPr>
              <w:t>Latin America &amp; other</w:t>
            </w:r>
          </w:p>
        </w:tc>
        <w:tc>
          <w:tcPr>
            <w:tcW w:w="3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9"/>
                <w:szCs w:val="19"/>
                <w:color w:val="auto"/>
              </w:rPr>
            </w:pPr>
          </w:p>
        </w:tc>
      </w:tr>
      <w:tr>
        <w:trPr>
          <w:trHeight w:val="258"/>
        </w:trPr>
        <w:tc>
          <w:tcPr>
            <w:tcW w:w="3060" w:type="dxa"/>
            <w:vAlign w:val="bottom"/>
            <w:tcBorders>
              <w:bottom w:val="single" w:sz="8" w:color="CFF0FC"/>
            </w:tcBorders>
            <w:shd w:val="clear" w:color="auto" w:fill="CFF0FC"/>
          </w:tcPr>
          <w:p>
            <w:pPr>
              <w:spacing w:after="0"/>
              <w:rPr>
                <w:sz w:val="22"/>
                <w:szCs w:val="22"/>
                <w:color w:val="auto"/>
              </w:rPr>
            </w:pPr>
          </w:p>
        </w:tc>
        <w:tc>
          <w:tcPr>
            <w:tcW w:w="31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138</w:t>
            </w:r>
          </w:p>
        </w:tc>
        <w:tc>
          <w:tcPr>
            <w:tcW w:w="320" w:type="dxa"/>
            <w:vAlign w:val="bottom"/>
            <w:tcBorders>
              <w:bottom w:val="single" w:sz="8" w:color="CFF0FC"/>
            </w:tcBorders>
            <w:gridSpan w:val="2"/>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147</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17"/>
        </w:trPr>
        <w:tc>
          <w:tcPr>
            <w:tcW w:w="3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gridSpan w:val="2"/>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ind w:left="920"/>
              <w:spacing w:after="0"/>
              <w:rPr>
                <w:sz w:val="20"/>
                <w:szCs w:val="20"/>
                <w:color w:val="auto"/>
              </w:rPr>
            </w:pPr>
            <w:r>
              <w:rPr>
                <w:rFonts w:ascii="Arial" w:cs="Arial" w:eastAsia="Arial" w:hAnsi="Arial"/>
                <w:sz w:val="17"/>
                <w:szCs w:val="17"/>
                <w:color w:val="auto"/>
              </w:rPr>
              <w:t>Three</w:t>
            </w:r>
          </w:p>
        </w:tc>
        <w:tc>
          <w:tcPr>
            <w:tcW w:w="960" w:type="dxa"/>
            <w:vAlign w:val="bottom"/>
            <w:gridSpan w:val="3"/>
          </w:tcPr>
          <w:p>
            <w:pPr>
              <w:jc w:val="right"/>
              <w:ind w:right="45"/>
              <w:spacing w:after="0"/>
              <w:rPr>
                <w:sz w:val="20"/>
                <w:szCs w:val="20"/>
                <w:color w:val="auto"/>
              </w:rPr>
            </w:pPr>
            <w:r>
              <w:rPr>
                <w:rFonts w:ascii="Arial" w:cs="Arial" w:eastAsia="Arial" w:hAnsi="Arial"/>
                <w:sz w:val="17"/>
                <w:szCs w:val="17"/>
                <w:color w:val="auto"/>
                <w:w w:val="76"/>
              </w:rPr>
              <w:t>months ended</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3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7"/>
                <w:szCs w:val="17"/>
                <w:color w:val="auto"/>
              </w:rPr>
              <w:t>December 31</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 millions)</w:t>
            </w:r>
          </w:p>
        </w:tc>
        <w:tc>
          <w:tcPr>
            <w:tcW w:w="3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19"/>
                <w:szCs w:val="19"/>
                <w:color w:val="auto"/>
              </w:rPr>
            </w:pPr>
          </w:p>
        </w:tc>
      </w:tr>
      <w:tr>
        <w:trPr>
          <w:trHeight w:val="223"/>
        </w:trPr>
        <w:tc>
          <w:tcPr>
            <w:tcW w:w="30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2"/>
          </w:tcPr>
          <w:p>
            <w:pPr>
              <w:jc w:val="center"/>
              <w:ind w:left="515"/>
              <w:spacing w:after="0"/>
              <w:rPr>
                <w:sz w:val="20"/>
                <w:szCs w:val="20"/>
                <w:color w:val="auto"/>
              </w:rPr>
            </w:pPr>
            <w:r>
              <w:rPr>
                <w:rFonts w:ascii="Arial" w:cs="Arial" w:eastAsia="Arial" w:hAnsi="Arial"/>
                <w:sz w:val="17"/>
                <w:szCs w:val="17"/>
                <w:color w:val="auto"/>
                <w:w w:val="93"/>
              </w:rPr>
              <w:t>Specialty Additives</w:t>
            </w: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060" w:type="dxa"/>
            <w:vAlign w:val="bottom"/>
            <w:shd w:val="clear" w:color="auto" w:fill="CFF0FC"/>
          </w:tcPr>
          <w:p>
            <w:pPr>
              <w:ind w:left="80"/>
              <w:spacing w:after="0"/>
              <w:rPr>
                <w:sz w:val="20"/>
                <w:szCs w:val="20"/>
                <w:color w:val="auto"/>
              </w:rPr>
            </w:pPr>
            <w:r>
              <w:rPr>
                <w:rFonts w:ascii="Arial" w:cs="Arial" w:eastAsia="Arial" w:hAnsi="Arial"/>
                <w:sz w:val="17"/>
                <w:szCs w:val="17"/>
                <w:color w:val="auto"/>
              </w:rPr>
              <w:t>North America</w:t>
            </w:r>
          </w:p>
        </w:tc>
        <w:tc>
          <w:tcPr>
            <w:tcW w:w="3580" w:type="dxa"/>
            <w:vAlign w:val="bottom"/>
            <w:gridSpan w:val="2"/>
            <w:shd w:val="clear" w:color="auto" w:fill="CFF0FC"/>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960" w:type="dxa"/>
            <w:vAlign w:val="bottom"/>
            <w:gridSpan w:val="3"/>
            <w:shd w:val="clear" w:color="auto" w:fill="CFF0FC"/>
          </w:tcPr>
          <w:p>
            <w:pPr>
              <w:jc w:val="right"/>
              <w:ind w:right="48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80" w:type="dxa"/>
            <w:vAlign w:val="bottom"/>
            <w:shd w:val="clear" w:color="auto" w:fill="CFF0FC"/>
          </w:tcPr>
          <w:p>
            <w:pPr>
              <w:spacing w:after="0"/>
              <w:rPr>
                <w:sz w:val="19"/>
                <w:szCs w:val="19"/>
                <w:color w:val="auto"/>
              </w:rPr>
            </w:pPr>
          </w:p>
        </w:tc>
      </w:tr>
      <w:tr>
        <w:trPr>
          <w:trHeight w:val="223"/>
        </w:trPr>
        <w:tc>
          <w:tcPr>
            <w:tcW w:w="3060" w:type="dxa"/>
            <w:vAlign w:val="bottom"/>
          </w:tcPr>
          <w:p>
            <w:pPr>
              <w:ind w:left="80"/>
              <w:spacing w:after="0"/>
              <w:rPr>
                <w:sz w:val="20"/>
                <w:szCs w:val="20"/>
                <w:color w:val="auto"/>
              </w:rPr>
            </w:pPr>
            <w:r>
              <w:rPr>
                <w:rFonts w:ascii="Arial" w:cs="Arial" w:eastAsia="Arial" w:hAnsi="Arial"/>
                <w:sz w:val="17"/>
                <w:szCs w:val="17"/>
                <w:color w:val="auto"/>
              </w:rPr>
              <w:t>Europe</w:t>
            </w:r>
          </w:p>
        </w:tc>
        <w:tc>
          <w:tcPr>
            <w:tcW w:w="3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r>
      <w:tr>
        <w:trPr>
          <w:trHeight w:val="236"/>
        </w:trPr>
        <w:tc>
          <w:tcPr>
            <w:tcW w:w="3060" w:type="dxa"/>
            <w:vAlign w:val="bottom"/>
            <w:shd w:val="clear" w:color="auto" w:fill="CFF0FC"/>
          </w:tcPr>
          <w:p>
            <w:pPr>
              <w:ind w:left="80"/>
              <w:spacing w:after="0"/>
              <w:rPr>
                <w:sz w:val="20"/>
                <w:szCs w:val="20"/>
                <w:color w:val="auto"/>
              </w:rPr>
            </w:pPr>
            <w:r>
              <w:rPr>
                <w:rFonts w:ascii="Arial" w:cs="Arial" w:eastAsia="Arial" w:hAnsi="Arial"/>
                <w:sz w:val="17"/>
                <w:szCs w:val="17"/>
                <w:color w:val="auto"/>
              </w:rPr>
              <w:t>Asia Pacific</w:t>
            </w:r>
          </w:p>
        </w:tc>
        <w:tc>
          <w:tcPr>
            <w:tcW w:w="3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80" w:type="dxa"/>
            <w:vAlign w:val="bottom"/>
            <w:shd w:val="clear" w:color="auto" w:fill="CFF0FC"/>
          </w:tcPr>
          <w:p>
            <w:pPr>
              <w:spacing w:after="0"/>
              <w:rPr>
                <w:sz w:val="20"/>
                <w:szCs w:val="20"/>
                <w:color w:val="auto"/>
              </w:rPr>
            </w:pPr>
          </w:p>
        </w:tc>
      </w:tr>
      <w:tr>
        <w:trPr>
          <w:trHeight w:val="227"/>
        </w:trPr>
        <w:tc>
          <w:tcPr>
            <w:tcW w:w="3060" w:type="dxa"/>
            <w:vAlign w:val="bottom"/>
          </w:tcPr>
          <w:p>
            <w:pPr>
              <w:ind w:left="80"/>
              <w:spacing w:after="0"/>
              <w:rPr>
                <w:sz w:val="20"/>
                <w:szCs w:val="20"/>
                <w:color w:val="auto"/>
              </w:rPr>
            </w:pPr>
            <w:r>
              <w:rPr>
                <w:rFonts w:ascii="Arial" w:cs="Arial" w:eastAsia="Arial" w:hAnsi="Arial"/>
                <w:sz w:val="17"/>
                <w:szCs w:val="17"/>
                <w:color w:val="auto"/>
              </w:rPr>
              <w:t>Latin America &amp; other</w:t>
            </w:r>
          </w:p>
        </w:tc>
        <w:tc>
          <w:tcPr>
            <w:tcW w:w="3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9"/>
                <w:szCs w:val="19"/>
                <w:color w:val="auto"/>
              </w:rPr>
            </w:pPr>
          </w:p>
        </w:tc>
      </w:tr>
      <w:tr>
        <w:trPr>
          <w:trHeight w:val="259"/>
        </w:trPr>
        <w:tc>
          <w:tcPr>
            <w:tcW w:w="3060" w:type="dxa"/>
            <w:vAlign w:val="bottom"/>
            <w:tcBorders>
              <w:bottom w:val="single" w:sz="8" w:color="CFF0FC"/>
            </w:tcBorders>
            <w:shd w:val="clear" w:color="auto" w:fill="CFF0FC"/>
          </w:tcPr>
          <w:p>
            <w:pPr>
              <w:spacing w:after="0"/>
              <w:rPr>
                <w:sz w:val="22"/>
                <w:szCs w:val="22"/>
                <w:color w:val="auto"/>
              </w:rPr>
            </w:pPr>
          </w:p>
        </w:tc>
        <w:tc>
          <w:tcPr>
            <w:tcW w:w="31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w:t>
            </w:r>
          </w:p>
        </w:tc>
        <w:tc>
          <w:tcPr>
            <w:tcW w:w="320" w:type="dxa"/>
            <w:vAlign w:val="bottom"/>
            <w:tcBorders>
              <w:bottom w:val="single" w:sz="8" w:color="CFF0FC"/>
            </w:tcBorders>
            <w:gridSpan w:val="2"/>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156</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17"/>
        </w:trPr>
        <w:tc>
          <w:tcPr>
            <w:tcW w:w="3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gridSpan w:val="2"/>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ind w:left="920"/>
              <w:spacing w:after="0"/>
              <w:rPr>
                <w:sz w:val="20"/>
                <w:szCs w:val="20"/>
                <w:color w:val="auto"/>
              </w:rPr>
            </w:pPr>
            <w:r>
              <w:rPr>
                <w:rFonts w:ascii="Arial" w:cs="Arial" w:eastAsia="Arial" w:hAnsi="Arial"/>
                <w:sz w:val="17"/>
                <w:szCs w:val="17"/>
                <w:color w:val="auto"/>
              </w:rPr>
              <w:t>Three</w:t>
            </w:r>
          </w:p>
        </w:tc>
        <w:tc>
          <w:tcPr>
            <w:tcW w:w="960" w:type="dxa"/>
            <w:vAlign w:val="bottom"/>
            <w:gridSpan w:val="3"/>
          </w:tcPr>
          <w:p>
            <w:pPr>
              <w:jc w:val="right"/>
              <w:ind w:right="45"/>
              <w:spacing w:after="0"/>
              <w:rPr>
                <w:sz w:val="20"/>
                <w:szCs w:val="20"/>
                <w:color w:val="auto"/>
              </w:rPr>
            </w:pPr>
            <w:r>
              <w:rPr>
                <w:rFonts w:ascii="Arial" w:cs="Arial" w:eastAsia="Arial" w:hAnsi="Arial"/>
                <w:sz w:val="17"/>
                <w:szCs w:val="17"/>
                <w:color w:val="auto"/>
                <w:w w:val="76"/>
              </w:rPr>
              <w:t>months ended</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3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7"/>
                <w:szCs w:val="17"/>
                <w:color w:val="auto"/>
              </w:rPr>
              <w:t>December 31</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 millions)</w:t>
            </w:r>
          </w:p>
        </w:tc>
        <w:tc>
          <w:tcPr>
            <w:tcW w:w="3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19"/>
                <w:szCs w:val="19"/>
                <w:color w:val="auto"/>
              </w:rPr>
            </w:pPr>
          </w:p>
        </w:tc>
      </w:tr>
      <w:tr>
        <w:trPr>
          <w:trHeight w:val="223"/>
        </w:trPr>
        <w:tc>
          <w:tcPr>
            <w:tcW w:w="30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2"/>
          </w:tcPr>
          <w:p>
            <w:pPr>
              <w:jc w:val="center"/>
              <w:ind w:left="535"/>
              <w:spacing w:after="0"/>
              <w:rPr>
                <w:sz w:val="20"/>
                <w:szCs w:val="20"/>
                <w:color w:val="auto"/>
              </w:rPr>
            </w:pPr>
            <w:r>
              <w:rPr>
                <w:rFonts w:ascii="Arial" w:cs="Arial" w:eastAsia="Arial" w:hAnsi="Arial"/>
                <w:sz w:val="17"/>
                <w:szCs w:val="17"/>
                <w:color w:val="auto"/>
                <w:w w:val="89"/>
              </w:rPr>
              <w:t>Intermediates</w:t>
            </w: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060" w:type="dxa"/>
            <w:vAlign w:val="bottom"/>
            <w:shd w:val="clear" w:color="auto" w:fill="CFF0FC"/>
          </w:tcPr>
          <w:p>
            <w:pPr>
              <w:ind w:left="80"/>
              <w:spacing w:after="0"/>
              <w:rPr>
                <w:sz w:val="20"/>
                <w:szCs w:val="20"/>
                <w:color w:val="auto"/>
              </w:rPr>
            </w:pPr>
            <w:r>
              <w:rPr>
                <w:rFonts w:ascii="Arial" w:cs="Arial" w:eastAsia="Arial" w:hAnsi="Arial"/>
                <w:sz w:val="17"/>
                <w:szCs w:val="17"/>
                <w:color w:val="auto"/>
              </w:rPr>
              <w:t>North America</w:t>
            </w:r>
          </w:p>
        </w:tc>
        <w:tc>
          <w:tcPr>
            <w:tcW w:w="3580" w:type="dxa"/>
            <w:vAlign w:val="bottom"/>
            <w:gridSpan w:val="2"/>
            <w:shd w:val="clear" w:color="auto" w:fill="CFF0FC"/>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w:t>
            </w:r>
          </w:p>
        </w:tc>
        <w:tc>
          <w:tcPr>
            <w:tcW w:w="960" w:type="dxa"/>
            <w:vAlign w:val="bottom"/>
            <w:gridSpan w:val="3"/>
            <w:shd w:val="clear" w:color="auto" w:fill="CFF0FC"/>
          </w:tcPr>
          <w:p>
            <w:pPr>
              <w:jc w:val="right"/>
              <w:ind w:right="48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FF0FC"/>
          </w:tcPr>
          <w:p>
            <w:pPr>
              <w:spacing w:after="0"/>
              <w:rPr>
                <w:sz w:val="19"/>
                <w:szCs w:val="19"/>
                <w:color w:val="auto"/>
              </w:rPr>
            </w:pPr>
          </w:p>
        </w:tc>
      </w:tr>
      <w:tr>
        <w:trPr>
          <w:trHeight w:val="223"/>
        </w:trPr>
        <w:tc>
          <w:tcPr>
            <w:tcW w:w="3060" w:type="dxa"/>
            <w:vAlign w:val="bottom"/>
          </w:tcPr>
          <w:p>
            <w:pPr>
              <w:ind w:left="80"/>
              <w:spacing w:after="0"/>
              <w:rPr>
                <w:sz w:val="20"/>
                <w:szCs w:val="20"/>
                <w:color w:val="auto"/>
              </w:rPr>
            </w:pPr>
            <w:r>
              <w:rPr>
                <w:rFonts w:ascii="Arial" w:cs="Arial" w:eastAsia="Arial" w:hAnsi="Arial"/>
                <w:sz w:val="17"/>
                <w:szCs w:val="17"/>
                <w:color w:val="auto"/>
              </w:rPr>
              <w:t>Europe</w:t>
            </w:r>
          </w:p>
        </w:tc>
        <w:tc>
          <w:tcPr>
            <w:tcW w:w="3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r>
      <w:tr>
        <w:trPr>
          <w:trHeight w:val="236"/>
        </w:trPr>
        <w:tc>
          <w:tcPr>
            <w:tcW w:w="3060" w:type="dxa"/>
            <w:vAlign w:val="bottom"/>
            <w:shd w:val="clear" w:color="auto" w:fill="CFF0FC"/>
          </w:tcPr>
          <w:p>
            <w:pPr>
              <w:ind w:left="80"/>
              <w:spacing w:after="0"/>
              <w:rPr>
                <w:sz w:val="20"/>
                <w:szCs w:val="20"/>
                <w:color w:val="auto"/>
              </w:rPr>
            </w:pPr>
            <w:r>
              <w:rPr>
                <w:rFonts w:ascii="Arial" w:cs="Arial" w:eastAsia="Arial" w:hAnsi="Arial"/>
                <w:sz w:val="17"/>
                <w:szCs w:val="17"/>
                <w:color w:val="auto"/>
              </w:rPr>
              <w:t>Asia Pacific</w:t>
            </w:r>
          </w:p>
        </w:tc>
        <w:tc>
          <w:tcPr>
            <w:tcW w:w="3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20"/>
                <w:szCs w:val="20"/>
                <w:color w:val="auto"/>
              </w:rPr>
            </w:pPr>
          </w:p>
        </w:tc>
      </w:tr>
      <w:tr>
        <w:trPr>
          <w:trHeight w:val="228"/>
        </w:trPr>
        <w:tc>
          <w:tcPr>
            <w:tcW w:w="3060" w:type="dxa"/>
            <w:vAlign w:val="bottom"/>
          </w:tcPr>
          <w:p>
            <w:pPr>
              <w:ind w:left="80"/>
              <w:spacing w:after="0"/>
              <w:rPr>
                <w:sz w:val="20"/>
                <w:szCs w:val="20"/>
                <w:color w:val="auto"/>
              </w:rPr>
            </w:pPr>
            <w:r>
              <w:rPr>
                <w:rFonts w:ascii="Arial" w:cs="Arial" w:eastAsia="Arial" w:hAnsi="Arial"/>
                <w:sz w:val="17"/>
                <w:szCs w:val="17"/>
                <w:color w:val="auto"/>
              </w:rPr>
              <w:t>Latin America &amp; other</w:t>
            </w:r>
          </w:p>
        </w:tc>
        <w:tc>
          <w:tcPr>
            <w:tcW w:w="3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r>
      <w:tr>
        <w:trPr>
          <w:trHeight w:val="258"/>
        </w:trPr>
        <w:tc>
          <w:tcPr>
            <w:tcW w:w="3060" w:type="dxa"/>
            <w:vAlign w:val="bottom"/>
            <w:tcBorders>
              <w:bottom w:val="single" w:sz="8" w:color="CFF0FC"/>
            </w:tcBorders>
            <w:shd w:val="clear" w:color="auto" w:fill="CFF0FC"/>
          </w:tcPr>
          <w:p>
            <w:pPr>
              <w:spacing w:after="0"/>
              <w:rPr>
                <w:sz w:val="22"/>
                <w:szCs w:val="22"/>
                <w:color w:val="auto"/>
              </w:rPr>
            </w:pPr>
          </w:p>
        </w:tc>
        <w:tc>
          <w:tcPr>
            <w:tcW w:w="31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5"/>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w:t>
            </w:r>
          </w:p>
        </w:tc>
        <w:tc>
          <w:tcPr>
            <w:tcW w:w="320" w:type="dxa"/>
            <w:vAlign w:val="bottom"/>
            <w:tcBorders>
              <w:bottom w:val="single" w:sz="8" w:color="CFF0FC"/>
            </w:tcBorders>
            <w:gridSpan w:val="2"/>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-4602480</wp:posOffset>
            </wp:positionV>
            <wp:extent cx="1465580" cy="7886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65580" cy="78867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-3076575</wp:posOffset>
            </wp:positionV>
            <wp:extent cx="1465580" cy="7886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65580" cy="78867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-1550670</wp:posOffset>
            </wp:positionV>
            <wp:extent cx="1465580" cy="7886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5580" cy="78867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-8255</wp:posOffset>
            </wp:positionV>
            <wp:extent cx="596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65"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Trade receivables</w:t>
      </w:r>
    </w:p>
    <w:p>
      <w:pPr>
        <w:spacing w:after="0" w:line="114"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Trade receivables are defined as receivables arising from contracts with customers and are recorded within the accounts receivable caption within the Condensed Consolidated Balance Sheets. Ashland’s trade receivables were $322 million and $369 million as of December 31, 2022 and September 30, 2022, respectively. See Note H for additional information on Ashland’s program to sell certain receivables on a revolving basis to third party banks up to an aggregate purchase limit (U.S Accounts Receivable Sales Program).</w:t>
      </w:r>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1" w:right="71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NOTE Q – REPORTABLE SEGMENT INFORMATION</w:t>
      </w:r>
    </w:p>
    <w:p>
      <w:pPr>
        <w:spacing w:after="0" w:line="114" w:lineRule="exact"/>
        <w:rPr>
          <w:sz w:val="20"/>
          <w:szCs w:val="20"/>
          <w:color w:val="auto"/>
        </w:rPr>
      </w:pPr>
    </w:p>
    <w:p>
      <w:pPr>
        <w:jc w:val="both"/>
        <w:ind w:left="380"/>
        <w:spacing w:after="0" w:line="260" w:lineRule="auto"/>
        <w:rPr>
          <w:sz w:val="20"/>
          <w:szCs w:val="20"/>
          <w:color w:val="auto"/>
        </w:rPr>
      </w:pPr>
      <w:r>
        <w:rPr>
          <w:rFonts w:ascii="Arial" w:cs="Arial" w:eastAsia="Arial" w:hAnsi="Arial"/>
          <w:sz w:val="19"/>
          <w:szCs w:val="19"/>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Reportable segment business descriptions</w:t>
      </w:r>
    </w:p>
    <w:p>
      <w:pPr>
        <w:spacing w:after="0" w:line="114" w:lineRule="exact"/>
        <w:rPr>
          <w:sz w:val="20"/>
          <w:szCs w:val="20"/>
          <w:color w:val="auto"/>
        </w:rPr>
      </w:pPr>
    </w:p>
    <w:p>
      <w:pPr>
        <w:jc w:val="both"/>
        <w:ind w:left="380"/>
        <w:spacing w:after="0" w:line="274" w:lineRule="auto"/>
        <w:rPr>
          <w:sz w:val="20"/>
          <w:szCs w:val="20"/>
          <w:color w:val="auto"/>
        </w:rPr>
      </w:pPr>
      <w:r>
        <w:rPr>
          <w:rFonts w:ascii="Arial" w:cs="Arial" w:eastAsia="Arial" w:hAnsi="Arial"/>
          <w:sz w:val="18"/>
          <w:szCs w:val="18"/>
          <w:color w:val="auto"/>
        </w:rPr>
        <w:t>Life Sciences is comprised of pharmaceuticals, nutrition, nutraceuticals, agricultural chemicals, diagnostic films (formerly known as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provide custom formulation, toll processing and particle engineering solutions. Customers include pharmaceutical, food, beverage, nutraceuticals and supplements manufacturers, hospitals and radiologists and industrial manufacturers.</w:t>
      </w:r>
    </w:p>
    <w:p>
      <w:pPr>
        <w:spacing w:after="0" w:line="60"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color w:val="auto"/>
        </w:rPr>
        <w:t>Personal Care is comprised of biofunctionals, microbial protectants (preservatives), skin care, sun care, oral care, hair care and household. These businesses have a broad range of natural, nature-derived, biodegradable, and high-performance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85" w:lineRule="exact"/>
        <w:rPr>
          <w:sz w:val="20"/>
          <w:szCs w:val="20"/>
          <w:color w:val="auto"/>
        </w:rPr>
      </w:pPr>
    </w:p>
    <w:p>
      <w:pPr>
        <w:jc w:val="both"/>
        <w:ind w:left="380"/>
        <w:spacing w:after="0" w:line="271" w:lineRule="auto"/>
        <w:rPr>
          <w:sz w:val="20"/>
          <w:szCs w:val="20"/>
          <w:color w:val="auto"/>
        </w:rPr>
      </w:pPr>
      <w:r>
        <w:rPr>
          <w:rFonts w:ascii="Arial" w:cs="Arial" w:eastAsia="Arial" w:hAnsi="Arial"/>
          <w:sz w:val="18"/>
          <w:szCs w:val="18"/>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66" w:lineRule="exact"/>
        <w:rPr>
          <w:sz w:val="20"/>
          <w:szCs w:val="20"/>
          <w:color w:val="auto"/>
        </w:rPr>
      </w:pPr>
    </w:p>
    <w:p>
      <w:pPr>
        <w:jc w:val="both"/>
        <w:ind w:left="380"/>
        <w:spacing w:after="0" w:line="263" w:lineRule="auto"/>
        <w:rPr>
          <w:sz w:val="20"/>
          <w:szCs w:val="20"/>
          <w:color w:val="auto"/>
        </w:rPr>
      </w:pPr>
      <w:r>
        <w:rPr>
          <w:rFonts w:ascii="Arial" w:cs="Arial" w:eastAsia="Arial" w:hAnsi="Arial"/>
          <w:sz w:val="19"/>
          <w:szCs w:val="19"/>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Life Sciences, Personal Care, and Specialty Additives for use as a raw material.</w:t>
      </w:r>
    </w:p>
    <w:p>
      <w:pPr>
        <w:spacing w:after="0" w:line="68" w:lineRule="exact"/>
        <w:rPr>
          <w:sz w:val="20"/>
          <w:szCs w:val="20"/>
          <w:color w:val="auto"/>
        </w:rPr>
      </w:pPr>
    </w:p>
    <w:p>
      <w:pPr>
        <w:jc w:val="both"/>
        <w:ind w:left="380"/>
        <w:spacing w:after="0" w:line="287" w:lineRule="auto"/>
        <w:rPr>
          <w:sz w:val="20"/>
          <w:szCs w:val="20"/>
          <w:color w:val="auto"/>
        </w:rPr>
      </w:pPr>
      <w:r>
        <w:rPr>
          <w:rFonts w:ascii="Arial" w:cs="Arial" w:eastAsia="Arial" w:hAnsi="Arial"/>
          <w:sz w:val="19"/>
          <w:szCs w:val="19"/>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Reportable segment results</w:t>
      </w:r>
    </w:p>
    <w:p>
      <w:pPr>
        <w:spacing w:after="0" w:line="114"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w:t>
      </w:r>
    </w:p>
    <w:p>
      <w:pPr>
        <w:spacing w:after="0" w:line="8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49" w:right="71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9"/>
          <w:szCs w:val="19"/>
          <w:color w:val="auto"/>
        </w:rPr>
        <w:t>costs are recorded within the other net periodic benefit loss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24" w:name="page25"/>
    <w:bookmarkEnd w:id="24"/>
    <w:p>
      <w:pPr>
        <w:spacing w:after="0" w:line="260" w:lineRule="auto"/>
        <w:rPr>
          <w:sz w:val="20"/>
          <w:szCs w:val="20"/>
          <w:color w:val="auto"/>
        </w:rPr>
      </w:pPr>
      <w:r>
        <w:rPr>
          <w:rFonts w:ascii="Arial" w:cs="Arial" w:eastAsia="Arial" w:hAnsi="Arial"/>
          <w:sz w:val="20"/>
          <w:szCs w:val="20"/>
          <w:color w:val="auto"/>
        </w:rPr>
        <w:t>The following table presents various financial information for each reportable segment for the three months ended December 31, 2022 and 2021.</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53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w w:val="91"/>
              </w:rPr>
              <w:t>Three months ended</w:t>
            </w:r>
          </w:p>
        </w:tc>
        <w:tc>
          <w:tcPr>
            <w:tcW w:w="1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9"/>
        </w:trPr>
        <w:tc>
          <w:tcPr>
            <w:tcW w:w="5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color w:val="auto"/>
              </w:rPr>
              <w:t>December 31</w:t>
            </w:r>
          </w:p>
        </w:tc>
        <w:tc>
          <w:tcPr>
            <w:tcW w:w="17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r>
      <w:tr>
        <w:trPr>
          <w:trHeight w:val="24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Life Sciences</w:t>
            </w:r>
          </w:p>
        </w:tc>
        <w:tc>
          <w:tcPr>
            <w:tcW w:w="1700" w:type="dxa"/>
            <w:vAlign w:val="bottom"/>
            <w:gridSpan w:val="2"/>
          </w:tcPr>
          <w:p>
            <w:pPr>
              <w:jc w:val="right"/>
              <w:ind w:right="14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Personal Care</w:t>
            </w:r>
          </w:p>
        </w:tc>
        <w:tc>
          <w:tcPr>
            <w:tcW w:w="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FF0FC"/>
          </w:tcPr>
          <w:p>
            <w:pPr>
              <w:spacing w:after="0"/>
              <w:rPr>
                <w:sz w:val="21"/>
                <w:szCs w:val="21"/>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Specialty Additives</w:t>
            </w: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Intermediates</w:t>
            </w:r>
          </w:p>
        </w:tc>
        <w:tc>
          <w:tcPr>
            <w:tcW w:w="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 xml:space="preserve">Intersegment sales </w:t>
            </w:r>
            <w:r>
              <w:rPr>
                <w:rFonts w:ascii="Arial" w:cs="Arial" w:eastAsia="Arial" w:hAnsi="Arial"/>
                <w:sz w:val="14"/>
                <w:szCs w:val="14"/>
                <w:color w:val="auto"/>
              </w:rPr>
              <w:t>(a)</w:t>
            </w: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(17 )</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(14 )</w:t>
            </w:r>
          </w:p>
        </w:tc>
      </w:tr>
      <w:tr>
        <w:trPr>
          <w:trHeight w:val="270"/>
        </w:trPr>
        <w:tc>
          <w:tcPr>
            <w:tcW w:w="536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1660" w:type="dxa"/>
            <w:vAlign w:val="bottom"/>
            <w:tcBorders>
              <w:top w:val="single" w:sz="8" w:color="auto"/>
              <w:bottom w:val="single" w:sz="8" w:color="auto"/>
            </w:tcBorders>
            <w:shd w:val="clear" w:color="auto" w:fill="CFF0FC"/>
          </w:tcPr>
          <w:p>
            <w:pPr>
              <w:jc w:val="right"/>
              <w:ind w:right="14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0" w:type="dxa"/>
            <w:vAlign w:val="bottom"/>
            <w:tcBorders>
              <w:top w:val="single" w:sz="8" w:color="auto"/>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80" w:type="dxa"/>
            <w:vAlign w:val="bottom"/>
            <w:tcBorders>
              <w:bottom w:val="single" w:sz="8" w:color="CFF0FC"/>
            </w:tcBorders>
            <w:shd w:val="clear" w:color="auto" w:fill="CFF0FC"/>
          </w:tcPr>
          <w:p>
            <w:pPr>
              <w:spacing w:after="0"/>
              <w:rPr>
                <w:sz w:val="23"/>
                <w:szCs w:val="23"/>
                <w:color w:val="auto"/>
              </w:rPr>
            </w:pPr>
          </w:p>
        </w:tc>
      </w:tr>
      <w:tr>
        <w:trPr>
          <w:trHeight w:val="225"/>
        </w:trPr>
        <w:tc>
          <w:tcPr>
            <w:tcW w:w="53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7"/>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Life Sciences</w:t>
            </w:r>
          </w:p>
        </w:tc>
        <w:tc>
          <w:tcPr>
            <w:tcW w:w="1700" w:type="dxa"/>
            <w:vAlign w:val="bottom"/>
            <w:gridSpan w:val="2"/>
            <w:shd w:val="clear" w:color="auto" w:fill="CFF0FC"/>
          </w:tcPr>
          <w:p>
            <w:pPr>
              <w:jc w:val="right"/>
              <w:ind w:right="14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21"/>
                <w:szCs w:val="21"/>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Personal Care</w:t>
            </w: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Specialty Additives</w:t>
            </w:r>
          </w:p>
        </w:tc>
        <w:tc>
          <w:tcPr>
            <w:tcW w:w="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21"/>
                <w:szCs w:val="21"/>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Intermediates</w:t>
            </w: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Unallocated and other</w:t>
            </w:r>
          </w:p>
        </w:tc>
        <w:tc>
          <w:tcPr>
            <w:tcW w:w="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7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(29 )</w:t>
            </w: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(27 )</w:t>
            </w:r>
          </w:p>
        </w:tc>
      </w:tr>
      <w:tr>
        <w:trPr>
          <w:trHeight w:val="230"/>
        </w:trPr>
        <w:tc>
          <w:tcPr>
            <w:tcW w:w="536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14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top w:val="single" w:sz="8" w:color="CFF0FC"/>
            </w:tcBorders>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EXPENSE</w:t>
            </w:r>
          </w:p>
        </w:tc>
        <w:tc>
          <w:tcPr>
            <w:tcW w:w="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Life Sciences</w:t>
            </w:r>
          </w:p>
        </w:tc>
        <w:tc>
          <w:tcPr>
            <w:tcW w:w="1700" w:type="dxa"/>
            <w:vAlign w:val="bottom"/>
            <w:gridSpan w:val="2"/>
          </w:tcPr>
          <w:p>
            <w:pPr>
              <w:jc w:val="right"/>
              <w:ind w:right="14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Personal Care</w:t>
            </w:r>
          </w:p>
        </w:tc>
        <w:tc>
          <w:tcPr>
            <w:tcW w:w="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21"/>
                <w:szCs w:val="21"/>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Specialty Additives</w:t>
            </w: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r>
      <w:tr>
        <w:trPr>
          <w:trHeight w:val="249"/>
        </w:trPr>
        <w:tc>
          <w:tcPr>
            <w:tcW w:w="53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i w:val="1"/>
                <w:iCs w:val="1"/>
                <w:color w:val="auto"/>
              </w:rPr>
              <w:t>Intermediates</w:t>
            </w:r>
          </w:p>
        </w:tc>
        <w:tc>
          <w:tcPr>
            <w:tcW w:w="4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5360" w:type="dxa"/>
            <w:vAlign w:val="bottom"/>
          </w:tcPr>
          <w:p>
            <w:pPr>
              <w:spacing w:after="0"/>
              <w:rPr>
                <w:sz w:val="20"/>
                <w:szCs w:val="20"/>
                <w:color w:val="auto"/>
              </w:rPr>
            </w:pPr>
          </w:p>
        </w:tc>
        <w:tc>
          <w:tcPr>
            <w:tcW w:w="1700" w:type="dxa"/>
            <w:vAlign w:val="bottom"/>
            <w:gridSpan w:val="2"/>
          </w:tcPr>
          <w:p>
            <w:pPr>
              <w:jc w:val="right"/>
              <w:ind w:right="14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 EXPENSE</w:t>
            </w:r>
          </w:p>
        </w:tc>
        <w:tc>
          <w:tcPr>
            <w:tcW w:w="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Life Sciences</w:t>
            </w:r>
          </w:p>
        </w:tc>
        <w:tc>
          <w:tcPr>
            <w:tcW w:w="1700" w:type="dxa"/>
            <w:vAlign w:val="bottom"/>
            <w:gridSpan w:val="2"/>
          </w:tcPr>
          <w:p>
            <w:pPr>
              <w:jc w:val="right"/>
              <w:ind w:right="14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Personal Care</w:t>
            </w:r>
          </w:p>
        </w:tc>
        <w:tc>
          <w:tcPr>
            <w:tcW w:w="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21"/>
                <w:szCs w:val="21"/>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Specialty Additives</w:t>
            </w: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r>
      <w:tr>
        <w:trPr>
          <w:trHeight w:val="249"/>
        </w:trPr>
        <w:tc>
          <w:tcPr>
            <w:tcW w:w="53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i w:val="1"/>
                <w:iCs w:val="1"/>
                <w:color w:val="auto"/>
              </w:rPr>
              <w:t>Intermediates</w:t>
            </w:r>
          </w:p>
        </w:tc>
        <w:tc>
          <w:tcPr>
            <w:tcW w:w="4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5360" w:type="dxa"/>
            <w:vAlign w:val="bottom"/>
          </w:tcPr>
          <w:p>
            <w:pPr>
              <w:spacing w:after="0"/>
              <w:rPr>
                <w:sz w:val="20"/>
                <w:szCs w:val="20"/>
                <w:color w:val="auto"/>
              </w:rPr>
            </w:pPr>
          </w:p>
        </w:tc>
        <w:tc>
          <w:tcPr>
            <w:tcW w:w="1700" w:type="dxa"/>
            <w:vAlign w:val="bottom"/>
            <w:gridSpan w:val="2"/>
          </w:tcPr>
          <w:p>
            <w:pPr>
              <w:jc w:val="right"/>
              <w:ind w:right="14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4"/>
                <w:szCs w:val="14"/>
                <w:color w:val="auto"/>
              </w:rPr>
              <w:t>(b)</w:t>
            </w:r>
          </w:p>
        </w:tc>
        <w:tc>
          <w:tcPr>
            <w:tcW w:w="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Life Sciences</w:t>
            </w:r>
          </w:p>
        </w:tc>
        <w:tc>
          <w:tcPr>
            <w:tcW w:w="1700" w:type="dxa"/>
            <w:vAlign w:val="bottom"/>
            <w:gridSpan w:val="2"/>
          </w:tcPr>
          <w:p>
            <w:pPr>
              <w:jc w:val="right"/>
              <w:ind w:right="14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Personal Care</w:t>
            </w:r>
          </w:p>
        </w:tc>
        <w:tc>
          <w:tcPr>
            <w:tcW w:w="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21"/>
                <w:szCs w:val="21"/>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Specialty Additives</w:t>
            </w: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Intermediates</w:t>
            </w:r>
          </w:p>
        </w:tc>
        <w:tc>
          <w:tcPr>
            <w:tcW w:w="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Unallocated and other</w:t>
            </w:r>
          </w:p>
        </w:tc>
        <w:tc>
          <w:tcPr>
            <w:tcW w:w="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(29 )</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(27 )</w:t>
            </w:r>
          </w:p>
        </w:tc>
      </w:tr>
      <w:tr>
        <w:trPr>
          <w:trHeight w:val="270"/>
        </w:trPr>
        <w:tc>
          <w:tcPr>
            <w:tcW w:w="5360" w:type="dxa"/>
            <w:vAlign w:val="bottom"/>
            <w:tcBorders>
              <w:bottom w:val="single" w:sz="8" w:color="CFF0FC"/>
            </w:tcBorders>
            <w:shd w:val="clear" w:color="auto" w:fill="CFF0FC"/>
          </w:tcPr>
          <w:p>
            <w:pPr>
              <w:spacing w:after="0"/>
              <w:rPr>
                <w:sz w:val="23"/>
                <w:szCs w:val="23"/>
                <w:color w:val="auto"/>
              </w:rPr>
            </w:pPr>
          </w:p>
        </w:tc>
        <w:tc>
          <w:tcPr>
            <w:tcW w:w="40" w:type="dxa"/>
            <w:vAlign w:val="bottom"/>
            <w:tcBorders>
              <w:bottom w:val="single" w:sz="8" w:color="CFF0FC"/>
            </w:tcBorders>
            <w:shd w:val="clear" w:color="auto" w:fill="CFF0FC"/>
          </w:tcPr>
          <w:p>
            <w:pPr>
              <w:spacing w:after="0"/>
              <w:rPr>
                <w:sz w:val="23"/>
                <w:szCs w:val="23"/>
                <w:color w:val="auto"/>
              </w:rPr>
            </w:pPr>
          </w:p>
        </w:tc>
        <w:tc>
          <w:tcPr>
            <w:tcW w:w="1660" w:type="dxa"/>
            <w:vAlign w:val="bottom"/>
            <w:tcBorders>
              <w:top w:val="single" w:sz="8" w:color="auto"/>
              <w:bottom w:val="single" w:sz="8" w:color="auto"/>
            </w:tcBorders>
            <w:shd w:val="clear" w:color="auto" w:fill="CFF0FC"/>
          </w:tcPr>
          <w:p>
            <w:pPr>
              <w:jc w:val="right"/>
              <w:ind w:right="14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top w:val="single" w:sz="8" w:color="auto"/>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CFF0FC"/>
            </w:tcBorders>
            <w:shd w:val="clear" w:color="auto" w:fill="CFF0FC"/>
          </w:tcPr>
          <w:p>
            <w:pPr>
              <w:spacing w:after="0"/>
              <w:rPr>
                <w:sz w:val="23"/>
                <w:szCs w:val="23"/>
                <w:color w:val="auto"/>
              </w:rPr>
            </w:pPr>
          </w:p>
        </w:tc>
      </w:tr>
      <w:tr>
        <w:trPr>
          <w:trHeight w:val="446"/>
        </w:trPr>
        <w:tc>
          <w:tcPr>
            <w:tcW w:w="5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December 31</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w w:val="91"/>
              </w:rPr>
              <w:t>September 30</w:t>
            </w:r>
          </w:p>
        </w:tc>
      </w:tr>
      <w:tr>
        <w:trPr>
          <w:trHeight w:val="250"/>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17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2022</w:t>
            </w:r>
          </w:p>
        </w:tc>
        <w:tc>
          <w:tcPr>
            <w:tcW w:w="6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r>
      <w:tr>
        <w:trPr>
          <w:trHeight w:val="24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Life Sciences</w:t>
            </w:r>
          </w:p>
        </w:tc>
        <w:tc>
          <w:tcPr>
            <w:tcW w:w="1700" w:type="dxa"/>
            <w:vAlign w:val="bottom"/>
            <w:gridSpan w:val="2"/>
          </w:tcPr>
          <w:p>
            <w:pPr>
              <w:jc w:val="right"/>
              <w:ind w:right="15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1,905</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Personal Care</w:t>
            </w:r>
          </w:p>
        </w:tc>
        <w:tc>
          <w:tcPr>
            <w:tcW w:w="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80" w:type="dxa"/>
            <w:vAlign w:val="bottom"/>
            <w:shd w:val="clear" w:color="auto" w:fill="CFF0FC"/>
          </w:tcPr>
          <w:p>
            <w:pPr>
              <w:spacing w:after="0"/>
              <w:rPr>
                <w:sz w:val="21"/>
                <w:szCs w:val="21"/>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Specialty Additives</w:t>
            </w: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1,567</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Intermediates</w:t>
            </w:r>
          </w:p>
        </w:tc>
        <w:tc>
          <w:tcPr>
            <w:tcW w:w="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21"/>
                <w:szCs w:val="2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i w:val="1"/>
                <w:iCs w:val="1"/>
                <w:color w:val="auto"/>
              </w:rPr>
              <w:t>Unallocated and other</w:t>
            </w:r>
          </w:p>
        </w:tc>
        <w:tc>
          <w:tcPr>
            <w:tcW w:w="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80" w:type="dxa"/>
            <w:vAlign w:val="bottom"/>
          </w:tcPr>
          <w:p>
            <w:pPr>
              <w:spacing w:after="0"/>
              <w:rPr>
                <w:sz w:val="21"/>
                <w:szCs w:val="21"/>
                <w:color w:val="auto"/>
              </w:rPr>
            </w:pPr>
          </w:p>
        </w:tc>
      </w:tr>
      <w:tr>
        <w:trPr>
          <w:trHeight w:val="270"/>
        </w:trPr>
        <w:tc>
          <w:tcPr>
            <w:tcW w:w="5360" w:type="dxa"/>
            <w:vAlign w:val="bottom"/>
            <w:tcBorders>
              <w:bottom w:val="single" w:sz="8" w:color="CFF0FC"/>
            </w:tcBorders>
            <w:shd w:val="clear" w:color="auto" w:fill="CFF0FC"/>
          </w:tcPr>
          <w:p>
            <w:pPr>
              <w:spacing w:after="0"/>
              <w:rPr>
                <w:sz w:val="23"/>
                <w:szCs w:val="23"/>
                <w:color w:val="auto"/>
              </w:rPr>
            </w:pPr>
          </w:p>
        </w:tc>
        <w:tc>
          <w:tcPr>
            <w:tcW w:w="1700" w:type="dxa"/>
            <w:vAlign w:val="bottom"/>
            <w:tcBorders>
              <w:bottom w:val="single" w:sz="8" w:color="auto"/>
            </w:tcBorders>
            <w:gridSpan w:val="2"/>
            <w:shd w:val="clear" w:color="auto" w:fill="CFF0FC"/>
          </w:tcPr>
          <w:p>
            <w:pPr>
              <w:jc w:val="right"/>
              <w:ind w:right="15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6,259</w:t>
            </w: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6,213</w:t>
            </w:r>
          </w:p>
        </w:tc>
        <w:tc>
          <w:tcPr>
            <w:tcW w:w="80" w:type="dxa"/>
            <w:vAlign w:val="bottom"/>
            <w:tcBorders>
              <w:bottom w:val="single" w:sz="8" w:color="CFF0FC"/>
            </w:tcBorders>
            <w:shd w:val="clear" w:color="auto" w:fill="CFF0FC"/>
          </w:tcPr>
          <w:p>
            <w:pPr>
              <w:spacing w:after="0"/>
              <w:rPr>
                <w:sz w:val="23"/>
                <w:szCs w:val="23"/>
                <w:color w:val="auto"/>
              </w:rPr>
            </w:pPr>
          </w:p>
        </w:tc>
      </w:tr>
      <w:tr>
        <w:trPr>
          <w:trHeight w:val="135"/>
        </w:trPr>
        <w:tc>
          <w:tcPr>
            <w:tcW w:w="5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4915535</wp:posOffset>
            </wp:positionH>
            <wp:positionV relativeFrom="paragraph">
              <wp:posOffset>-5854065</wp:posOffset>
            </wp:positionV>
            <wp:extent cx="1731645"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31645" cy="17970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-4902835</wp:posOffset>
            </wp:positionV>
            <wp:extent cx="6858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-4902835</wp:posOffset>
            </wp:positionV>
            <wp:extent cx="5969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-3942715</wp:posOffset>
            </wp:positionV>
            <wp:extent cx="6858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-3942715</wp:posOffset>
            </wp:positionV>
            <wp:extent cx="5969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-2982595</wp:posOffset>
            </wp:positionV>
            <wp:extent cx="6858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-2982595</wp:posOffset>
            </wp:positionV>
            <wp:extent cx="5969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-1704975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-1687830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-1704975</wp:posOffset>
            </wp:positionV>
            <wp:extent cx="59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-1687830</wp:posOffset>
            </wp:positionV>
            <wp:extent cx="596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4907280</wp:posOffset>
            </wp:positionH>
            <wp:positionV relativeFrom="paragraph">
              <wp:posOffset>-128270</wp:posOffset>
            </wp:positionV>
            <wp:extent cx="173990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39900" cy="128905"/>
                    </a:xfrm>
                    <a:prstGeom prst="rect">
                      <a:avLst/>
                    </a:prstGeom>
                    <a:noFill/>
                  </pic:spPr>
                </pic:pic>
              </a:graphicData>
            </a:graphic>
          </wp:anchor>
        </w:drawing>
      </w:r>
    </w:p>
    <w:p>
      <w:pPr>
        <w:spacing w:after="0" w:line="69" w:lineRule="exact"/>
        <w:rPr>
          <w:sz w:val="20"/>
          <w:szCs w:val="20"/>
          <w:color w:val="auto"/>
        </w:rPr>
      </w:pPr>
    </w:p>
    <w:p>
      <w:pPr>
        <w:ind w:left="360" w:hanging="358"/>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Intersegment sales from Intermediates are accounted for at prices that approximate fair value. All other intersegment sales are accounted for at cost.</w:t>
      </w:r>
    </w:p>
    <w:p>
      <w:pPr>
        <w:spacing w:after="0" w:line="28" w:lineRule="exact"/>
        <w:rPr>
          <w:rFonts w:ascii="Arial" w:cs="Arial" w:eastAsia="Arial" w:hAnsi="Arial"/>
          <w:sz w:val="14"/>
          <w:szCs w:val="14"/>
          <w:color w:val="auto"/>
        </w:rPr>
      </w:pPr>
    </w:p>
    <w:p>
      <w:pPr>
        <w:ind w:left="360" w:hanging="358"/>
        <w:spacing w:after="0" w:line="253" w:lineRule="auto"/>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and other net periodic benefit loss. See the Statement of Consolidated Comprehensive Income (Loss) for applicable amounts excluded.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jc w:val="both"/>
        <w:ind w:left="380"/>
        <w:spacing w:after="0" w:line="267" w:lineRule="auto"/>
        <w:rPr>
          <w:sz w:val="20"/>
          <w:szCs w:val="20"/>
          <w:color w:val="auto"/>
        </w:rPr>
      </w:pPr>
      <w:r>
        <w:rPr>
          <w:rFonts w:ascii="Arial" w:cs="Arial" w:eastAsia="Arial" w:hAnsi="Arial"/>
          <w:sz w:val="18"/>
          <w:szCs w:val="18"/>
          <w:color w:val="auto"/>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Stockholders,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and expected effects of the COVID-19 pandemic on Ashland’s business,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cost savings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execution risks associated with our growth strategies; the competitive nature of our business; severe weather, natural disasters, public health crises (including the COVID-19 pandemic), cyber events and legal proceedings and claims (including product recalls, environmental and asbestos matters); the effects of the COVID-19 pandemic and the ongoing Ukraine and Russia conflict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of its most recent Form 10-K filed with SEC. Various risks and uncertainties may cause actual results to differ materially from those stated, projected or implied by any forward-looking statements. The extent and duration of the COVID-19 pandemic on our business and operations remains uncertain. Factors that influence the impact on our business and operations include the duration and extent of the pandemic, the extent of imposed or recommended containment and mitigation measures, and the general economic consequences of the pandemic.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62" w:right="719" w:bottom="1440" w:gutter="0" w:footer="0" w:header="0"/>
        </w:sectPr>
      </w:pPr>
    </w:p>
    <w:bookmarkStart w:id="26" w:name="page27"/>
    <w:bookmarkEnd w:id="26"/>
    <w:p>
      <w:pPr>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ind w:left="380" w:right="160"/>
        <w:spacing w:after="0" w:line="260" w:lineRule="auto"/>
        <w:rPr>
          <w:sz w:val="20"/>
          <w:szCs w:val="20"/>
          <w:color w:val="auto"/>
        </w:rPr>
      </w:pPr>
      <w:r>
        <w:rPr>
          <w:rFonts w:ascii="Arial" w:cs="Arial" w:eastAsia="Arial" w:hAnsi="Arial"/>
          <w:sz w:val="20"/>
          <w:szCs w:val="20"/>
          <w:color w:val="auto"/>
        </w:rPr>
        <w:t>The following discussion should be read in conjunction with the Condensed Consolidated Financial Statements and the accompanying Notes to Condensed Consolidated Financial Statements herein.</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Ashland profile</w:t>
      </w:r>
    </w:p>
    <w:p>
      <w:pPr>
        <w:spacing w:after="0" w:line="114" w:lineRule="exact"/>
        <w:rPr>
          <w:sz w:val="20"/>
          <w:szCs w:val="20"/>
          <w:color w:val="auto"/>
        </w:rPr>
      </w:pPr>
    </w:p>
    <w:p>
      <w:pPr>
        <w:jc w:val="both"/>
        <w:ind w:left="380" w:right="160"/>
        <w:spacing w:after="0" w:line="263" w:lineRule="auto"/>
        <w:rPr>
          <w:sz w:val="20"/>
          <w:szCs w:val="20"/>
          <w:color w:val="auto"/>
        </w:rPr>
      </w:pPr>
      <w:r>
        <w:rPr>
          <w:rFonts w:ascii="Arial" w:cs="Arial" w:eastAsia="Arial" w:hAnsi="Arial"/>
          <w:sz w:val="19"/>
          <w:szCs w:val="19"/>
          <w:color w:val="auto"/>
        </w:rPr>
        <w:t>Ashland is a global additives and specialty ingredients company with a conscious and proactive mindset for environment, social and governance (ESG). The Company serves customers in a wide range of consumer and industrial markets, including architectural coatings, construction, energy, food and beverage, nutraceuticals, personal care and pharmaceutical. With approximately 3,900 employees worldwide, Ashland serves customers in more than 100 countries.</w:t>
      </w:r>
    </w:p>
    <w:p>
      <w:pPr>
        <w:spacing w:after="0" w:line="68" w:lineRule="exact"/>
        <w:rPr>
          <w:sz w:val="20"/>
          <w:szCs w:val="20"/>
          <w:color w:val="auto"/>
        </w:rPr>
      </w:pPr>
    </w:p>
    <w:p>
      <w:pPr>
        <w:jc w:val="both"/>
        <w:ind w:left="380" w:right="160"/>
        <w:spacing w:after="0" w:line="250" w:lineRule="auto"/>
        <w:rPr>
          <w:sz w:val="20"/>
          <w:szCs w:val="20"/>
          <w:color w:val="auto"/>
        </w:rPr>
      </w:pPr>
      <w:r>
        <w:rPr>
          <w:rFonts w:ascii="Arial" w:cs="Arial" w:eastAsia="Arial" w:hAnsi="Arial"/>
          <w:sz w:val="20"/>
          <w:szCs w:val="20"/>
          <w:color w:val="auto"/>
        </w:rPr>
        <w:t>Ashland’s sales generated outside of North America was 70% and 68% for the three months ended December 31, 2022 and 2021, respectively. Sales by region expressed as a percentage of total consolidated sales for the three months ended December 31 were as follows:</w:t>
      </w:r>
    </w:p>
    <w:p>
      <w:pPr>
        <w:spacing w:after="0" w:line="88"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668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89"/>
              </w:rPr>
              <w:t>Three months ended</w:t>
            </w:r>
          </w:p>
        </w:tc>
        <w:tc>
          <w:tcPr>
            <w:tcW w:w="8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9"/>
        </w:trPr>
        <w:tc>
          <w:tcPr>
            <w:tcW w:w="6680" w:type="dxa"/>
            <w:vAlign w:val="bottom"/>
          </w:tcPr>
          <w:p>
            <w:pPr>
              <w:spacing w:after="0"/>
              <w:rPr>
                <w:sz w:val="21"/>
                <w:szCs w:val="21"/>
                <w:color w:val="auto"/>
              </w:rPr>
            </w:pPr>
          </w:p>
        </w:tc>
        <w:tc>
          <w:tcPr>
            <w:tcW w:w="29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88"/>
              </w:rPr>
              <w:t>December 31</w:t>
            </w:r>
          </w:p>
        </w:tc>
        <w:tc>
          <w:tcPr>
            <w:tcW w:w="8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1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30 %</w:t>
            </w:r>
          </w:p>
        </w:tc>
        <w:tc>
          <w:tcPr>
            <w:tcW w:w="9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42"/>
        </w:trPr>
        <w:tc>
          <w:tcPr>
            <w:tcW w:w="6680" w:type="dxa"/>
            <w:vAlign w:val="bottom"/>
          </w:tcPr>
          <w:p>
            <w:pPr>
              <w:spacing w:after="0"/>
              <w:rPr>
                <w:sz w:val="20"/>
                <w:szCs w:val="20"/>
                <w:color w:val="auto"/>
              </w:rPr>
            </w:pPr>
            <w:r>
              <w:rPr>
                <w:rFonts w:ascii="Arial" w:cs="Arial" w:eastAsia="Arial" w:hAnsi="Arial"/>
                <w:sz w:val="18"/>
                <w:szCs w:val="18"/>
                <w:color w:val="auto"/>
              </w:rPr>
              <w:t>Europe</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35 %</w:t>
            </w:r>
          </w:p>
        </w:tc>
        <w:tc>
          <w:tcPr>
            <w:tcW w:w="9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Asia Pacific</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25 %</w:t>
            </w:r>
          </w:p>
        </w:tc>
        <w:tc>
          <w:tcPr>
            <w:tcW w:w="9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Latin America &amp; other</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10 %</w:t>
            </w:r>
          </w:p>
        </w:tc>
        <w:tc>
          <w:tcPr>
            <w:tcW w:w="9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66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68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100 %</w:t>
            </w:r>
          </w:p>
        </w:tc>
        <w:tc>
          <w:tcPr>
            <w:tcW w:w="9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6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66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-908050</wp:posOffset>
            </wp:positionV>
            <wp:extent cx="6626225"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-599440</wp:posOffset>
            </wp:positionV>
            <wp:extent cx="6626225"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-281940</wp:posOffset>
            </wp:positionV>
            <wp:extent cx="6626225" cy="2825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26225" cy="28257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Ashland includes only U.S. and Canada in its North America designation and includes Europe, the Middle East and Africa in its Europe designation.</w:t>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Reportable segments</w:t>
      </w:r>
    </w:p>
    <w:p>
      <w:pPr>
        <w:spacing w:after="0" w:line="114" w:lineRule="exact"/>
        <w:rPr>
          <w:sz w:val="20"/>
          <w:szCs w:val="20"/>
          <w:color w:val="auto"/>
        </w:rPr>
      </w:pPr>
    </w:p>
    <w:p>
      <w:pPr>
        <w:jc w:val="both"/>
        <w:ind w:left="380" w:right="160"/>
        <w:spacing w:after="0" w:line="269" w:lineRule="auto"/>
        <w:rPr>
          <w:sz w:val="20"/>
          <w:szCs w:val="20"/>
          <w:color w:val="auto"/>
        </w:rPr>
      </w:pPr>
      <w:r>
        <w:rPr>
          <w:rFonts w:ascii="Arial" w:cs="Arial" w:eastAsia="Arial" w:hAnsi="Arial"/>
          <w:sz w:val="19"/>
          <w:szCs w:val="19"/>
          <w:color w:val="auto"/>
        </w:rPr>
        <w:t>Ashland’s reportable segments include Life Sciences, Personal Care, Specialty Additives and Intermediates. Unallocated and Other includes corporate governance activities and certain legacy matters. The contribution to sales by each reportable segment expressed as a percentage of total consolidated sales for the three months ended December 31 was as follows:</w:t>
      </w:r>
    </w:p>
    <w:p>
      <w:pPr>
        <w:spacing w:after="0" w:line="72"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668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89"/>
              </w:rPr>
              <w:t>Three months ended</w:t>
            </w:r>
          </w:p>
        </w:tc>
        <w:tc>
          <w:tcPr>
            <w:tcW w:w="8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9"/>
        </w:trPr>
        <w:tc>
          <w:tcPr>
            <w:tcW w:w="6680" w:type="dxa"/>
            <w:vAlign w:val="bottom"/>
          </w:tcPr>
          <w:p>
            <w:pPr>
              <w:spacing w:after="0"/>
              <w:rPr>
                <w:sz w:val="21"/>
                <w:szCs w:val="21"/>
                <w:color w:val="auto"/>
              </w:rPr>
            </w:pPr>
          </w:p>
        </w:tc>
        <w:tc>
          <w:tcPr>
            <w:tcW w:w="29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88"/>
              </w:rPr>
              <w:t>December 31</w:t>
            </w:r>
          </w:p>
        </w:tc>
        <w:tc>
          <w:tcPr>
            <w:tcW w:w="8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Reportable Segment</w:t>
            </w:r>
          </w:p>
        </w:tc>
        <w:tc>
          <w:tcPr>
            <w:tcW w:w="1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Life Sciences</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40 %</w:t>
            </w:r>
          </w:p>
        </w:tc>
        <w:tc>
          <w:tcPr>
            <w:tcW w:w="9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42"/>
        </w:trPr>
        <w:tc>
          <w:tcPr>
            <w:tcW w:w="6680" w:type="dxa"/>
            <w:vAlign w:val="bottom"/>
          </w:tcPr>
          <w:p>
            <w:pPr>
              <w:spacing w:after="0"/>
              <w:rPr>
                <w:sz w:val="20"/>
                <w:szCs w:val="20"/>
                <w:color w:val="auto"/>
              </w:rPr>
            </w:pPr>
            <w:r>
              <w:rPr>
                <w:rFonts w:ascii="Arial" w:cs="Arial" w:eastAsia="Arial" w:hAnsi="Arial"/>
                <w:sz w:val="18"/>
                <w:szCs w:val="18"/>
                <w:color w:val="auto"/>
              </w:rPr>
              <w:t>Personal Care</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26 %</w:t>
            </w:r>
          </w:p>
        </w:tc>
        <w:tc>
          <w:tcPr>
            <w:tcW w:w="9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6680" w:type="dxa"/>
            <w:vAlign w:val="bottom"/>
          </w:tcPr>
          <w:p>
            <w:pPr>
              <w:spacing w:after="0"/>
              <w:rPr>
                <w:sz w:val="20"/>
                <w:szCs w:val="20"/>
                <w:color w:val="auto"/>
              </w:rPr>
            </w:pPr>
            <w:r>
              <w:rPr>
                <w:rFonts w:ascii="Arial" w:cs="Arial" w:eastAsia="Arial" w:hAnsi="Arial"/>
                <w:sz w:val="18"/>
                <w:szCs w:val="18"/>
                <w:color w:val="auto"/>
              </w:rPr>
              <w:t>Specialty Additives</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27 %</w:t>
            </w:r>
          </w:p>
        </w:tc>
        <w:tc>
          <w:tcPr>
            <w:tcW w:w="9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56"/>
        </w:trPr>
        <w:tc>
          <w:tcPr>
            <w:tcW w:w="6680" w:type="dxa"/>
            <w:vAlign w:val="bottom"/>
          </w:tcPr>
          <w:p>
            <w:pPr>
              <w:spacing w:after="0"/>
              <w:rPr>
                <w:sz w:val="20"/>
                <w:szCs w:val="20"/>
                <w:color w:val="auto"/>
              </w:rPr>
            </w:pPr>
            <w:r>
              <w:rPr>
                <w:rFonts w:ascii="Arial" w:cs="Arial" w:eastAsia="Arial" w:hAnsi="Arial"/>
                <w:sz w:val="18"/>
                <w:szCs w:val="18"/>
                <w:color w:val="auto"/>
              </w:rPr>
              <w:t>Intermediates</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7 %</w:t>
            </w:r>
          </w:p>
        </w:tc>
        <w:tc>
          <w:tcPr>
            <w:tcW w:w="9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66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68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100 %</w:t>
            </w:r>
          </w:p>
        </w:tc>
        <w:tc>
          <w:tcPr>
            <w:tcW w:w="9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6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-805180</wp:posOffset>
            </wp:positionV>
            <wp:extent cx="662622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-496570</wp:posOffset>
            </wp:positionV>
            <wp:extent cx="6626225"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-179070</wp:posOffset>
            </wp:positionV>
            <wp:extent cx="6626225"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26225" cy="17970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DEVELOPMENTS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Business results current quarter</w:t>
      </w:r>
    </w:p>
    <w:p>
      <w:pPr>
        <w:spacing w:after="0" w:line="114" w:lineRule="exact"/>
        <w:rPr>
          <w:sz w:val="20"/>
          <w:szCs w:val="20"/>
          <w:color w:val="auto"/>
        </w:rPr>
      </w:pPr>
    </w:p>
    <w:p>
      <w:pPr>
        <w:jc w:val="both"/>
        <w:ind w:left="380" w:right="160"/>
        <w:spacing w:after="0" w:line="246" w:lineRule="auto"/>
        <w:rPr>
          <w:sz w:val="20"/>
          <w:szCs w:val="20"/>
          <w:color w:val="auto"/>
        </w:rPr>
      </w:pPr>
      <w:r>
        <w:rPr>
          <w:rFonts w:ascii="Arial" w:cs="Arial" w:eastAsia="Arial" w:hAnsi="Arial"/>
          <w:sz w:val="20"/>
          <w:szCs w:val="20"/>
          <w:color w:val="auto"/>
        </w:rPr>
        <w:t>Ashland recorded net income of $40 million (income of $42 million in continuing operations and a loss of $2 million in discontinued operations) and net income of $48 million (income of $32 million in continuing operations and $16 million in discontinued operations) in the current and prior year quarters, respectively. Ashland’s EBITDA of $93 million decreased by $25 million for the current quarter, while Ashland’s Adjusted EBITDA of $108 million</w:t>
      </w:r>
    </w:p>
    <w:p>
      <w:pPr>
        <w:spacing w:after="0" w:line="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3" w:right="559" w:bottom="1440" w:gutter="0" w:footer="0" w:header="0"/>
        </w:sectPr>
      </w:pPr>
    </w:p>
    <w:bookmarkStart w:id="27" w:name="page28"/>
    <w:bookmarkEnd w:id="27"/>
    <w:p>
      <w:pPr>
        <w:jc w:val="both"/>
        <w:spacing w:after="0" w:line="269" w:lineRule="auto"/>
        <w:rPr>
          <w:sz w:val="20"/>
          <w:szCs w:val="20"/>
          <w:color w:val="auto"/>
        </w:rPr>
      </w:pPr>
      <w:r>
        <w:rPr>
          <w:rFonts w:ascii="Arial" w:cs="Arial" w:eastAsia="Arial" w:hAnsi="Arial"/>
          <w:sz w:val="19"/>
          <w:szCs w:val="19"/>
          <w:color w:val="auto"/>
        </w:rPr>
        <w:t>increased by $2 million for the current quarter, each compared to the prior year quarter (see U.S. GAAP reconciliation below under consolidated review). The increase was primarily driven by improved pricing and mix, substantially offset by increased plant, manufacturing and shipping costs, unfavorable foreign currency exchange, and lower sales volumes.</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Life Sciences experienced strong global demand for pharmaceutical ingredients, while Specialty Additives and Personal Care experienced weaker demand driven primarily by the impact of COVID-19 on the China re-opening, the general economic slowdown in Europe and significant distributor destocking in China and Europe.</w:t>
      </w:r>
    </w:p>
    <w:p>
      <w:pPr>
        <w:spacing w:after="0" w:line="7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Additionally operating costs within Specialty Additives was impacted by planned plant maintenance shutdowns plus COVID-19 dynamics which resulted in an extended unplanned plant shutdown at the company's Nanjing, China, facility late in the quarter.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Uncertainty relating to the Ukraine and Russia conflict</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Business disruptions, including those related to the ongoing conflict between Ukraine and Russia continue to impact businesses around the globe. While it is impossible to predict the effects of the conflict such as possible escalating geopolitical tensions (including the imposition of existing and additional sanctions by the U.S and the European Union on Russia), worsening macroeconomic and general business conditions, supply chain interruptions and unfavorable energy markets, the impact could be material. Ashland is closely monitoring the situation and maintains business continuity plans that are intended to continue operations or mitigate the effects of events that could disrupt its business.</w:t>
      </w:r>
    </w:p>
    <w:p>
      <w:pPr>
        <w:spacing w:after="0" w:line="7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Ashland does not have manufacturing operations in Russia, Ukraine, or Belarus. Ashland sells (or previously sold) additives and specialty ingredients to manufacturers in these countries for their use in pharmaceuticals, personal care, and coatings applications. Sales to Russia and Belarus were previously limited and our products were primarily used in products and applications that are essential to the population's wellbeing and currently support our customers' humanitarian efforts. We have sales controls in place to ensure that future potential sales into the region are only to support critical pharmaceutical or personal hygiene products which are essential for the general population and in accordance with any applicable sanctions. Sales to Ukraine, Russia, and Belarus represent less than 1% of total consolidated sales and less than 1% of total consolidated assets (related to accounts receivable).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Uncertainty relating to the COVID-19 pandemic</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Ashland continues to closely monitor the impact of the COVID-19 pandemic on all aspects of its business and geographies, including how it will impact customers, employees, suppliers, vendors, business partners and distribution channels. Ashland is unable to predict the impact that the COVID-19 pandemic will have on its future financial position and operating results due to numerous uncertainties. These uncertainties include the severity of the virus, the duration of the outbreak, governmental, business or other actions, impacts on Ashland’s supply chain, the effect on customer demand, or changes to Ashland’s operations. The health of Ashland’s workforce and its ability to meet staffing needs throughout the critical functions cannot be predicted and is vital to operations. Further, the impacts of a potential worsening of global economic conditions and the continued disruptions to, and volatility in, the credit and financial markets, consumer spending as well as other unanticipated consequences remain unknown. In addition, Ashland cannot predict the impact that the COVID-19 pandemic will have on its customers, vendors, suppliers and other business partners; however, any material effect on these parties could adversely impact Ashland.</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Ashland continues to successfully navigate the uncertain environment associated with the COVID-19 pandemic. Through the first quarter of fiscal 2023, Ashland has not experienced any additional major operating surprises related to the COVID-19 pandemic, continues to maintain supply chains in a challenging environment, had strong safety performance in the face of unprecedented pressures and improved operating discipline across each of its businesses. Ashland's businesses continued to show resiliency in the face of difficult economic circumstances. While sales were up in the quarter period-over-period, the COVID-19 impact related to the China re-opening did negatively impact demand during the current quarter for both the Specialty Additives and Personal Care business segments. Additionally Specialty Additives was also impacted by extended unplanned plant shutdowns at its Nanjing, China, facility as a result of these same dynamics. Ashland’s overall liquidity remains strong and Ashland is more than able to meet its operating cash needs and other investing and financing cash requirements at this time, including those necessary to grow the business as economic conditions improve.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28" w:name="page29"/>
    <w:bookmarkEnd w:id="28"/>
    <w:p>
      <w:pPr>
        <w:jc w:val="both"/>
        <w:ind w:left="380"/>
        <w:spacing w:after="0" w:line="291" w:lineRule="auto"/>
        <w:rPr>
          <w:sz w:val="20"/>
          <w:szCs w:val="20"/>
          <w:color w:val="auto"/>
        </w:rPr>
      </w:pPr>
      <w:r>
        <w:rPr>
          <w:rFonts w:ascii="Arial" w:cs="Arial" w:eastAsia="Arial" w:hAnsi="Arial"/>
          <w:sz w:val="18"/>
          <w:szCs w:val="18"/>
          <w:color w:val="auto"/>
        </w:rPr>
        <w:t>The situation surrounding the COVID-19 pandemic remains fluid, and Ashland is actively managing its response in collaboration with customers, government officials, team members and business partners. For further information regarding the impact of the COVID-19 pandemic on the Company, please see Item 1A, Risk Factors in Ashland’s most recent Form 10-K filed with the SEC.</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CONSOLIDATED REVIEW</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Consolidated review</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Net income</w:t>
      </w:r>
    </w:p>
    <w:p>
      <w:pPr>
        <w:spacing w:after="0" w:line="108"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Ashland’s net income is primarily affected by results within operating income, net interest and other expense (income), income taxes, discontinued operations and other significant events or transactions that are unusual or nonrecurring.</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Key financial results for the three months ended December 31, 2022 and 2021 included the following:</w:t>
      </w:r>
    </w:p>
    <w:p>
      <w:pPr>
        <w:spacing w:after="0" w:line="108" w:lineRule="exact"/>
        <w:rPr>
          <w:sz w:val="20"/>
          <w:szCs w:val="20"/>
          <w:color w:val="auto"/>
        </w:rPr>
      </w:pPr>
    </w:p>
    <w:p>
      <w:pPr>
        <w:ind w:left="740" w:hanging="358"/>
        <w:spacing w:after="0" w:line="260" w:lineRule="auto"/>
        <w:tabs>
          <w:tab w:leader="none" w:pos="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Ashland’s net income amounted to $40 million compared to $48 million for the three months ended December 31, 2022 and 2021, respectively, or income of $0.73 and $0.83 diluted earnings per share, respectively.</w:t>
      </w:r>
    </w:p>
    <w:p>
      <w:pPr>
        <w:spacing w:after="0" w:line="68" w:lineRule="exact"/>
        <w:rPr>
          <w:rFonts w:ascii="Arial" w:cs="Arial" w:eastAsia="Arial" w:hAnsi="Arial"/>
          <w:sz w:val="20"/>
          <w:szCs w:val="20"/>
          <w:color w:val="auto"/>
        </w:rPr>
      </w:pPr>
    </w:p>
    <w:p>
      <w:pPr>
        <w:ind w:left="740" w:hanging="358"/>
        <w:spacing w:after="0" w:line="260" w:lineRule="auto"/>
        <w:tabs>
          <w:tab w:leader="none" w:pos="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a loss of $2 million and income of $16 million during the three months ended December 31, 2022 and 2021, respectively.</w:t>
      </w:r>
    </w:p>
    <w:p>
      <w:pPr>
        <w:spacing w:after="0" w:line="68" w:lineRule="exact"/>
        <w:rPr>
          <w:rFonts w:ascii="Arial" w:cs="Arial" w:eastAsia="Arial" w:hAnsi="Arial"/>
          <w:sz w:val="20"/>
          <w:szCs w:val="20"/>
          <w:color w:val="auto"/>
        </w:rPr>
      </w:pPr>
    </w:p>
    <w:p>
      <w:pPr>
        <w:ind w:left="740" w:hanging="358"/>
        <w:spacing w:after="0" w:line="260" w:lineRule="auto"/>
        <w:tabs>
          <w:tab w:leader="none" w:pos="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Income from continuing operations, which excludes results from discontinued operations, amounted to income of $42 million and $32 million for the three months ended December 31, 2022 and 2021, respectively.</w:t>
      </w:r>
    </w:p>
    <w:p>
      <w:pPr>
        <w:spacing w:after="0" w:line="68" w:lineRule="exact"/>
        <w:rPr>
          <w:rFonts w:ascii="Arial" w:cs="Arial" w:eastAsia="Arial" w:hAnsi="Arial"/>
          <w:sz w:val="20"/>
          <w:szCs w:val="20"/>
          <w:color w:val="auto"/>
        </w:rPr>
      </w:pPr>
    </w:p>
    <w:p>
      <w:pPr>
        <w:ind w:left="740" w:hanging="358"/>
        <w:spacing w:after="0" w:line="316"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 income tax rates were an expense of 16% and 13% for the three months ended December 31, 2022 and 2021, respectively, and were significantly impacted by certain tax discrete items in both the current and prior year quarters.</w:t>
      </w:r>
    </w:p>
    <w:p>
      <w:pPr>
        <w:spacing w:after="0" w:line="21" w:lineRule="exact"/>
        <w:rPr>
          <w:rFonts w:ascii="Arial" w:cs="Arial" w:eastAsia="Arial" w:hAnsi="Arial"/>
          <w:sz w:val="18"/>
          <w:szCs w:val="18"/>
          <w:color w:val="auto"/>
        </w:rPr>
      </w:pPr>
    </w:p>
    <w:p>
      <w:pPr>
        <w:jc w:val="both"/>
        <w:ind w:left="740" w:hanging="358"/>
        <w:spacing w:after="0" w:line="250" w:lineRule="auto"/>
        <w:tabs>
          <w:tab w:leader="none" w:pos="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Ashland incurred pretax net interest and other income of $14 million and expense of $5 million for the three months ended December 31, 2022 and 2021, respectively. This includes gains of $21 million and $4 million on restricted investments, respectively, for the current and prior year quarters.</w:t>
      </w:r>
    </w:p>
    <w:p>
      <w:pPr>
        <w:spacing w:after="0" w:line="77" w:lineRule="exact"/>
        <w:rPr>
          <w:rFonts w:ascii="Arial" w:cs="Arial" w:eastAsia="Arial" w:hAnsi="Arial"/>
          <w:sz w:val="20"/>
          <w:szCs w:val="20"/>
          <w:color w:val="auto"/>
        </w:rPr>
      </w:pPr>
    </w:p>
    <w:p>
      <w:pPr>
        <w:ind w:left="740" w:hanging="358"/>
        <w:spacing w:after="0" w:line="260" w:lineRule="auto"/>
        <w:tabs>
          <w:tab w:leader="none" w:pos="7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Other net periodic benefit income (loss) resulted in a loss of $1 million and zero during the three months ended December 31, 2022 and 2021, respectively.</w:t>
      </w:r>
    </w:p>
    <w:p>
      <w:pPr>
        <w:spacing w:after="0" w:line="68" w:lineRule="exact"/>
        <w:rPr>
          <w:rFonts w:ascii="Arial" w:cs="Arial" w:eastAsia="Arial" w:hAnsi="Arial"/>
          <w:sz w:val="20"/>
          <w:szCs w:val="20"/>
          <w:color w:val="auto"/>
        </w:rPr>
      </w:pPr>
    </w:p>
    <w:p>
      <w:pPr>
        <w:ind w:left="740" w:hanging="35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income was $37 million and $42 million for the three months ended December 31, 2022 and 2021, respectively.</w:t>
      </w:r>
    </w:p>
    <w:p>
      <w:pPr>
        <w:spacing w:after="0" w:line="131"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For further information on the items reported above, see the discussion in the comparative Statements of Consolidated Comprehensive Income (Loss) caption review analysis.</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Operating income</w:t>
      </w:r>
    </w:p>
    <w:p>
      <w:pPr>
        <w:spacing w:after="0" w:line="108"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Operating income/loss amounted to income of $37 million and $42 million for the three months ended December 31, 2022 and 2021, respectively. The current and prior year quarters’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83" w:lineRule="exact"/>
        <w:rPr>
          <w:sz w:val="20"/>
          <w:szCs w:val="20"/>
          <w:color w:val="auto"/>
        </w:rPr>
      </w:pPr>
    </w:p>
    <w:p>
      <w:pPr>
        <w:jc w:val="both"/>
        <w:ind w:left="740" w:hanging="358"/>
        <w:spacing w:after="0" w:line="282"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separation and other costs – Ashland periodically implements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D in the Notes to Condensed Consolidated Financial Statements for further information on the restructuring activities.</w:t>
      </w:r>
    </w:p>
    <w:p>
      <w:pPr>
        <w:spacing w:after="0" w:line="53" w:lineRule="exact"/>
        <w:rPr>
          <w:rFonts w:ascii="Arial" w:cs="Arial" w:eastAsia="Arial" w:hAnsi="Arial"/>
          <w:sz w:val="18"/>
          <w:szCs w:val="18"/>
          <w:color w:val="auto"/>
        </w:rPr>
      </w:pPr>
    </w:p>
    <w:p>
      <w:pPr>
        <w:jc w:val="both"/>
        <w:ind w:left="740" w:hanging="358"/>
        <w:spacing w:after="0" w:line="260" w:lineRule="auto"/>
        <w:tabs>
          <w:tab w:leader="none" w:pos="7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the current and prior year quarters to its environmental liabilities and receivables primarily related to previously divested businesses or non-operational sites. See Note L of the Notes to Condensed Consolidated Financial Statements for more information.</w:t>
      </w:r>
    </w:p>
    <w:p>
      <w:pPr>
        <w:spacing w:after="0" w:line="7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7" w:right="719" w:bottom="1440" w:gutter="0" w:footer="0" w:header="0"/>
        </w:sectPr>
      </w:pPr>
    </w:p>
    <w:bookmarkStart w:id="29" w:name="page30"/>
    <w:bookmarkEnd w:id="29"/>
    <w:p>
      <w:pPr>
        <w:jc w:val="both"/>
        <w:ind w:left="740" w:right="380" w:hanging="358"/>
        <w:spacing w:after="0" w:line="250" w:lineRule="auto"/>
        <w:tabs>
          <w:tab w:leader="none" w:pos="7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Asset impairments - During the three months ended December 31, 2022, Ashland incurred an impairment charge associated with the pending sale of a Specialty Additives manufacturing facility. See Note B of the Notes to Condensed Consolidated Financial Statements for more information.</w:t>
      </w:r>
    </w:p>
    <w:p>
      <w:pPr>
        <w:spacing w:after="0" w:line="78" w:lineRule="exact"/>
        <w:rPr>
          <w:sz w:val="20"/>
          <w:szCs w:val="20"/>
          <w:color w:val="auto"/>
        </w:rPr>
      </w:pPr>
    </w:p>
    <w:p>
      <w:pPr>
        <w:ind w:left="380" w:right="380"/>
        <w:spacing w:after="0" w:line="260" w:lineRule="auto"/>
        <w:rPr>
          <w:sz w:val="20"/>
          <w:szCs w:val="20"/>
          <w:color w:val="auto"/>
        </w:rPr>
      </w:pPr>
      <w:r>
        <w:rPr>
          <w:rFonts w:ascii="Arial" w:cs="Arial" w:eastAsia="Arial" w:hAnsi="Arial"/>
          <w:sz w:val="20"/>
          <w:szCs w:val="20"/>
          <w:color w:val="auto"/>
        </w:rPr>
        <w:t>Operating income for the three months ended December 31, 2022 and 2021 included depreciation and amortization of $59 million and $60 million, respectively.</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Statements of Consolidated Comprehensive Income (Loss) – caption review</w:t>
      </w:r>
    </w:p>
    <w:p>
      <w:pPr>
        <w:spacing w:after="0" w:line="108" w:lineRule="exact"/>
        <w:rPr>
          <w:sz w:val="20"/>
          <w:szCs w:val="20"/>
          <w:color w:val="auto"/>
        </w:rPr>
      </w:pPr>
    </w:p>
    <w:p>
      <w:pPr>
        <w:ind w:left="380" w:right="380"/>
        <w:spacing w:after="0" w:line="260" w:lineRule="auto"/>
        <w:rPr>
          <w:sz w:val="20"/>
          <w:szCs w:val="20"/>
          <w:color w:val="auto"/>
        </w:rPr>
      </w:pPr>
      <w:r>
        <w:rPr>
          <w:rFonts w:ascii="Arial" w:cs="Arial" w:eastAsia="Arial" w:hAnsi="Arial"/>
          <w:sz w:val="20"/>
          <w:szCs w:val="20"/>
          <w:color w:val="auto"/>
        </w:rPr>
        <w:t>A comparative analysis of the Statements of Consolidated Comprehensive Income (Loss) by caption is provided as follows for the three months ended December 31, 2022 and 2021.</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50"/>
        </w:trPr>
        <w:tc>
          <w:tcPr>
            <w:tcW w:w="4700" w:type="dxa"/>
            <w:vAlign w:val="bottom"/>
            <w:tcBorders>
              <w:top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3860" w:type="dxa"/>
            <w:vAlign w:val="bottom"/>
            <w:tcBorders>
              <w:top w:val="single" w:sz="8" w:color="auto"/>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Three months ended December 31</w:t>
            </w:r>
          </w:p>
        </w:tc>
        <w:tc>
          <w:tcPr>
            <w:tcW w:w="1160" w:type="dxa"/>
            <w:vAlign w:val="bottom"/>
            <w:tcBorders>
              <w:top w:val="single" w:sz="8" w:color="auto"/>
              <w:bottom w:val="single" w:sz="8" w:color="auto"/>
            </w:tcBorders>
          </w:tcPr>
          <w:p>
            <w:pPr>
              <w:spacing w:after="0"/>
              <w:rPr>
                <w:sz w:val="21"/>
                <w:szCs w:val="21"/>
                <w:color w:val="auto"/>
              </w:rPr>
            </w:pPr>
          </w:p>
        </w:tc>
      </w:tr>
      <w:tr>
        <w:trPr>
          <w:trHeight w:val="237"/>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8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7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r>
      <w:tr>
        <w:trPr>
          <w:trHeight w:val="243"/>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525</w:t>
            </w:r>
          </w:p>
        </w:tc>
        <w:tc>
          <w:tcPr>
            <w:tcW w:w="86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512</w:t>
            </w:r>
          </w:p>
        </w:tc>
        <w:tc>
          <w:tcPr>
            <w:tcW w:w="76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r>
    </w:tbl>
    <w:p>
      <w:pPr>
        <w:spacing w:after="0" w:line="10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provides a reconciliation of the change in sales for the three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87630</wp:posOffset>
            </wp:positionV>
            <wp:extent cx="66262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p>
      <w:pPr>
        <w:spacing w:after="0" w:line="3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millions)</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Volume</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Pricing</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Foreign currency exchange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 in sales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2200" w:type="dxa"/>
            <w:vAlign w:val="bottom"/>
          </w:tcPr>
          <w:p>
            <w:pPr>
              <w:jc w:val="right"/>
              <w:ind w:right="450"/>
              <w:spacing w:after="0"/>
              <w:rPr>
                <w:sz w:val="20"/>
                <w:szCs w:val="20"/>
                <w:color w:val="auto"/>
              </w:rPr>
            </w:pPr>
            <w:r>
              <w:rPr>
                <w:rFonts w:ascii="Arial" w:cs="Arial" w:eastAsia="Arial" w:hAnsi="Arial"/>
                <w:sz w:val="18"/>
                <w:szCs w:val="18"/>
                <w:color w:val="auto"/>
                <w:w w:val="98"/>
              </w:rPr>
              <w:t>Three months ended</w:t>
            </w:r>
          </w:p>
        </w:tc>
      </w:tr>
      <w:tr>
        <w:trPr>
          <w:trHeight w:val="243"/>
        </w:trPr>
        <w:tc>
          <w:tcPr>
            <w:tcW w:w="260" w:type="dxa"/>
            <w:vAlign w:val="bottom"/>
          </w:tcPr>
          <w:p>
            <w:pPr>
              <w:spacing w:after="0"/>
              <w:rPr>
                <w:sz w:val="21"/>
                <w:szCs w:val="21"/>
                <w:color w:val="auto"/>
              </w:rPr>
            </w:pPr>
          </w:p>
        </w:tc>
        <w:tc>
          <w:tcPr>
            <w:tcW w:w="2200" w:type="dxa"/>
            <w:vAlign w:val="bottom"/>
          </w:tcPr>
          <w:p>
            <w:pPr>
              <w:jc w:val="right"/>
              <w:ind w:right="490"/>
              <w:spacing w:after="0"/>
              <w:rPr>
                <w:sz w:val="20"/>
                <w:szCs w:val="20"/>
                <w:color w:val="auto"/>
              </w:rPr>
            </w:pPr>
            <w:r>
              <w:rPr>
                <w:rFonts w:ascii="Arial" w:cs="Arial" w:eastAsia="Arial" w:hAnsi="Arial"/>
                <w:sz w:val="18"/>
                <w:szCs w:val="18"/>
                <w:color w:val="auto"/>
              </w:rPr>
              <w:t>December 31, 2022</w:t>
            </w:r>
          </w:p>
        </w:tc>
      </w:tr>
      <w:tr>
        <w:trPr>
          <w:trHeight w:val="257"/>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26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50"/>
        </w:trPr>
        <w:tc>
          <w:tcPr>
            <w:tcW w:w="2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r>
      <w:tr>
        <w:trPr>
          <w:trHeight w:val="237"/>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-659130</wp:posOffset>
            </wp:positionV>
            <wp:extent cx="6626225"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626225" cy="16319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-342265</wp:posOffset>
            </wp:positionV>
            <wp:extent cx="6626225"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626225" cy="163195"/>
                    </a:xfrm>
                    <a:prstGeom prst="rect">
                      <a:avLst/>
                    </a:prstGeom>
                    <a:noFill/>
                  </pic:spPr>
                </pic:pic>
              </a:graphicData>
            </a:graphic>
          </wp:anchor>
        </w:drawing>
      </w:r>
    </w:p>
    <w:p>
      <w:pPr>
        <w:spacing w:after="0" w:line="118" w:lineRule="exact"/>
        <w:rPr>
          <w:sz w:val="20"/>
          <w:szCs w:val="20"/>
          <w:color w:val="auto"/>
        </w:rPr>
      </w:pPr>
    </w:p>
    <w:p>
      <w:pPr>
        <w:sectPr>
          <w:pgSz w:w="11900" w:h="16838" w:orient="portrait"/>
          <w:cols w:equalWidth="0" w:num="2">
            <w:col w:w="7660" w:space="720"/>
            <w:col w:w="2860"/>
          </w:cols>
          <w:pgMar w:left="320" w:top="447" w:right="339" w:bottom="1440" w:gutter="0" w:footer="0" w:header="0"/>
          <w:type w:val="continuous"/>
        </w:sectPr>
      </w:pPr>
    </w:p>
    <w:p>
      <w:pPr>
        <w:jc w:val="both"/>
        <w:ind w:left="380" w:right="380"/>
        <w:spacing w:after="0" w:line="250" w:lineRule="auto"/>
        <w:rPr>
          <w:sz w:val="20"/>
          <w:szCs w:val="20"/>
          <w:color w:val="auto"/>
        </w:rPr>
      </w:pPr>
      <w:r>
        <w:rPr>
          <w:rFonts w:ascii="Arial" w:cs="Arial" w:eastAsia="Arial" w:hAnsi="Arial"/>
          <w:sz w:val="20"/>
          <w:szCs w:val="20"/>
          <w:color w:val="auto"/>
        </w:rPr>
        <w:t>Sales for the current quarter increased $13 million compared to the prior year quarter. Favorable product pricing associated with cost inflation pricing actions increased sales by $62 million which was partially offset by lower sales volume and unfavorable foreign currency exchange of $25 million and $24 million, respectively.</w:t>
      </w:r>
    </w:p>
    <w:p>
      <w:pPr>
        <w:spacing w:after="0" w:line="88" w:lineRule="exact"/>
        <w:rPr>
          <w:sz w:val="20"/>
          <w:szCs w:val="20"/>
          <w:color w:val="auto"/>
        </w:rPr>
      </w:pPr>
    </w:p>
    <w:tbl>
      <w:tblPr>
        <w:tblLayout w:type="fixed"/>
        <w:tblInd w:w="420" w:type="dxa"/>
        <w:tblCellMar>
          <w:top w:w="0" w:type="dxa"/>
          <w:left w:w="0" w:type="dxa"/>
          <w:bottom w:w="0" w:type="dxa"/>
          <w:right w:w="0" w:type="dxa"/>
        </w:tblCellMar>
      </w:tblPr>
      <w:tr>
        <w:trPr>
          <w:trHeight w:val="250"/>
        </w:trPr>
        <w:tc>
          <w:tcPr>
            <w:tcW w:w="620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Three months ended December 31</w:t>
            </w:r>
          </w:p>
        </w:tc>
        <w:tc>
          <w:tcPr>
            <w:tcW w:w="780" w:type="dxa"/>
            <w:vAlign w:val="bottom"/>
            <w:tcBorders>
              <w:top w:val="single" w:sz="8" w:color="auto"/>
              <w:bottom w:val="single" w:sz="8" w:color="auto"/>
            </w:tcBorders>
          </w:tcPr>
          <w:p>
            <w:pPr>
              <w:spacing w:after="0"/>
              <w:rPr>
                <w:sz w:val="21"/>
                <w:szCs w:val="21"/>
                <w:color w:val="auto"/>
              </w:rPr>
            </w:pPr>
          </w:p>
        </w:tc>
      </w:tr>
      <w:tr>
        <w:trPr>
          <w:trHeight w:val="237"/>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r>
      <w:tr>
        <w:trPr>
          <w:trHeight w:val="243"/>
        </w:trPr>
        <w:tc>
          <w:tcPr>
            <w:tcW w:w="6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360</w:t>
            </w: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351</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Gross profit as a percent of sales</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31.4 %</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31.4 %</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113"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20"/>
          <w:szCs w:val="20"/>
          <w:color w:val="auto"/>
        </w:rPr>
        <w:t>The following table provides a reconciliation of the change in cost of sales between the three months ended December 31, 2022 and 2021.</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79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8"/>
              </w:rPr>
              <w:t>Three months ended</w:t>
            </w:r>
          </w:p>
        </w:tc>
      </w:tr>
      <w:tr>
        <w:trPr>
          <w:trHeight w:val="249"/>
        </w:trPr>
        <w:tc>
          <w:tcPr>
            <w:tcW w:w="7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December 31, 2022</w:t>
            </w:r>
          </w:p>
        </w:tc>
      </w:tr>
      <w:tr>
        <w:trPr>
          <w:trHeight w:val="243"/>
        </w:trPr>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Changes in:</w:t>
            </w:r>
          </w:p>
        </w:tc>
        <w:tc>
          <w:tcPr>
            <w:tcW w:w="260" w:type="dxa"/>
            <w:vAlign w:val="bottom"/>
            <w:shd w:val="clear" w:color="auto" w:fill="CFF0FC"/>
          </w:tcPr>
          <w:p>
            <w:pPr>
              <w:spacing w:after="0"/>
              <w:rPr>
                <w:sz w:val="21"/>
                <w:szCs w:val="21"/>
                <w:color w:val="auto"/>
              </w:rPr>
            </w:pPr>
          </w:p>
        </w:tc>
        <w:tc>
          <w:tcPr>
            <w:tcW w:w="2200" w:type="dxa"/>
            <w:vAlign w:val="bottom"/>
            <w:shd w:val="clear" w:color="auto" w:fill="CFF0FC"/>
          </w:tcPr>
          <w:p>
            <w:pPr>
              <w:spacing w:after="0"/>
              <w:rPr>
                <w:sz w:val="21"/>
                <w:szCs w:val="21"/>
                <w:color w:val="auto"/>
              </w:rPr>
            </w:pPr>
          </w:p>
        </w:tc>
      </w:tr>
      <w:tr>
        <w:trPr>
          <w:trHeight w:val="237"/>
        </w:trPr>
        <w:tc>
          <w:tcPr>
            <w:tcW w:w="7960" w:type="dxa"/>
            <w:vAlign w:val="bottom"/>
          </w:tcPr>
          <w:p>
            <w:pPr>
              <w:ind w:left="180"/>
              <w:spacing w:after="0"/>
              <w:rPr>
                <w:sz w:val="20"/>
                <w:szCs w:val="20"/>
                <w:color w:val="auto"/>
              </w:rPr>
            </w:pPr>
            <w:r>
              <w:rPr>
                <w:rFonts w:ascii="Arial" w:cs="Arial" w:eastAsia="Arial" w:hAnsi="Arial"/>
                <w:sz w:val="18"/>
                <w:szCs w:val="18"/>
                <w:color w:val="auto"/>
              </w:rPr>
              <w:t>Volume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49"/>
        </w:trPr>
        <w:tc>
          <w:tcPr>
            <w:tcW w:w="7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Price/mix</w:t>
            </w:r>
          </w:p>
        </w:tc>
        <w:tc>
          <w:tcPr>
            <w:tcW w:w="260" w:type="dxa"/>
            <w:vAlign w:val="bottom"/>
            <w:shd w:val="clear" w:color="auto" w:fill="CFF0FC"/>
          </w:tcPr>
          <w:p>
            <w:pPr>
              <w:spacing w:after="0"/>
              <w:rPr>
                <w:sz w:val="21"/>
                <w:szCs w:val="21"/>
                <w:color w:val="auto"/>
              </w:rPr>
            </w:pPr>
          </w:p>
        </w:tc>
        <w:tc>
          <w:tcPr>
            <w:tcW w:w="2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7960" w:type="dxa"/>
            <w:vAlign w:val="bottom"/>
          </w:tcPr>
          <w:p>
            <w:pPr>
              <w:ind w:left="180"/>
              <w:spacing w:after="0"/>
              <w:rPr>
                <w:sz w:val="20"/>
                <w:szCs w:val="20"/>
                <w:color w:val="auto"/>
              </w:rPr>
            </w:pPr>
            <w:r>
              <w:rPr>
                <w:rFonts w:ascii="Arial" w:cs="Arial" w:eastAsia="Arial" w:hAnsi="Arial"/>
                <w:sz w:val="18"/>
                <w:szCs w:val="18"/>
                <w:color w:val="auto"/>
              </w:rPr>
              <w:t>Foreign currency exchange</w:t>
            </w:r>
          </w:p>
        </w:tc>
        <w:tc>
          <w:tcPr>
            <w:tcW w:w="26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79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Operating costs</w:t>
            </w:r>
          </w:p>
        </w:tc>
        <w:tc>
          <w:tcPr>
            <w:tcW w:w="260" w:type="dxa"/>
            <w:vAlign w:val="bottom"/>
            <w:tcBorders>
              <w:bottom w:val="single" w:sz="8" w:color="auto"/>
            </w:tcBorders>
            <w:shd w:val="clear" w:color="auto" w:fill="CFF0FC"/>
          </w:tcPr>
          <w:p>
            <w:pPr>
              <w:spacing w:after="0"/>
              <w:rPr>
                <w:sz w:val="21"/>
                <w:szCs w:val="21"/>
                <w:color w:val="auto"/>
              </w:rPr>
            </w:pPr>
          </w:p>
        </w:tc>
        <w:tc>
          <w:tcPr>
            <w:tcW w:w="2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7960" w:type="dxa"/>
            <w:vAlign w:val="bottom"/>
          </w:tcPr>
          <w:p>
            <w:pPr>
              <w:spacing w:after="0"/>
              <w:rPr>
                <w:sz w:val="20"/>
                <w:szCs w:val="20"/>
                <w:color w:val="auto"/>
              </w:rPr>
            </w:pPr>
            <w:r>
              <w:rPr>
                <w:rFonts w:ascii="Arial" w:cs="Arial" w:eastAsia="Arial" w:hAnsi="Arial"/>
                <w:sz w:val="18"/>
                <w:szCs w:val="18"/>
                <w:color w:val="auto"/>
              </w:rPr>
              <w:t>Change in cost of sales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20"/>
        </w:trPr>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jc w:val="both"/>
        <w:ind w:left="380" w:right="380"/>
        <w:spacing w:after="0" w:line="321" w:lineRule="auto"/>
        <w:rPr>
          <w:sz w:val="20"/>
          <w:szCs w:val="20"/>
          <w:color w:val="auto"/>
        </w:rPr>
      </w:pPr>
      <w:r>
        <w:rPr>
          <w:rFonts w:ascii="Arial" w:cs="Arial" w:eastAsia="Arial" w:hAnsi="Arial"/>
          <w:sz w:val="16"/>
          <w:szCs w:val="16"/>
          <w:color w:val="auto"/>
        </w:rPr>
        <w:t>Cost of sales for the current quarter increased $9 million compared to the prior year quarter. Price/mix and higher operating costs, which includes cost inflation associated with plant manufacturing and shipping costs (as well as planned and unplanned plant shutdowns and maintenance), increased cost of sales by $7 million and $34 million, respectively. These increases were partially offset by lower volume and foreign currency exchange, which decreased cost of sales by $22 million and $10 million, respectively. Gross profit as a percentage of sales held steady at 31.4% driven by pricing and mix improvement actions across business segments.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 w:type="dxa"/>
            <w:vAlign w:val="bottom"/>
          </w:tcPr>
          <w:p>
            <w:pPr>
              <w:spacing w:after="0"/>
              <w:rPr>
                <w:sz w:val="21"/>
                <w:szCs w:val="21"/>
                <w:color w:val="auto"/>
              </w:rPr>
            </w:pPr>
          </w:p>
        </w:tc>
        <w:tc>
          <w:tcPr>
            <w:tcW w:w="422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2980" w:type="dxa"/>
            <w:vAlign w:val="bottom"/>
            <w:tcBorders>
              <w:top w:val="single" w:sz="8" w:color="auto"/>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Three months ended December 31</w:t>
            </w:r>
          </w:p>
        </w:tc>
        <w:tc>
          <w:tcPr>
            <w:tcW w:w="78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42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c>
          <w:tcPr>
            <w:tcW w:w="400" w:type="dxa"/>
            <w:vAlign w:val="bottom"/>
          </w:tcPr>
          <w:p>
            <w:pPr>
              <w:spacing w:after="0"/>
              <w:rPr>
                <w:sz w:val="20"/>
                <w:szCs w:val="20"/>
                <w:color w:val="auto"/>
              </w:rPr>
            </w:pPr>
          </w:p>
        </w:tc>
      </w:tr>
      <w:tr>
        <w:trPr>
          <w:trHeight w:val="243"/>
        </w:trPr>
        <w:tc>
          <w:tcPr>
            <w:tcW w:w="42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24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93</w:t>
            </w: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82</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1"/>
                <w:szCs w:val="21"/>
                <w:color w:val="auto"/>
              </w:rPr>
            </w:pPr>
          </w:p>
        </w:tc>
      </w:tr>
      <w:tr>
        <w:trPr>
          <w:trHeight w:val="234"/>
        </w:trPr>
        <w:tc>
          <w:tcPr>
            <w:tcW w:w="4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As a percent of sales</w:t>
            </w:r>
          </w:p>
        </w:tc>
        <w:tc>
          <w:tcPr>
            <w:tcW w:w="1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17.7 %</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16.0 %</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49"/>
        </w:trPr>
        <w:tc>
          <w:tcPr>
            <w:tcW w:w="4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80" w:type="dxa"/>
            <w:vAlign w:val="bottom"/>
          </w:tcPr>
          <w:p>
            <w:pPr>
              <w:jc w:val="right"/>
              <w:ind w:right="810"/>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type w:val="continuous"/>
        </w:sectPr>
      </w:pPr>
    </w:p>
    <w:bookmarkStart w:id="30" w:name="page31"/>
    <w:bookmarkEnd w:id="30"/>
    <w:p>
      <w:pPr>
        <w:jc w:val="both"/>
        <w:spacing w:after="0" w:line="250" w:lineRule="auto"/>
        <w:rPr>
          <w:sz w:val="20"/>
          <w:szCs w:val="20"/>
          <w:color w:val="auto"/>
        </w:rPr>
      </w:pPr>
      <w:r>
        <w:rPr>
          <w:rFonts w:ascii="Arial" w:cs="Arial" w:eastAsia="Arial" w:hAnsi="Arial"/>
          <w:sz w:val="20"/>
          <w:szCs w:val="20"/>
          <w:color w:val="auto"/>
        </w:rPr>
        <w:t>Selling, general and administrative expense for the current quarter increased $11 million compared to the prior year quarter with expenses as a percent of sales increasing 1.7 percentage points. Key drivers of the fluctuation in selling, general and administrative expense compared to the prior year quarter were:</w:t>
      </w:r>
    </w:p>
    <w:p>
      <w:pPr>
        <w:spacing w:after="0" w:line="78" w:lineRule="exact"/>
        <w:rPr>
          <w:sz w:val="20"/>
          <w:szCs w:val="20"/>
          <w:color w:val="auto"/>
        </w:rPr>
      </w:pPr>
    </w:p>
    <w:p>
      <w:pPr>
        <w:ind w:left="360" w:hanging="358"/>
        <w:spacing w:after="0" w:line="260" w:lineRule="auto"/>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$8 million and $3 million in net environmental-related expenses during the current and prior year period, respectively (see Note L for more information).</w:t>
      </w:r>
    </w:p>
    <w:p>
      <w:pPr>
        <w:spacing w:after="0" w:line="68" w:lineRule="exact"/>
        <w:rPr>
          <w:rFonts w:ascii="Arial" w:cs="Arial" w:eastAsia="Arial" w:hAnsi="Arial"/>
          <w:sz w:val="20"/>
          <w:szCs w:val="20"/>
          <w:color w:val="auto"/>
        </w:rPr>
      </w:pPr>
    </w:p>
    <w:p>
      <w:pPr>
        <w:ind w:left="360" w:hanging="358"/>
        <w:spacing w:after="0" w:line="260" w:lineRule="auto"/>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$4 million impairment charge in the current quarter associated with the pending sale of a Specialty Additives manufacturing facility.</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04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37"/>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r>
      <w:tr>
        <w:trPr>
          <w:trHeight w:val="243"/>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expense is consistent with the prior year quarter.</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040" w:type="dxa"/>
            <w:vAlign w:val="bottom"/>
            <w:tcBorders>
              <w:top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37"/>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r>
      <w:tr>
        <w:trPr>
          <w:trHeight w:val="243"/>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Intangibles amortization expense</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23</w:t>
            </w:r>
          </w:p>
        </w:tc>
        <w:tc>
          <w:tcPr>
            <w:tcW w:w="6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Intangibles amortization expense is primarily consistent with the prior year quarter.</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380" w:type="dxa"/>
            <w:vAlign w:val="bottom"/>
            <w:tcBorders>
              <w:top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880" w:type="dxa"/>
            <w:vAlign w:val="bottom"/>
            <w:tcBorders>
              <w:top w:val="single" w:sz="8" w:color="auto"/>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w w:val="98"/>
              </w:rPr>
              <w:t>Three months ended December 31</w:t>
            </w:r>
          </w:p>
        </w:tc>
        <w:tc>
          <w:tcPr>
            <w:tcW w:w="740" w:type="dxa"/>
            <w:vAlign w:val="bottom"/>
            <w:tcBorders>
              <w:top w:val="single" w:sz="8" w:color="auto"/>
              <w:bottom w:val="single" w:sz="8" w:color="auto"/>
            </w:tcBorders>
          </w:tcPr>
          <w:p>
            <w:pPr>
              <w:spacing w:after="0"/>
              <w:rPr>
                <w:sz w:val="21"/>
                <w:szCs w:val="21"/>
                <w:color w:val="auto"/>
              </w:rPr>
            </w:pPr>
          </w:p>
        </w:tc>
      </w:tr>
      <w:tr>
        <w:trPr>
          <w:trHeight w:val="237"/>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Change</w:t>
            </w:r>
          </w:p>
        </w:tc>
      </w:tr>
      <w:tr>
        <w:trPr>
          <w:trHeight w:val="243"/>
        </w:trPr>
        <w:tc>
          <w:tcPr>
            <w:tcW w:w="6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and other expense (income)</w:t>
            </w: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49"/>
        </w:trPr>
        <w:tc>
          <w:tcPr>
            <w:tcW w:w="6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37"/>
        </w:trPr>
        <w:tc>
          <w:tcPr>
            <w:tcW w:w="6380" w:type="dxa"/>
            <w:vAlign w:val="bottom"/>
          </w:tcPr>
          <w:p>
            <w:pPr>
              <w:ind w:left="180"/>
              <w:spacing w:after="0"/>
              <w:rPr>
                <w:sz w:val="20"/>
                <w:szCs w:val="20"/>
                <w:color w:val="auto"/>
              </w:rPr>
            </w:pPr>
            <w:r>
              <w:rPr>
                <w:rFonts w:ascii="Arial" w:cs="Arial" w:eastAsia="Arial" w:hAnsi="Arial"/>
                <w:sz w:val="18"/>
                <w:szCs w:val="18"/>
                <w:color w:val="auto"/>
              </w:rPr>
              <w:t>Income from restricted investments</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49"/>
        </w:trPr>
        <w:tc>
          <w:tcPr>
            <w:tcW w:w="63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financing costs</w:t>
            </w:r>
          </w:p>
        </w:tc>
        <w:tc>
          <w:tcPr>
            <w:tcW w:w="4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3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(14 )</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6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4872990</wp:posOffset>
            </wp:positionH>
            <wp:positionV relativeFrom="paragraph">
              <wp:posOffset>-187960</wp:posOffset>
            </wp:positionV>
            <wp:extent cx="111125" cy="2825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282575"/>
                    </a:xfrm>
                    <a:prstGeom prst="rect">
                      <a:avLst/>
                    </a:prstGeom>
                    <a:noFill/>
                  </pic:spPr>
                </pic:pic>
              </a:graphicData>
            </a:graphic>
          </wp:anchor>
        </w:drawing>
        <w:drawing>
          <wp:anchor simplePos="0" relativeHeight="251657728" behindDoc="1" locked="0" layoutInCell="0" allowOverlap="1">
            <wp:simplePos x="0" y="0"/>
            <wp:positionH relativeFrom="column">
              <wp:posOffset>5772785</wp:posOffset>
            </wp:positionH>
            <wp:positionV relativeFrom="paragraph">
              <wp:posOffset>-187960</wp:posOffset>
            </wp:positionV>
            <wp:extent cx="102870" cy="2825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282575"/>
                    </a:xfrm>
                    <a:prstGeom prst="rect">
                      <a:avLst/>
                    </a:prstGeom>
                    <a:noFill/>
                  </pic:spPr>
                </pic:pic>
              </a:graphicData>
            </a:graphic>
          </wp:anchor>
        </w:drawing>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Net interest and other expense (income) decreased by $19 million during the current quarter compared to the prior year quarter. Interest expense decreased $2 million primarily due to lower debt levels during the current quarter compared to the prior year quarter. Restricted investments income of $25 million and $12 million included gains of $21 million compared to $4 million for the three months ended December 31, 2022 and 2021, respectively. See Note E for more information on the restricted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109220</wp:posOffset>
            </wp:positionV>
            <wp:extent cx="6638925" cy="3467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38925" cy="346710"/>
                    </a:xfrm>
                    <a:prstGeom prst="rect">
                      <a:avLst/>
                    </a:prstGeom>
                    <a:noFill/>
                  </pic:spPr>
                </pic:pic>
              </a:graphicData>
            </a:graphic>
          </wp:anchor>
        </w:drawing>
      </w:r>
    </w:p>
    <w:p>
      <w:pPr>
        <w:spacing w:after="0" w:line="18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Three months ended December 31</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21"/>
                <w:szCs w:val="21"/>
                <w:color w:val="auto"/>
              </w:rPr>
            </w:pPr>
          </w:p>
        </w:tc>
      </w:tr>
      <w:tr>
        <w:trPr>
          <w:trHeight w:val="24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net periodic benefit loss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net periodic benefit loss for the three months ended December 31, 2022 primarily included interest cost of $3 million which was partially offset by expected return on plan assets of $2 million.</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28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4"/>
          </w:tcPr>
          <w:p>
            <w:pPr>
              <w:jc w:val="right"/>
              <w:ind w:right="47"/>
              <w:spacing w:after="0"/>
              <w:rPr>
                <w:sz w:val="20"/>
                <w:szCs w:val="20"/>
                <w:color w:val="auto"/>
              </w:rPr>
            </w:pPr>
            <w:r>
              <w:rPr>
                <w:rFonts w:ascii="Arial" w:cs="Arial" w:eastAsia="Arial" w:hAnsi="Arial"/>
                <w:sz w:val="18"/>
                <w:szCs w:val="18"/>
                <w:color w:val="auto"/>
              </w:rPr>
              <w:t>Three months ended December 31</w:t>
            </w:r>
          </w:p>
        </w:tc>
        <w:tc>
          <w:tcPr>
            <w:tcW w:w="760" w:type="dxa"/>
            <w:vAlign w:val="bottom"/>
            <w:tcBorders>
              <w:top w:val="single" w:sz="8" w:color="auto"/>
              <w:bottom w:val="single" w:sz="8" w:color="auto"/>
            </w:tcBorders>
          </w:tcPr>
          <w:p>
            <w:pPr>
              <w:spacing w:after="0"/>
              <w:rPr>
                <w:sz w:val="21"/>
                <w:szCs w:val="21"/>
                <w:color w:val="auto"/>
              </w:rPr>
            </w:pPr>
          </w:p>
        </w:tc>
      </w:tr>
      <w:tr>
        <w:trPr>
          <w:trHeight w:val="237"/>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r>
      <w:tr>
        <w:trPr>
          <w:trHeight w:val="243"/>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expense</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r>
        <w:trPr>
          <w:trHeight w:val="234"/>
        </w:trPr>
        <w:tc>
          <w:tcPr>
            <w:tcW w:w="628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16 %</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13 %</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Ashland’s effective tax rate in any interim period is subject to adjustments related to discrete items and the mix of domestic and foreign operating results. The overall effective tax rate was 16% for the three months ended December 31, 2022 and was primarily impacted by jurisdictional income mix, as well as net favorable discrete items of $1 million.</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overall effective tax rate was 13% for the three months ended December 31, 2021 and was primarily impacted by jurisdictional income mix, as well as favorable discrete items of $3 million.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income tax expense (benefit)</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Key items are defined as the financial effects from significant transactions that may have caused short-term fluctuations in net income and/or operating income which Ashland believes do not accurately reflect Ashland’s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60" w:right="719" w:bottom="1440" w:gutter="0" w:footer="0" w:header="0"/>
        </w:sectPr>
      </w:pPr>
    </w:p>
    <w:bookmarkStart w:id="31" w:name="page32"/>
    <w:bookmarkEnd w:id="31"/>
    <w:p>
      <w:pPr>
        <w:jc w:val="both"/>
        <w:ind w:left="380" w:right="380"/>
        <w:spacing w:after="0" w:line="276" w:lineRule="auto"/>
        <w:rPr>
          <w:sz w:val="20"/>
          <w:szCs w:val="20"/>
          <w:color w:val="auto"/>
        </w:rPr>
      </w:pPr>
      <w:r>
        <w:rPr>
          <w:rFonts w:ascii="Arial" w:cs="Arial" w:eastAsia="Arial" w:hAnsi="Arial"/>
          <w:sz w:val="18"/>
          <w:szCs w:val="18"/>
          <w:color w:val="auto"/>
        </w:rPr>
        <w:t>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effective tax rate during the three months ended December 31, 2022 and 2021 was not impacted by tax specific key items.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is a calculation of the effective tax rate, excluding these key items.</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68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Three months ended</w:t>
            </w:r>
          </w:p>
        </w:tc>
        <w:tc>
          <w:tcPr>
            <w:tcW w:w="7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9"/>
        </w:trPr>
        <w:tc>
          <w:tcPr>
            <w:tcW w:w="68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December 31</w:t>
            </w:r>
          </w:p>
        </w:tc>
        <w:tc>
          <w:tcPr>
            <w:tcW w:w="7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0"/>
                <w:szCs w:val="20"/>
                <w:color w:val="auto"/>
              </w:rPr>
            </w:pPr>
          </w:p>
        </w:tc>
      </w:tr>
      <w:tr>
        <w:trPr>
          <w:trHeight w:val="249"/>
        </w:trPr>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Key items (pre-tax) </w:t>
            </w:r>
            <w:r>
              <w:rPr>
                <w:rFonts w:ascii="Arial" w:cs="Arial" w:eastAsia="Arial" w:hAnsi="Arial"/>
                <w:sz w:val="14"/>
                <w:szCs w:val="14"/>
                <w:color w:val="auto"/>
              </w:rPr>
              <w:t>(a)</w:t>
            </w:r>
          </w:p>
        </w:tc>
        <w:tc>
          <w:tcPr>
            <w:tcW w:w="5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2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38"/>
        </w:trPr>
        <w:tc>
          <w:tcPr>
            <w:tcW w:w="6880" w:type="dxa"/>
            <w:vAlign w:val="bottom"/>
          </w:tcPr>
          <w:p>
            <w:pPr>
              <w:spacing w:after="0"/>
              <w:rPr>
                <w:sz w:val="20"/>
                <w:szCs w:val="20"/>
                <w:color w:val="auto"/>
              </w:rPr>
            </w:pPr>
            <w:r>
              <w:rPr>
                <w:rFonts w:ascii="Arial" w:cs="Arial" w:eastAsia="Arial" w:hAnsi="Arial"/>
                <w:sz w:val="18"/>
                <w:szCs w:val="18"/>
                <w:b w:val="1"/>
                <w:bCs w:val="1"/>
                <w:color w:val="auto"/>
              </w:rPr>
              <w:t>Adjusted income from continuing operations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7"/>
        </w:trPr>
        <w:tc>
          <w:tcPr>
            <w:tcW w:w="68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b w:val="1"/>
                <w:bCs w:val="1"/>
                <w:color w:val="auto"/>
              </w:rPr>
              <w:t>before income taxes</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r>
      <w:tr>
        <w:trPr>
          <w:trHeight w:val="223"/>
        </w:trPr>
        <w:tc>
          <w:tcPr>
            <w:tcW w:w="6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Income tax rate adjustments:</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8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Tax effect of key items</w:t>
            </w:r>
          </w:p>
        </w:tc>
        <w:tc>
          <w:tcPr>
            <w:tcW w:w="5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2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36"/>
        </w:trPr>
        <w:tc>
          <w:tcPr>
            <w:tcW w:w="6880" w:type="dxa"/>
            <w:vAlign w:val="bottom"/>
          </w:tcPr>
          <w:p>
            <w:pPr>
              <w:spacing w:after="0"/>
              <w:rPr>
                <w:sz w:val="20"/>
                <w:szCs w:val="20"/>
                <w:color w:val="auto"/>
              </w:rPr>
            </w:pPr>
            <w:r>
              <w:rPr>
                <w:rFonts w:ascii="Arial" w:cs="Arial" w:eastAsia="Arial" w:hAnsi="Arial"/>
                <w:sz w:val="18"/>
                <w:szCs w:val="18"/>
                <w:color w:val="auto"/>
              </w:rPr>
              <w:t>Total income tax rate adjustments</w:t>
            </w: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83"/>
        </w:trPr>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income tax expense</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r>
      <w:tr>
        <w:trPr>
          <w:trHeight w:val="453"/>
        </w:trPr>
        <w:tc>
          <w:tcPr>
            <w:tcW w:w="6880" w:type="dxa"/>
            <w:vAlign w:val="bottom"/>
          </w:tcPr>
          <w:p>
            <w:pPr>
              <w:spacing w:after="0"/>
              <w:rPr>
                <w:sz w:val="20"/>
                <w:szCs w:val="20"/>
                <w:color w:val="auto"/>
              </w:rPr>
            </w:pPr>
            <w:r>
              <w:rPr>
                <w:rFonts w:ascii="Arial" w:cs="Arial" w:eastAsia="Arial" w:hAnsi="Arial"/>
                <w:sz w:val="18"/>
                <w:szCs w:val="18"/>
                <w:b w:val="1"/>
                <w:bCs w:val="1"/>
                <w:color w:val="auto"/>
              </w:rPr>
              <w:t xml:space="preserve">Effective tax rate, excluding key items (Non-GAAP) </w:t>
            </w:r>
            <w:r>
              <w:rPr>
                <w:rFonts w:ascii="Arial" w:cs="Arial" w:eastAsia="Arial" w:hAnsi="Arial"/>
                <w:sz w:val="16"/>
                <w:szCs w:val="16"/>
                <w:b w:val="1"/>
                <w:bCs w:val="1"/>
                <w:color w:val="auto"/>
              </w:rPr>
              <w:t>(c)</w:t>
            </w:r>
          </w:p>
        </w:tc>
        <w:tc>
          <w:tcPr>
            <w:tcW w:w="54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15 %</w:t>
            </w:r>
          </w:p>
        </w:tc>
        <w:tc>
          <w:tcPr>
            <w:tcW w:w="8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-1619885</wp:posOffset>
            </wp:positionV>
            <wp:extent cx="137160"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1631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-1302385</wp:posOffset>
            </wp:positionV>
            <wp:extent cx="137160"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-968375</wp:posOffset>
            </wp:positionV>
            <wp:extent cx="137160"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16319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-650875</wp:posOffset>
            </wp:positionV>
            <wp:extent cx="13716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-325120</wp:posOffset>
            </wp:positionV>
            <wp:extent cx="6626225" cy="3346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626225" cy="33464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102870</wp:posOffset>
            </wp:positionV>
            <wp:extent cx="66262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44" w:lineRule="exact"/>
        <w:rPr>
          <w:sz w:val="20"/>
          <w:szCs w:val="20"/>
          <w:color w:val="auto"/>
        </w:rPr>
      </w:pPr>
    </w:p>
    <w:p>
      <w:pPr>
        <w:ind w:left="740" w:hanging="358"/>
        <w:spacing w:after="0"/>
        <w:tabs>
          <w:tab w:leader="none" w:pos="7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Adjusted EBITDA reconciliation table disclosed in this MD&amp;A for a summary of the key items, before tax.</w:t>
      </w:r>
    </w:p>
    <w:p>
      <w:pPr>
        <w:ind w:left="740" w:hanging="358"/>
        <w:spacing w:after="0" w:line="221" w:lineRule="auto"/>
        <w:tabs>
          <w:tab w:leader="none" w:pos="7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additional information on the effect that these tax specific key items had on EPS, see the Adjusted Diluted EPS table disclosed in this MD&amp;A.</w:t>
      </w:r>
    </w:p>
    <w:p>
      <w:pPr>
        <w:ind w:left="740" w:hanging="358"/>
        <w:spacing w:after="0"/>
        <w:tabs>
          <w:tab w:leader="none" w:pos="7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Due to rounding conventions, the effective tax rate presented may not recalculate precisely based on the numbers disclosed within this table.</w:t>
      </w:r>
    </w:p>
    <w:p>
      <w:pPr>
        <w:spacing w:after="0" w:line="244" w:lineRule="exact"/>
        <w:rPr>
          <w:sz w:val="20"/>
          <w:szCs w:val="20"/>
          <w:color w:val="auto"/>
        </w:rPr>
      </w:pPr>
    </w:p>
    <w:tbl>
      <w:tblPr>
        <w:tblLayout w:type="fixed"/>
        <w:tblInd w:w="420" w:type="dxa"/>
        <w:tblCellMar>
          <w:top w:w="0" w:type="dxa"/>
          <w:left w:w="0" w:type="dxa"/>
          <w:bottom w:w="0" w:type="dxa"/>
          <w:right w:w="0" w:type="dxa"/>
        </w:tblCellMar>
      </w:tblPr>
      <w:tr>
        <w:trPr>
          <w:trHeight w:val="250"/>
        </w:trPr>
        <w:tc>
          <w:tcPr>
            <w:tcW w:w="6420" w:type="dxa"/>
            <w:vAlign w:val="bottom"/>
            <w:tcBorders>
              <w:top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w w:val="98"/>
              </w:rPr>
              <w:t>Three months ended December 31</w:t>
            </w:r>
          </w:p>
        </w:tc>
        <w:tc>
          <w:tcPr>
            <w:tcW w:w="740" w:type="dxa"/>
            <w:vAlign w:val="bottom"/>
            <w:tcBorders>
              <w:top w:val="single" w:sz="8" w:color="auto"/>
              <w:bottom w:val="single" w:sz="8" w:color="auto"/>
            </w:tcBorders>
          </w:tcPr>
          <w:p>
            <w:pPr>
              <w:spacing w:after="0"/>
              <w:rPr>
                <w:sz w:val="21"/>
                <w:szCs w:val="21"/>
                <w:color w:val="auto"/>
              </w:rPr>
            </w:pPr>
          </w:p>
        </w:tc>
      </w:tr>
      <w:tr>
        <w:trPr>
          <w:trHeight w:val="237"/>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Change</w:t>
            </w:r>
          </w:p>
        </w:tc>
      </w:tr>
      <w:tr>
        <w:trPr>
          <w:trHeight w:val="243"/>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discontinued operation (net of taxes)</w:t>
            </w: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r>
      <w:tr>
        <w:trPr>
          <w:trHeight w:val="237"/>
        </w:trPr>
        <w:tc>
          <w:tcPr>
            <w:tcW w:w="6420" w:type="dxa"/>
            <w:vAlign w:val="bottom"/>
          </w:tcPr>
          <w:p>
            <w:pPr>
              <w:ind w:left="260"/>
              <w:spacing w:after="0"/>
              <w:rPr>
                <w:sz w:val="20"/>
                <w:szCs w:val="20"/>
                <w:color w:val="auto"/>
              </w:rPr>
            </w:pPr>
            <w:r>
              <w:rPr>
                <w:rFonts w:ascii="Arial" w:cs="Arial" w:eastAsia="Arial" w:hAnsi="Arial"/>
                <w:sz w:val="18"/>
                <w:szCs w:val="18"/>
                <w:color w:val="auto"/>
              </w:rPr>
              <w:t>Performance Adhesives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(1 )</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6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Distribution</w:t>
            </w:r>
          </w:p>
        </w:tc>
        <w:tc>
          <w:tcPr>
            <w:tcW w:w="4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(2 )</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6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-187960</wp:posOffset>
            </wp:positionV>
            <wp:extent cx="10287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71" w:lineRule="exact"/>
        <w:rPr>
          <w:sz w:val="20"/>
          <w:szCs w:val="20"/>
          <w:color w:val="auto"/>
        </w:rPr>
      </w:pPr>
    </w:p>
    <w:p>
      <w:pPr>
        <w:jc w:val="both"/>
        <w:ind w:left="380" w:right="380"/>
        <w:spacing w:after="0" w:line="250" w:lineRule="auto"/>
        <w:rPr>
          <w:sz w:val="20"/>
          <w:szCs w:val="20"/>
          <w:color w:val="auto"/>
        </w:rPr>
      </w:pPr>
      <w:r>
        <w:rPr>
          <w:rFonts w:ascii="Arial" w:cs="Arial" w:eastAsia="Arial" w:hAnsi="Arial"/>
          <w:sz w:val="20"/>
          <w:szCs w:val="20"/>
          <w:color w:val="auto"/>
        </w:rPr>
        <w:t>The activity for Distribution during the current and prior year quarters was related to post-closing adjustments for environmental expenses. The Performance Adhesives segment operations had sales and pre-tax operating income included in discontinued operations of $96 million and $22 million for the prior year quarter.</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Other comprehensive income (loss)</w:t>
      </w:r>
    </w:p>
    <w:p>
      <w:pPr>
        <w:spacing w:after="0" w:line="108" w:lineRule="exact"/>
        <w:rPr>
          <w:sz w:val="20"/>
          <w:szCs w:val="20"/>
          <w:color w:val="auto"/>
        </w:rPr>
      </w:pPr>
    </w:p>
    <w:p>
      <w:pPr>
        <w:jc w:val="both"/>
        <w:ind w:left="380" w:right="380"/>
        <w:spacing w:after="0" w:line="260" w:lineRule="auto"/>
        <w:rPr>
          <w:sz w:val="20"/>
          <w:szCs w:val="20"/>
          <w:color w:val="auto"/>
        </w:rPr>
      </w:pPr>
      <w:r>
        <w:rPr>
          <w:rFonts w:ascii="Arial" w:cs="Arial" w:eastAsia="Arial" w:hAnsi="Arial"/>
          <w:sz w:val="20"/>
          <w:szCs w:val="20"/>
          <w:color w:val="auto"/>
        </w:rPr>
        <w:t>A comparative analysis of the components of other comprehensive income is provided below for the three months ended December 31, 2022 and 2021.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 w:type="dxa"/>
            <w:vAlign w:val="bottom"/>
          </w:tcPr>
          <w:p>
            <w:pPr>
              <w:spacing w:after="0"/>
              <w:rPr>
                <w:sz w:val="21"/>
                <w:szCs w:val="21"/>
                <w:color w:val="auto"/>
              </w:rPr>
            </w:pPr>
          </w:p>
        </w:tc>
        <w:tc>
          <w:tcPr>
            <w:tcW w:w="4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3460" w:type="dxa"/>
            <w:vAlign w:val="bottom"/>
            <w:tcBorders>
              <w:top w:val="single" w:sz="8" w:color="auto"/>
              <w:bottom w:val="single" w:sz="8" w:color="auto"/>
            </w:tcBorders>
            <w:gridSpan w:val="6"/>
          </w:tcPr>
          <w:p>
            <w:pPr>
              <w:jc w:val="right"/>
              <w:ind w:right="320"/>
              <w:spacing w:after="0"/>
              <w:rPr>
                <w:sz w:val="20"/>
                <w:szCs w:val="20"/>
                <w:color w:val="auto"/>
              </w:rPr>
            </w:pPr>
            <w:r>
              <w:rPr>
                <w:rFonts w:ascii="Arial" w:cs="Arial" w:eastAsia="Arial" w:hAnsi="Arial"/>
                <w:sz w:val="18"/>
                <w:szCs w:val="18"/>
                <w:color w:val="auto"/>
              </w:rPr>
              <w:t>Three months ended December 31</w:t>
            </w:r>
          </w:p>
        </w:tc>
        <w:tc>
          <w:tcPr>
            <w:tcW w:w="96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taxes)</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Unrealized translation gain (loss)</w:t>
            </w: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(17 )</w:t>
            </w: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44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Unrealized loss on commodity hedges</w:t>
            </w:r>
          </w:p>
        </w:tc>
        <w:tc>
          <w:tcPr>
            <w:tcW w:w="10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2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(20 )</w:t>
            </w: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60" w:type="dxa"/>
            <w:vAlign w:val="bottom"/>
            <w:vMerge w:val="restart"/>
          </w:tcPr>
          <w:p>
            <w:pPr>
              <w:jc w:val="right"/>
              <w:ind w:right="90"/>
              <w:spacing w:after="0"/>
              <w:rPr>
                <w:sz w:val="20"/>
                <w:szCs w:val="20"/>
                <w:color w:val="auto"/>
              </w:rPr>
            </w:pPr>
            <w:r>
              <w:rPr>
                <w:rFonts w:ascii="Arial" w:cs="Arial" w:eastAsia="Arial" w:hAnsi="Arial"/>
                <w:sz w:val="18"/>
                <w:szCs w:val="18"/>
                <w:color w:val="auto"/>
              </w:rPr>
              <w:t>32</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-616585</wp:posOffset>
            </wp:positionV>
            <wp:extent cx="154305"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4305" cy="1885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-616585</wp:posOffset>
            </wp:positionV>
            <wp:extent cx="145415"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541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2" w:name="page33"/>
    <w:bookmarkEnd w:id="32"/>
    <w:p>
      <w:pPr>
        <w:spacing w:after="0" w:line="260" w:lineRule="auto"/>
        <w:rPr>
          <w:sz w:val="20"/>
          <w:szCs w:val="20"/>
          <w:color w:val="auto"/>
        </w:rPr>
      </w:pPr>
      <w:r>
        <w:rPr>
          <w:rFonts w:ascii="Arial" w:cs="Arial" w:eastAsia="Arial" w:hAnsi="Arial"/>
          <w:sz w:val="20"/>
          <w:szCs w:val="20"/>
          <w:color w:val="auto"/>
        </w:rPr>
        <w:t>Total other comprehensive income (loss), net of tax, for the current quarter increased $98 million compared to the prior year quarter primarily as a result of the following:</w:t>
      </w:r>
    </w:p>
    <w:p>
      <w:pPr>
        <w:spacing w:after="0" w:line="69" w:lineRule="exact"/>
        <w:rPr>
          <w:sz w:val="20"/>
          <w:szCs w:val="20"/>
          <w:color w:val="auto"/>
        </w:rPr>
      </w:pPr>
    </w:p>
    <w:p>
      <w:pPr>
        <w:jc w:val="both"/>
        <w:ind w:left="740" w:hanging="363"/>
        <w:spacing w:after="0" w:line="246" w:lineRule="auto"/>
        <w:tabs>
          <w:tab w:leader="none" w:pos="7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For the three months ended December 31, 2022, the change in unrealized gain (loss) from foreign currency translation adjustments resulted in a gain of $82 million compared to a loss of $17 million for the three months ended December 31, 2021. The fluctuations in unrealized translation gains and losses are primarily due to translating foreign subsidiary financial statements from local currencies to U.S. Dollars.</w:t>
      </w:r>
    </w:p>
    <w:p>
      <w:pPr>
        <w:spacing w:after="0" w:line="83" w:lineRule="exact"/>
        <w:rPr>
          <w:rFonts w:ascii="Arial" w:cs="Arial" w:eastAsia="Arial" w:hAnsi="Arial"/>
          <w:sz w:val="20"/>
          <w:szCs w:val="20"/>
          <w:color w:val="auto"/>
        </w:rPr>
      </w:pPr>
    </w:p>
    <w:p>
      <w:pPr>
        <w:jc w:val="both"/>
        <w:ind w:left="740" w:hanging="363"/>
        <w:spacing w:after="0" w:line="250" w:lineRule="auto"/>
        <w:tabs>
          <w:tab w:leader="none" w:pos="7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For the three months ended December 31, 2022 and 2021, the change in commodity hedges is primarily due to the fluctuations of the market prices of the underlying commodities. Commodity hedges resulted in unrealized losses of $4 million and $3 million for the three months ended December 31, 2022 and 2021.</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non-GAAP measures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8" w:lineRule="exact"/>
        <w:rPr>
          <w:sz w:val="20"/>
          <w:szCs w:val="20"/>
          <w:color w:val="auto"/>
        </w:rPr>
      </w:pPr>
    </w:p>
    <w:p>
      <w:pPr>
        <w:ind w:left="360" w:hanging="358"/>
        <w:spacing w:after="0" w:line="260" w:lineRule="auto"/>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EBITDA – net income (loss), plus income tax expense (benefit), net interest and other expenses, and depreciation and amortization.</w:t>
      </w:r>
    </w:p>
    <w:p>
      <w:pPr>
        <w:spacing w:after="0" w:line="68" w:lineRule="exact"/>
        <w:rPr>
          <w:rFonts w:ascii="Arial" w:cs="Arial" w:eastAsia="Arial" w:hAnsi="Arial"/>
          <w:sz w:val="20"/>
          <w:szCs w:val="20"/>
          <w:color w:val="auto"/>
        </w:rPr>
      </w:pPr>
    </w:p>
    <w:p>
      <w:pPr>
        <w:jc w:val="both"/>
        <w:ind w:left="360" w:hanging="358"/>
        <w:spacing w:after="0" w:line="250" w:lineRule="auto"/>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Adjusted EBITDA – EBITDA adjusted for noncontrolling interests, discontinued operations, net income (loss) on acquisitions and divestitures, other income and (expense) and key items (including remeasurement gains and losses related to pension and other postretirement plans).</w:t>
      </w:r>
    </w:p>
    <w:p>
      <w:pPr>
        <w:spacing w:after="0" w:line="77" w:lineRule="exact"/>
        <w:rPr>
          <w:rFonts w:ascii="Arial" w:cs="Arial" w:eastAsia="Arial" w:hAnsi="Arial"/>
          <w:sz w:val="20"/>
          <w:szCs w:val="20"/>
          <w:color w:val="auto"/>
        </w:rPr>
      </w:pPr>
    </w:p>
    <w:p>
      <w:pPr>
        <w:ind w:left="360" w:hanging="358"/>
        <w:spacing w:after="0"/>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Adjusted EBITDA margin – Adjusted EBITDA divided by sales.</w:t>
      </w:r>
    </w:p>
    <w:p>
      <w:pPr>
        <w:spacing w:after="0" w:line="107" w:lineRule="exact"/>
        <w:rPr>
          <w:rFonts w:ascii="Arial" w:cs="Arial" w:eastAsia="Arial" w:hAnsi="Arial"/>
          <w:sz w:val="20"/>
          <w:szCs w:val="20"/>
          <w:color w:val="auto"/>
        </w:rPr>
      </w:pPr>
    </w:p>
    <w:p>
      <w:pPr>
        <w:ind w:left="360" w:hanging="358"/>
        <w:spacing w:after="0" w:line="260" w:lineRule="auto"/>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Adjusted diluted earnings per share (EPS) – income (loss) from continuing operations, adjusted for key items, net of tax, divided by the average outstanding diluted shares for the applicable period.</w:t>
      </w:r>
    </w:p>
    <w:p>
      <w:pPr>
        <w:spacing w:after="0" w:line="68" w:lineRule="exact"/>
        <w:rPr>
          <w:rFonts w:ascii="Arial" w:cs="Arial" w:eastAsia="Arial" w:hAnsi="Arial"/>
          <w:sz w:val="20"/>
          <w:szCs w:val="20"/>
          <w:color w:val="auto"/>
        </w:rPr>
      </w:pPr>
    </w:p>
    <w:p>
      <w:pPr>
        <w:ind w:left="360" w:hanging="358"/>
        <w:spacing w:after="0" w:line="316"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diluted earnings per share (EPS) excluding intangibles amortization expense – Adjusted earnings per share adjusted for intangibles amortization expense net of tax, divided by the average outstanding diluted shares for the applicable period.</w:t>
      </w:r>
    </w:p>
    <w:p>
      <w:pPr>
        <w:spacing w:after="0" w:line="21" w:lineRule="exact"/>
        <w:rPr>
          <w:rFonts w:ascii="Arial" w:cs="Arial" w:eastAsia="Arial" w:hAnsi="Arial"/>
          <w:sz w:val="18"/>
          <w:szCs w:val="18"/>
          <w:color w:val="auto"/>
        </w:rPr>
      </w:pPr>
    </w:p>
    <w:p>
      <w:pPr>
        <w:ind w:left="360" w:hanging="358"/>
        <w:spacing w:after="0"/>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Free cash flow – operating cash flows less capital expenditures.</w:t>
      </w:r>
    </w:p>
    <w:p>
      <w:pPr>
        <w:spacing w:after="0" w:line="107" w:lineRule="exact"/>
        <w:rPr>
          <w:rFonts w:ascii="Arial" w:cs="Arial" w:eastAsia="Arial" w:hAnsi="Arial"/>
          <w:sz w:val="20"/>
          <w:szCs w:val="20"/>
          <w:color w:val="auto"/>
        </w:rPr>
      </w:pPr>
    </w:p>
    <w:p>
      <w:pPr>
        <w:ind w:left="360" w:hanging="358"/>
        <w:spacing w:after="0"/>
        <w:tabs>
          <w:tab w:leader="none" w:pos="3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Ongoing free cash flow – operating cash flows less capital expenditures and certain other adjustments as applicable.</w:t>
      </w:r>
    </w:p>
    <w:p>
      <w:pPr>
        <w:spacing w:after="0" w:line="119" w:lineRule="exact"/>
        <w:rPr>
          <w:rFonts w:ascii="Arial" w:cs="Arial" w:eastAsia="Arial" w:hAnsi="Arial"/>
          <w:sz w:val="19"/>
          <w:szCs w:val="19"/>
          <w:color w:val="auto"/>
        </w:rPr>
      </w:pPr>
    </w:p>
    <w:p>
      <w:pPr>
        <w:ind w:left="360" w:hanging="358"/>
        <w:spacing w:after="0"/>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Ongoing free cash flow conversion – ongoing free cash flow divided by adjusted EBITDA.</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Adjusted diluted EPS, excluding intangibles amortization expense metric enables Ashland to demonstrate the impact of non-cash intangibles amortization expense on EPS, in addition to the key items previously mentioned.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33" w:name="page34"/>
    <w:bookmarkEnd w:id="33"/>
    <w:p>
      <w:pPr>
        <w:ind w:left="380"/>
        <w:spacing w:after="0"/>
        <w:rPr>
          <w:sz w:val="20"/>
          <w:szCs w:val="20"/>
          <w:color w:val="auto"/>
        </w:rPr>
      </w:pPr>
      <w:r>
        <w:rPr>
          <w:rFonts w:ascii="Arial" w:cs="Arial" w:eastAsia="Arial" w:hAnsi="Arial"/>
          <w:sz w:val="18"/>
          <w:szCs w:val="18"/>
          <w:color w:val="auto"/>
        </w:rPr>
        <w:t>Ashland’s management believes this presentation is helpful to illustrate how previous acquisitions impact applicable period results.</w:t>
      </w:r>
    </w:p>
    <w:p>
      <w:pPr>
        <w:spacing w:after="0" w:line="131" w:lineRule="exact"/>
        <w:rPr>
          <w:sz w:val="20"/>
          <w:szCs w:val="20"/>
          <w:color w:val="auto"/>
        </w:rPr>
      </w:pPr>
    </w:p>
    <w:p>
      <w:pPr>
        <w:jc w:val="both"/>
        <w:ind w:left="380" w:right="380"/>
        <w:spacing w:after="0" w:line="276" w:lineRule="auto"/>
        <w:rPr>
          <w:sz w:val="20"/>
          <w:szCs w:val="20"/>
          <w:color w:val="auto"/>
        </w:rPr>
      </w:pPr>
      <w:r>
        <w:rPr>
          <w:rFonts w:ascii="Arial" w:cs="Arial" w:eastAsia="Arial" w:hAnsi="Arial"/>
          <w:sz w:val="18"/>
          <w:szCs w:val="18"/>
          <w:color w:val="auto"/>
        </w:rPr>
        <w:t>The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includes the impact of capital expenditures from continuing operations and other significant items impacting cash flow, providing a more complete picture of current and future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57" w:lineRule="exact"/>
        <w:rPr>
          <w:sz w:val="20"/>
          <w:szCs w:val="20"/>
          <w:color w:val="auto"/>
        </w:rPr>
      </w:pPr>
    </w:p>
    <w:p>
      <w:pPr>
        <w:jc w:val="both"/>
        <w:ind w:left="380" w:right="380"/>
        <w:spacing w:after="0" w:line="274" w:lineRule="auto"/>
        <w:rPr>
          <w:sz w:val="20"/>
          <w:szCs w:val="20"/>
          <w:color w:val="auto"/>
        </w:rPr>
      </w:pPr>
      <w:r>
        <w:rPr>
          <w:rFonts w:ascii="Arial" w:cs="Arial" w:eastAsia="Arial" w:hAnsi="Arial"/>
          <w:sz w:val="18"/>
          <w:szCs w:val="18"/>
          <w:color w:val="auto"/>
        </w:rPr>
        <w:t>Although Ashland may provide forward-looking guidance for Adjusted EBITDA, Adjusted diluted EPS and ongoing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60" w:lineRule="exact"/>
        <w:rPr>
          <w:sz w:val="20"/>
          <w:szCs w:val="20"/>
          <w:color w:val="auto"/>
        </w:rPr>
      </w:pPr>
    </w:p>
    <w:p>
      <w:pPr>
        <w:jc w:val="both"/>
        <w:ind w:left="380" w:right="380"/>
        <w:spacing w:after="0" w:line="273" w:lineRule="auto"/>
        <w:rPr>
          <w:sz w:val="20"/>
          <w:szCs w:val="20"/>
          <w:color w:val="auto"/>
        </w:rPr>
      </w:pPr>
      <w:r>
        <w:rPr>
          <w:rFonts w:ascii="Arial" w:cs="Arial" w:eastAsia="Arial" w:hAnsi="Arial"/>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2022 Credit Agreement are based on similar non-GAAP measures and are defined further in the sections that reference this metric.</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EBITDA and Adjusted EBITDA</w:t>
      </w:r>
    </w:p>
    <w:p>
      <w:pPr>
        <w:spacing w:after="0" w:line="108" w:lineRule="exact"/>
        <w:rPr>
          <w:sz w:val="20"/>
          <w:szCs w:val="20"/>
          <w:color w:val="auto"/>
        </w:rPr>
      </w:pPr>
    </w:p>
    <w:p>
      <w:pPr>
        <w:jc w:val="both"/>
        <w:ind w:left="380" w:right="380"/>
        <w:spacing w:after="0" w:line="244" w:lineRule="auto"/>
        <w:rPr>
          <w:sz w:val="20"/>
          <w:szCs w:val="20"/>
          <w:color w:val="auto"/>
        </w:rPr>
      </w:pPr>
      <w:r>
        <w:rPr>
          <w:rFonts w:ascii="Arial" w:cs="Arial" w:eastAsia="Arial" w:hAnsi="Arial"/>
          <w:sz w:val="20"/>
          <w:szCs w:val="20"/>
          <w:color w:val="auto"/>
        </w:rPr>
        <w:t>EBITDA totaled income of $93 million and $118 million for the three months ended December 31, 2022 and 2021,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20" w:type="dxa"/>
            <w:vAlign w:val="bottom"/>
          </w:tcPr>
          <w:p>
            <w:pPr>
              <w:spacing w:after="0"/>
              <w:rPr>
                <w:sz w:val="21"/>
                <w:szCs w:val="21"/>
                <w:color w:val="auto"/>
              </w:rPr>
            </w:pPr>
          </w:p>
        </w:tc>
        <w:tc>
          <w:tcPr>
            <w:tcW w:w="4660" w:type="dxa"/>
            <w:vAlign w:val="bottom"/>
            <w:tcBorders>
              <w:top w:val="single" w:sz="8" w:color="auto"/>
            </w:tcBorders>
          </w:tcPr>
          <w:p>
            <w:pPr>
              <w:spacing w:after="0"/>
              <w:rPr>
                <w:sz w:val="21"/>
                <w:szCs w:val="21"/>
                <w:color w:val="auto"/>
              </w:rPr>
            </w:pPr>
          </w:p>
        </w:tc>
        <w:tc>
          <w:tcPr>
            <w:tcW w:w="33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49"/>
        </w:trPr>
        <w:tc>
          <w:tcPr>
            <w:tcW w:w="4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December 31</w:t>
            </w:r>
          </w:p>
        </w:tc>
        <w:tc>
          <w:tcPr>
            <w:tcW w:w="50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37"/>
        </w:trPr>
        <w:tc>
          <w:tcPr>
            <w:tcW w:w="420" w:type="dxa"/>
            <w:vAlign w:val="bottom"/>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2021</w:t>
            </w:r>
          </w:p>
        </w:tc>
        <w:tc>
          <w:tcPr>
            <w:tcW w:w="400" w:type="dxa"/>
            <w:vAlign w:val="bottom"/>
          </w:tcPr>
          <w:p>
            <w:pPr>
              <w:spacing w:after="0"/>
              <w:rPr>
                <w:sz w:val="20"/>
                <w:szCs w:val="20"/>
                <w:color w:val="auto"/>
              </w:rPr>
            </w:pPr>
          </w:p>
        </w:tc>
      </w:tr>
      <w:tr>
        <w:trPr>
          <w:trHeight w:val="237"/>
        </w:trPr>
        <w:tc>
          <w:tcPr>
            <w:tcW w:w="4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w:t>
            </w:r>
          </w:p>
        </w:tc>
        <w:tc>
          <w:tcPr>
            <w:tcW w:w="3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8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0"/>
                <w:szCs w:val="20"/>
                <w:color w:val="auto"/>
              </w:rPr>
            </w:pPr>
          </w:p>
        </w:tc>
      </w:tr>
      <w:tr>
        <w:trPr>
          <w:trHeight w:val="249"/>
        </w:trPr>
        <w:tc>
          <w:tcPr>
            <w:tcW w:w="420" w:type="dxa"/>
            <w:vAlign w:val="bottom"/>
          </w:tcPr>
          <w:p>
            <w:pPr>
              <w:spacing w:after="0"/>
              <w:rPr>
                <w:sz w:val="21"/>
                <w:szCs w:val="21"/>
                <w:color w:val="auto"/>
              </w:rPr>
            </w:pPr>
          </w:p>
        </w:tc>
        <w:tc>
          <w:tcPr>
            <w:tcW w:w="4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tax expense</w:t>
            </w:r>
          </w:p>
        </w:tc>
        <w:tc>
          <w:tcPr>
            <w:tcW w:w="3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1"/>
                <w:szCs w:val="21"/>
                <w:color w:val="auto"/>
              </w:rPr>
            </w:pPr>
          </w:p>
        </w:tc>
      </w:tr>
      <w:tr>
        <w:trPr>
          <w:trHeight w:val="237"/>
        </w:trPr>
        <w:tc>
          <w:tcPr>
            <w:tcW w:w="420" w:type="dxa"/>
            <w:vAlign w:val="bottom"/>
          </w:tcPr>
          <w:p>
            <w:pPr>
              <w:spacing w:after="0"/>
              <w:rPr>
                <w:sz w:val="20"/>
                <w:szCs w:val="20"/>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Net interest and other expense (income)</w:t>
            </w: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(14 )</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0"/>
                <w:szCs w:val="20"/>
                <w:color w:val="auto"/>
              </w:rPr>
            </w:pPr>
          </w:p>
        </w:tc>
      </w:tr>
      <w:tr>
        <w:trPr>
          <w:trHeight w:val="249"/>
        </w:trPr>
        <w:tc>
          <w:tcPr>
            <w:tcW w:w="420" w:type="dxa"/>
            <w:vAlign w:val="bottom"/>
          </w:tcPr>
          <w:p>
            <w:pPr>
              <w:spacing w:after="0"/>
              <w:rPr>
                <w:sz w:val="21"/>
                <w:szCs w:val="21"/>
                <w:color w:val="auto"/>
              </w:rPr>
            </w:pPr>
          </w:p>
        </w:tc>
        <w:tc>
          <w:tcPr>
            <w:tcW w:w="46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Depreciation and amortization</w:t>
            </w:r>
          </w:p>
        </w:tc>
        <w:tc>
          <w:tcPr>
            <w:tcW w:w="3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EBITDA</w:t>
            </w: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20"/>
                <w:szCs w:val="20"/>
                <w:color w:val="auto"/>
              </w:rPr>
            </w:pPr>
          </w:p>
        </w:tc>
      </w:tr>
      <w:tr>
        <w:trPr>
          <w:trHeight w:val="249"/>
        </w:trPr>
        <w:tc>
          <w:tcPr>
            <w:tcW w:w="420" w:type="dxa"/>
            <w:vAlign w:val="bottom"/>
          </w:tcPr>
          <w:p>
            <w:pPr>
              <w:spacing w:after="0"/>
              <w:rPr>
                <w:sz w:val="21"/>
                <w:szCs w:val="21"/>
                <w:color w:val="auto"/>
              </w:rPr>
            </w:pPr>
          </w:p>
        </w:tc>
        <w:tc>
          <w:tcPr>
            <w:tcW w:w="4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Loss (income) from discontinued operations (net of tax)</w:t>
            </w:r>
          </w:p>
        </w:tc>
        <w:tc>
          <w:tcPr>
            <w:tcW w:w="3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400" w:type="dxa"/>
            <w:vAlign w:val="bottom"/>
          </w:tcPr>
          <w:p>
            <w:pPr>
              <w:spacing w:after="0"/>
              <w:rPr>
                <w:sz w:val="21"/>
                <w:szCs w:val="21"/>
                <w:color w:val="auto"/>
              </w:rPr>
            </w:pPr>
          </w:p>
        </w:tc>
      </w:tr>
      <w:tr>
        <w:trPr>
          <w:trHeight w:val="237"/>
        </w:trPr>
        <w:tc>
          <w:tcPr>
            <w:tcW w:w="420" w:type="dxa"/>
            <w:vAlign w:val="bottom"/>
          </w:tcPr>
          <w:p>
            <w:pPr>
              <w:spacing w:after="0"/>
              <w:rPr>
                <w:sz w:val="20"/>
                <w:szCs w:val="20"/>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Key items included in EBITDA:</w:t>
            </w: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49"/>
        </w:trPr>
        <w:tc>
          <w:tcPr>
            <w:tcW w:w="420" w:type="dxa"/>
            <w:vAlign w:val="bottom"/>
          </w:tcPr>
          <w:p>
            <w:pPr>
              <w:spacing w:after="0"/>
              <w:rPr>
                <w:sz w:val="21"/>
                <w:szCs w:val="21"/>
                <w:color w:val="auto"/>
              </w:rPr>
            </w:pPr>
          </w:p>
        </w:tc>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separation and other costs</w:t>
            </w:r>
          </w:p>
        </w:tc>
        <w:tc>
          <w:tcPr>
            <w:tcW w:w="3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r>
      <w:tr>
        <w:trPr>
          <w:trHeight w:val="237"/>
        </w:trPr>
        <w:tc>
          <w:tcPr>
            <w:tcW w:w="420" w:type="dxa"/>
            <w:vAlign w:val="bottom"/>
          </w:tcPr>
          <w:p>
            <w:pPr>
              <w:spacing w:after="0"/>
              <w:rPr>
                <w:sz w:val="20"/>
                <w:szCs w:val="20"/>
                <w:color w:val="auto"/>
              </w:rPr>
            </w:pPr>
          </w:p>
        </w:tc>
        <w:tc>
          <w:tcPr>
            <w:tcW w:w="4660" w:type="dxa"/>
            <w:vAlign w:val="bottom"/>
          </w:tcPr>
          <w:p>
            <w:pPr>
              <w:ind w:left="260"/>
              <w:spacing w:after="0"/>
              <w:rPr>
                <w:sz w:val="20"/>
                <w:szCs w:val="20"/>
                <w:color w:val="auto"/>
              </w:rPr>
            </w:pPr>
            <w:r>
              <w:rPr>
                <w:rFonts w:ascii="Arial" w:cs="Arial" w:eastAsia="Arial" w:hAnsi="Arial"/>
                <w:sz w:val="18"/>
                <w:szCs w:val="18"/>
                <w:color w:val="auto"/>
              </w:rPr>
              <w:t>Environmental reserve adjustments</w:t>
            </w: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0"/>
                <w:szCs w:val="20"/>
                <w:color w:val="auto"/>
              </w:rPr>
            </w:pPr>
          </w:p>
        </w:tc>
      </w:tr>
      <w:tr>
        <w:trPr>
          <w:trHeight w:val="249"/>
        </w:trPr>
        <w:tc>
          <w:tcPr>
            <w:tcW w:w="420" w:type="dxa"/>
            <w:vAlign w:val="bottom"/>
          </w:tcPr>
          <w:p>
            <w:pPr>
              <w:spacing w:after="0"/>
              <w:rPr>
                <w:sz w:val="21"/>
                <w:szCs w:val="21"/>
                <w:color w:val="auto"/>
              </w:rPr>
            </w:pPr>
          </w:p>
        </w:tc>
        <w:tc>
          <w:tcPr>
            <w:tcW w:w="4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Asset impairments</w:t>
            </w:r>
          </w:p>
        </w:tc>
        <w:tc>
          <w:tcPr>
            <w:tcW w:w="3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r>
      <w:tr>
        <w:trPr>
          <w:trHeight w:val="236"/>
        </w:trPr>
        <w:tc>
          <w:tcPr>
            <w:tcW w:w="420" w:type="dxa"/>
            <w:vAlign w:val="bottom"/>
          </w:tcPr>
          <w:p>
            <w:pPr>
              <w:spacing w:after="0"/>
              <w:rPr>
                <w:sz w:val="20"/>
                <w:szCs w:val="20"/>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Total key items included in EBITDA</w:t>
            </w:r>
          </w:p>
        </w:tc>
        <w:tc>
          <w:tcPr>
            <w:tcW w:w="3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0"/>
                <w:szCs w:val="20"/>
                <w:color w:val="auto"/>
              </w:rPr>
            </w:pPr>
          </w:p>
        </w:tc>
      </w:tr>
      <w:tr>
        <w:trPr>
          <w:trHeight w:val="277"/>
        </w:trPr>
        <w:tc>
          <w:tcPr>
            <w:tcW w:w="420" w:type="dxa"/>
            <w:vAlign w:val="bottom"/>
          </w:tcPr>
          <w:p>
            <w:pPr>
              <w:spacing w:after="0"/>
              <w:rPr>
                <w:sz w:val="24"/>
                <w:szCs w:val="24"/>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3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360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420" w:type="dxa"/>
            <w:vAlign w:val="bottom"/>
          </w:tcPr>
          <w:p>
            <w:pPr>
              <w:spacing w:after="0"/>
              <w:rPr>
                <w:sz w:val="21"/>
                <w:szCs w:val="21"/>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Total key items included in EBITDA</w:t>
            </w:r>
          </w:p>
        </w:tc>
        <w:tc>
          <w:tcPr>
            <w:tcW w:w="36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80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1"/>
                <w:szCs w:val="21"/>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Unrealized gain on securities</w:t>
            </w:r>
          </w:p>
        </w:tc>
        <w:tc>
          <w:tcPr>
            <w:tcW w:w="33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2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400" w:type="dxa"/>
            <w:vAlign w:val="bottom"/>
          </w:tcPr>
          <w:p>
            <w:pPr>
              <w:spacing w:after="0"/>
              <w:rPr>
                <w:sz w:val="21"/>
                <w:szCs w:val="21"/>
                <w:color w:val="auto"/>
              </w:rPr>
            </w:pPr>
          </w:p>
        </w:tc>
      </w:tr>
      <w:tr>
        <w:trPr>
          <w:trHeight w:val="276"/>
        </w:trPr>
        <w:tc>
          <w:tcPr>
            <w:tcW w:w="420" w:type="dxa"/>
            <w:vAlign w:val="bottom"/>
          </w:tcPr>
          <w:p>
            <w:pPr>
              <w:spacing w:after="0"/>
              <w:rPr>
                <w:sz w:val="24"/>
                <w:szCs w:val="24"/>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key items, before tax</w:t>
            </w:r>
          </w:p>
        </w:tc>
        <w:tc>
          <w:tcPr>
            <w:tcW w:w="33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2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r>
      <w:tr>
        <w:trPr>
          <w:trHeight w:val="520"/>
        </w:trPr>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340" w:type="dxa"/>
            <w:vAlign w:val="bottom"/>
          </w:tcPr>
          <w:p>
            <w:pPr>
              <w:jc w:val="right"/>
              <w:ind w:right="261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-2365375</wp:posOffset>
            </wp:positionV>
            <wp:extent cx="137160"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-1430655</wp:posOffset>
            </wp:positionV>
            <wp:extent cx="13716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-1104900</wp:posOffset>
            </wp:positionV>
            <wp:extent cx="137160"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-453390</wp:posOffset>
            </wp:positionV>
            <wp:extent cx="1371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-436245</wp:posOffset>
            </wp:positionV>
            <wp:extent cx="137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4" w:name="page35"/>
    <w:bookmarkEnd w:id="34"/>
    <w:p>
      <w:pPr>
        <w:ind w:left="380"/>
        <w:spacing w:after="0"/>
        <w:rPr>
          <w:sz w:val="20"/>
          <w:szCs w:val="20"/>
          <w:color w:val="auto"/>
        </w:rPr>
      </w:pPr>
      <w:r>
        <w:rPr>
          <w:rFonts w:ascii="Arial" w:cs="Arial" w:eastAsia="Arial" w:hAnsi="Arial"/>
          <w:sz w:val="20"/>
          <w:szCs w:val="20"/>
          <w:i w:val="1"/>
          <w:iCs w:val="1"/>
          <w:color w:val="auto"/>
        </w:rPr>
        <w:t>Diluted EPS and Adjusted Diluted EPS</w:t>
      </w:r>
    </w:p>
    <w:p>
      <w:pPr>
        <w:spacing w:after="0" w:line="108" w:lineRule="exact"/>
        <w:rPr>
          <w:sz w:val="20"/>
          <w:szCs w:val="20"/>
          <w:color w:val="auto"/>
        </w:rPr>
      </w:pPr>
    </w:p>
    <w:p>
      <w:pPr>
        <w:jc w:val="both"/>
        <w:ind w:left="380"/>
        <w:spacing w:after="0" w:line="273" w:lineRule="auto"/>
        <w:rPr>
          <w:sz w:val="20"/>
          <w:szCs w:val="20"/>
          <w:color w:val="auto"/>
        </w:rPr>
      </w:pPr>
      <w:r>
        <w:rPr>
          <w:rFonts w:ascii="Arial" w:cs="Arial" w:eastAsia="Arial" w:hAnsi="Arial"/>
          <w:sz w:val="18"/>
          <w:szCs w:val="18"/>
          <w:color w:val="auto"/>
        </w:rPr>
        <w:t>The following table reflects the U.S. GAAP calculation for the income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71"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80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00" w:type="dxa"/>
            <w:vAlign w:val="bottom"/>
            <w:tcBorders>
              <w:top w:val="single" w:sz="8" w:color="auto"/>
            </w:tcBorders>
          </w:tcPr>
          <w:p>
            <w:pPr>
              <w:spacing w:after="0"/>
              <w:rPr>
                <w:sz w:val="21"/>
                <w:szCs w:val="21"/>
                <w:color w:val="auto"/>
              </w:rPr>
            </w:pPr>
          </w:p>
        </w:tc>
      </w:tr>
      <w:tr>
        <w:trPr>
          <w:trHeight w:val="249"/>
        </w:trPr>
        <w:tc>
          <w:tcPr>
            <w:tcW w:w="8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December 31</w:t>
            </w:r>
          </w:p>
        </w:tc>
        <w:tc>
          <w:tcPr>
            <w:tcW w:w="500" w:type="dxa"/>
            <w:vAlign w:val="bottom"/>
            <w:tcBorders>
              <w:bottom w:val="single" w:sz="8" w:color="auto"/>
            </w:tcBorders>
          </w:tcPr>
          <w:p>
            <w:pPr>
              <w:spacing w:after="0"/>
              <w:rPr>
                <w:sz w:val="21"/>
                <w:szCs w:val="21"/>
                <w:color w:val="auto"/>
              </w:rPr>
            </w:pPr>
          </w:p>
        </w:tc>
      </w:tr>
      <w:tr>
        <w:trPr>
          <w:trHeight w:val="237"/>
        </w:trPr>
        <w:tc>
          <w:tcPr>
            <w:tcW w:w="8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2021</w:t>
            </w:r>
          </w:p>
        </w:tc>
      </w:tr>
      <w:tr>
        <w:trPr>
          <w:trHeight w:val="236"/>
        </w:trPr>
        <w:tc>
          <w:tcPr>
            <w:tcW w:w="8000" w:type="dxa"/>
            <w:vAlign w:val="bottom"/>
          </w:tcPr>
          <w:p>
            <w:pPr>
              <w:spacing w:after="0"/>
              <w:rPr>
                <w:sz w:val="20"/>
                <w:szCs w:val="20"/>
                <w:color w:val="auto"/>
              </w:rPr>
            </w:pPr>
            <w:r>
              <w:rPr>
                <w:rFonts w:ascii="Arial" w:cs="Arial" w:eastAsia="Arial" w:hAnsi="Arial"/>
                <w:sz w:val="18"/>
                <w:szCs w:val="18"/>
                <w:color w:val="auto"/>
              </w:rPr>
              <w:t>Diluted EPS from continuing operations (as reported)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0.76</w:t>
            </w:r>
          </w:p>
        </w:tc>
        <w:tc>
          <w:tcPr>
            <w:tcW w:w="8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0.55</w:t>
            </w:r>
          </w:p>
        </w:tc>
      </w:tr>
      <w:tr>
        <w:trPr>
          <w:trHeight w:val="249"/>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Key items, before tax:</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r>
      <w:tr>
        <w:trPr>
          <w:trHeight w:val="237"/>
        </w:trPr>
        <w:tc>
          <w:tcPr>
            <w:tcW w:w="8000" w:type="dxa"/>
            <w:vAlign w:val="bottom"/>
          </w:tcPr>
          <w:p>
            <w:pPr>
              <w:ind w:left="180"/>
              <w:spacing w:after="0"/>
              <w:rPr>
                <w:sz w:val="20"/>
                <w:szCs w:val="20"/>
                <w:color w:val="auto"/>
              </w:rPr>
            </w:pPr>
            <w:r>
              <w:rPr>
                <w:rFonts w:ascii="Arial" w:cs="Arial" w:eastAsia="Arial" w:hAnsi="Arial"/>
                <w:sz w:val="18"/>
                <w:szCs w:val="18"/>
                <w:color w:val="auto"/>
              </w:rPr>
              <w:t>Restructuring, separation and other costs</w:t>
            </w: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49"/>
        </w:trPr>
        <w:tc>
          <w:tcPr>
            <w:tcW w:w="8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Environmental reserve adjustments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0.05</w:t>
            </w:r>
          </w:p>
        </w:tc>
      </w:tr>
      <w:tr>
        <w:trPr>
          <w:trHeight w:val="237"/>
        </w:trPr>
        <w:tc>
          <w:tcPr>
            <w:tcW w:w="800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9"/>
        </w:trPr>
        <w:tc>
          <w:tcPr>
            <w:tcW w:w="80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Unrealized gain on securities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(0.38 )</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(0.07 )</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Key items, before tax</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(0.15 )</w:t>
            </w:r>
          </w:p>
        </w:tc>
        <w:tc>
          <w:tcPr>
            <w:tcW w:w="2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Key items, after tax</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(0.12 )</w:t>
            </w:r>
          </w:p>
        </w:tc>
        <w:tc>
          <w:tcPr>
            <w:tcW w:w="2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diluted EPS from continuing operations (non-GAAP)</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0.64</w:t>
            </w:r>
          </w:p>
        </w:tc>
        <w:tc>
          <w:tcPr>
            <w:tcW w:w="2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0.55</w:t>
            </w:r>
          </w:p>
        </w:tc>
      </w:tr>
      <w:tr>
        <w:trPr>
          <w:trHeight w:val="217"/>
        </w:trPr>
        <w:tc>
          <w:tcPr>
            <w:tcW w:w="8000" w:type="dxa"/>
            <w:vAlign w:val="bottom"/>
          </w:tcPr>
          <w:p>
            <w:pPr>
              <w:spacing w:after="0"/>
              <w:rPr>
                <w:sz w:val="20"/>
                <w:szCs w:val="20"/>
                <w:color w:val="auto"/>
              </w:rPr>
            </w:pPr>
            <w:r>
              <w:rPr>
                <w:rFonts w:ascii="Arial" w:cs="Arial" w:eastAsia="Arial" w:hAnsi="Arial"/>
                <w:sz w:val="18"/>
                <w:szCs w:val="18"/>
                <w:color w:val="auto"/>
              </w:rPr>
              <w:t>Amortization expense adjustment (net of tax) (b)</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8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0.33</w:t>
            </w:r>
          </w:p>
        </w:tc>
      </w:tr>
      <w:tr>
        <w:trPr>
          <w:trHeight w:val="276"/>
        </w:trPr>
        <w:tc>
          <w:tcPr>
            <w:tcW w:w="8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Adjusted diluted EPS from continuing operations (non-GAAP) excluding intangibles amortization expense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0.97</w:t>
            </w:r>
          </w:p>
        </w:tc>
        <w:tc>
          <w:tcPr>
            <w:tcW w:w="2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0.88</w:t>
            </w:r>
          </w:p>
        </w:tc>
      </w:tr>
      <w:tr>
        <w:trPr>
          <w:trHeight w:val="135"/>
        </w:trPr>
        <w:tc>
          <w:tcPr>
            <w:tcW w:w="80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-471170</wp:posOffset>
            </wp:positionV>
            <wp:extent cx="13716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-128270</wp:posOffset>
            </wp:positionV>
            <wp:extent cx="13716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pacing w:after="0" w:line="69" w:lineRule="exact"/>
        <w:rPr>
          <w:sz w:val="20"/>
          <w:szCs w:val="20"/>
          <w:color w:val="auto"/>
        </w:rPr>
      </w:pPr>
    </w:p>
    <w:p>
      <w:pPr>
        <w:ind w:left="740" w:hanging="358"/>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identified above.</w:t>
      </w:r>
    </w:p>
    <w:p>
      <w:pPr>
        <w:spacing w:after="0" w:line="28" w:lineRule="exact"/>
        <w:rPr>
          <w:rFonts w:ascii="Arial" w:cs="Arial" w:eastAsia="Arial" w:hAnsi="Arial"/>
          <w:sz w:val="14"/>
          <w:szCs w:val="14"/>
          <w:color w:val="auto"/>
        </w:rPr>
      </w:pPr>
    </w:p>
    <w:p>
      <w:pPr>
        <w:ind w:left="740" w:hanging="358"/>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Amortization expense adjustment (net of tax) tax rates were 20% for the three months ended December 31, 2022 and 2021,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REPORTABLE SEGMENT REVIEW</w:t>
      </w:r>
    </w:p>
    <w:p>
      <w:pPr>
        <w:spacing w:after="0" w:line="11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Ashland’s reportable segments include Life Sciences, Personal Care, Specialty Additives, and Intermediates. Unallocated and Other includes corporate governance activities and certain legacy matters.</w:t>
      </w:r>
    </w:p>
    <w:p>
      <w:pPr>
        <w:spacing w:after="0" w:line="69" w:lineRule="exact"/>
        <w:rPr>
          <w:sz w:val="20"/>
          <w:szCs w:val="20"/>
          <w:color w:val="auto"/>
        </w:rPr>
      </w:pPr>
    </w:p>
    <w:p>
      <w:pPr>
        <w:jc w:val="both"/>
        <w:ind w:left="380"/>
        <w:spacing w:after="0" w:line="273"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loss caption on the Statements of Consolidated Comprehensive Income (Loss). Ashland refines its expense allocation methodologies to the reportable segments from time to time as</w:t>
      </w:r>
    </w:p>
    <w:p>
      <w:pPr>
        <w:spacing w:after="0" w:line="6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7" w:right="719" w:bottom="1440" w:gutter="0" w:footer="0" w:header="0"/>
        </w:sectPr>
      </w:pPr>
    </w:p>
    <w:bookmarkStart w:id="35" w:name="page36"/>
    <w:bookmarkEnd w:id="35"/>
    <w:p>
      <w:pPr>
        <w:spacing w:after="0"/>
        <w:rPr>
          <w:sz w:val="20"/>
          <w:szCs w:val="20"/>
          <w:color w:val="auto"/>
        </w:rPr>
      </w:pPr>
      <w:r>
        <w:rPr>
          <w:rFonts w:ascii="Arial" w:cs="Arial" w:eastAsia="Arial" w:hAnsi="Arial"/>
          <w:sz w:val="19"/>
          <w:szCs w:val="19"/>
          <w:color w:val="auto"/>
        </w:rPr>
        <w:t>internal accounting practices are improved, more refined information becomes available and the industry or market changes.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Significant revisions to Ashland’s methodologies are adjusted for all segments on a retrospective basis.</w:t>
      </w:r>
    </w:p>
    <w:p>
      <w:pPr>
        <w:spacing w:after="0" w:line="9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discloses sales, operating income, depreciation and amortization and EBITDA by reportable segment for the three months ended December 31, 2022 and 2021.</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54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Three months ended</w:t>
            </w:r>
          </w:p>
        </w:tc>
        <w:tc>
          <w:tcPr>
            <w:tcW w:w="1620" w:type="dxa"/>
            <w:vAlign w:val="bottom"/>
            <w:tcBorders>
              <w:top w:val="single" w:sz="8" w:color="auto"/>
            </w:tcBorders>
          </w:tcPr>
          <w:p>
            <w:pPr>
              <w:spacing w:after="0"/>
              <w:rPr>
                <w:sz w:val="21"/>
                <w:szCs w:val="21"/>
                <w:color w:val="auto"/>
              </w:rPr>
            </w:pPr>
          </w:p>
        </w:tc>
      </w:tr>
      <w:tr>
        <w:trPr>
          <w:trHeight w:val="249"/>
        </w:trPr>
        <w:tc>
          <w:tcPr>
            <w:tcW w:w="54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December 31</w:t>
            </w:r>
          </w:p>
        </w:tc>
        <w:tc>
          <w:tcPr>
            <w:tcW w:w="1620" w:type="dxa"/>
            <w:vAlign w:val="bottom"/>
            <w:tcBorders>
              <w:bottom w:val="single" w:sz="8" w:color="auto"/>
            </w:tcBorders>
          </w:tcPr>
          <w:p>
            <w:pPr>
              <w:spacing w:after="0"/>
              <w:rPr>
                <w:sz w:val="21"/>
                <w:szCs w:val="21"/>
                <w:color w:val="auto"/>
              </w:rPr>
            </w:pPr>
          </w:p>
        </w:tc>
      </w:tr>
      <w:tr>
        <w:trPr>
          <w:trHeight w:val="237"/>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5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2021</w:t>
            </w:r>
          </w:p>
        </w:tc>
      </w:tr>
      <w:tr>
        <w:trPr>
          <w:trHeight w:val="24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54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i w:val="1"/>
                <w:iCs w:val="1"/>
                <w:color w:val="auto"/>
              </w:rPr>
              <w:t>Life Sciences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9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49"/>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Personal Care</w:t>
            </w:r>
          </w:p>
        </w:tc>
        <w:tc>
          <w:tcPr>
            <w:tcW w:w="54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147</w:t>
            </w: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i w:val="1"/>
                <w:iCs w:val="1"/>
                <w:color w:val="auto"/>
              </w:rPr>
              <w:t>Specialty Additives</w:t>
            </w:r>
          </w:p>
        </w:tc>
        <w:tc>
          <w:tcPr>
            <w:tcW w:w="540" w:type="dxa"/>
            <w:vAlign w:val="bottom"/>
          </w:tcPr>
          <w:p>
            <w:pPr>
              <w:spacing w:after="0"/>
              <w:rPr>
                <w:sz w:val="20"/>
                <w:szCs w:val="20"/>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49"/>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Intermediates</w:t>
            </w:r>
          </w:p>
        </w:tc>
        <w:tc>
          <w:tcPr>
            <w:tcW w:w="54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i w:val="1"/>
                <w:iCs w:val="1"/>
                <w:color w:val="auto"/>
              </w:rPr>
              <w:t xml:space="preserve">Intersegment sales </w:t>
            </w:r>
            <w:r>
              <w:rPr>
                <w:rFonts w:ascii="Arial" w:cs="Arial" w:eastAsia="Arial" w:hAnsi="Arial"/>
                <w:sz w:val="14"/>
                <w:szCs w:val="14"/>
                <w:color w:val="auto"/>
              </w:rPr>
              <w:t>(a)</w:t>
            </w:r>
          </w:p>
        </w:tc>
        <w:tc>
          <w:tcPr>
            <w:tcW w:w="5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2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70"/>
        </w:trPr>
        <w:tc>
          <w:tcPr>
            <w:tcW w:w="540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525</w:t>
            </w:r>
          </w:p>
        </w:tc>
        <w:tc>
          <w:tcPr>
            <w:tcW w:w="24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512</w:t>
            </w:r>
          </w:p>
        </w:tc>
      </w:tr>
      <w:tr>
        <w:trPr>
          <w:trHeight w:val="225"/>
        </w:trPr>
        <w:tc>
          <w:tcPr>
            <w:tcW w:w="540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5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47"/>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Life Sciences</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98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i w:val="1"/>
                <w:iCs w:val="1"/>
                <w:color w:val="auto"/>
              </w:rPr>
              <w:t>Personal Care</w:t>
            </w:r>
          </w:p>
        </w:tc>
        <w:tc>
          <w:tcPr>
            <w:tcW w:w="540" w:type="dxa"/>
            <w:vAlign w:val="bottom"/>
          </w:tcPr>
          <w:p>
            <w:pPr>
              <w:spacing w:after="0"/>
              <w:rPr>
                <w:sz w:val="20"/>
                <w:szCs w:val="20"/>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49"/>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Specialty Additives</w:t>
            </w:r>
          </w:p>
        </w:tc>
        <w:tc>
          <w:tcPr>
            <w:tcW w:w="54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i w:val="1"/>
                <w:iCs w:val="1"/>
                <w:color w:val="auto"/>
              </w:rPr>
              <w:t>Intermediates</w:t>
            </w:r>
          </w:p>
        </w:tc>
        <w:tc>
          <w:tcPr>
            <w:tcW w:w="540" w:type="dxa"/>
            <w:vAlign w:val="bottom"/>
          </w:tcPr>
          <w:p>
            <w:pPr>
              <w:spacing w:after="0"/>
              <w:rPr>
                <w:sz w:val="20"/>
                <w:szCs w:val="20"/>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49"/>
        </w:trPr>
        <w:tc>
          <w:tcPr>
            <w:tcW w:w="5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i w:val="1"/>
                <w:iCs w:val="1"/>
                <w:color w:val="auto"/>
              </w:rPr>
              <w:t>Unallocated and other</w:t>
            </w:r>
          </w:p>
        </w:tc>
        <w:tc>
          <w:tcPr>
            <w:tcW w:w="54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(27 )</w:t>
            </w:r>
          </w:p>
        </w:tc>
      </w:tr>
      <w:tr>
        <w:trPr>
          <w:trHeight w:val="230"/>
        </w:trPr>
        <w:tc>
          <w:tcPr>
            <w:tcW w:w="54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9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0"/>
        </w:trPr>
        <w:tc>
          <w:tcPr>
            <w:tcW w:w="5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EXPENSE</w:t>
            </w:r>
          </w:p>
        </w:tc>
        <w:tc>
          <w:tcPr>
            <w:tcW w:w="5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i w:val="1"/>
                <w:iCs w:val="1"/>
                <w:color w:val="auto"/>
              </w:rPr>
              <w:t>Life Sciences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49"/>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Personal Care</w:t>
            </w:r>
          </w:p>
        </w:tc>
        <w:tc>
          <w:tcPr>
            <w:tcW w:w="54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i w:val="1"/>
                <w:iCs w:val="1"/>
                <w:color w:val="auto"/>
              </w:rPr>
              <w:t>Specialty Additives</w:t>
            </w:r>
          </w:p>
        </w:tc>
        <w:tc>
          <w:tcPr>
            <w:tcW w:w="540" w:type="dxa"/>
            <w:vAlign w:val="bottom"/>
          </w:tcPr>
          <w:p>
            <w:pPr>
              <w:spacing w:after="0"/>
              <w:rPr>
                <w:sz w:val="20"/>
                <w:szCs w:val="20"/>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49"/>
        </w:trPr>
        <w:tc>
          <w:tcPr>
            <w:tcW w:w="5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i w:val="1"/>
                <w:iCs w:val="1"/>
                <w:color w:val="auto"/>
              </w:rPr>
              <w:t>Intermediates</w:t>
            </w:r>
          </w:p>
        </w:tc>
        <w:tc>
          <w:tcPr>
            <w:tcW w:w="54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r>
        <w:trPr>
          <w:trHeight w:val="230"/>
        </w:trPr>
        <w:tc>
          <w:tcPr>
            <w:tcW w:w="54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9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0"/>
        </w:trPr>
        <w:tc>
          <w:tcPr>
            <w:tcW w:w="5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 EXPENSE</w:t>
            </w:r>
          </w:p>
        </w:tc>
        <w:tc>
          <w:tcPr>
            <w:tcW w:w="5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i w:val="1"/>
                <w:iCs w:val="1"/>
                <w:color w:val="auto"/>
              </w:rPr>
              <w:t>Life Sciences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49"/>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Personal Care</w:t>
            </w:r>
          </w:p>
        </w:tc>
        <w:tc>
          <w:tcPr>
            <w:tcW w:w="54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i w:val="1"/>
                <w:iCs w:val="1"/>
                <w:color w:val="auto"/>
              </w:rPr>
              <w:t>Specialty Additives</w:t>
            </w:r>
          </w:p>
        </w:tc>
        <w:tc>
          <w:tcPr>
            <w:tcW w:w="540" w:type="dxa"/>
            <w:vAlign w:val="bottom"/>
          </w:tcPr>
          <w:p>
            <w:pPr>
              <w:spacing w:after="0"/>
              <w:rPr>
                <w:sz w:val="20"/>
                <w:szCs w:val="20"/>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49"/>
        </w:trPr>
        <w:tc>
          <w:tcPr>
            <w:tcW w:w="54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i w:val="1"/>
                <w:iCs w:val="1"/>
                <w:color w:val="auto"/>
              </w:rPr>
              <w:t>Intermediates</w:t>
            </w:r>
          </w:p>
        </w:tc>
        <w:tc>
          <w:tcPr>
            <w:tcW w:w="54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9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0"/>
        </w:trPr>
        <w:tc>
          <w:tcPr>
            <w:tcW w:w="5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4"/>
                <w:szCs w:val="14"/>
                <w:color w:val="auto"/>
              </w:rPr>
              <w:t>(b)</w:t>
            </w:r>
          </w:p>
        </w:tc>
        <w:tc>
          <w:tcPr>
            <w:tcW w:w="5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i w:val="1"/>
                <w:iCs w:val="1"/>
                <w:color w:val="auto"/>
              </w:rPr>
              <w:t>Life Sciences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9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49"/>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Personal Care</w:t>
            </w:r>
          </w:p>
        </w:tc>
        <w:tc>
          <w:tcPr>
            <w:tcW w:w="54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w:t>
            </w: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i w:val="1"/>
                <w:iCs w:val="1"/>
                <w:color w:val="auto"/>
              </w:rPr>
              <w:t>Specialty Additives</w:t>
            </w:r>
          </w:p>
        </w:tc>
        <w:tc>
          <w:tcPr>
            <w:tcW w:w="540" w:type="dxa"/>
            <w:vAlign w:val="bottom"/>
          </w:tcPr>
          <w:p>
            <w:pPr>
              <w:spacing w:after="0"/>
              <w:rPr>
                <w:sz w:val="20"/>
                <w:szCs w:val="20"/>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49"/>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i w:val="1"/>
                <w:iCs w:val="1"/>
                <w:color w:val="auto"/>
              </w:rPr>
              <w:t>Intermediates</w:t>
            </w:r>
          </w:p>
        </w:tc>
        <w:tc>
          <w:tcPr>
            <w:tcW w:w="54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i w:val="1"/>
                <w:iCs w:val="1"/>
                <w:color w:val="auto"/>
              </w:rPr>
              <w:t>Unallocated and other</w:t>
            </w:r>
          </w:p>
        </w:tc>
        <w:tc>
          <w:tcPr>
            <w:tcW w:w="5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2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270"/>
        </w:trPr>
        <w:tc>
          <w:tcPr>
            <w:tcW w:w="540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-4173855</wp:posOffset>
            </wp:positionV>
            <wp:extent cx="154305"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4305" cy="179705"/>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-3222625</wp:posOffset>
            </wp:positionV>
            <wp:extent cx="154305"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4305" cy="188595"/>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-2262505</wp:posOffset>
            </wp:positionV>
            <wp:extent cx="154305"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4305" cy="188595"/>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-1302385</wp:posOffset>
            </wp:positionV>
            <wp:extent cx="154305"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4305" cy="18859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-24765</wp:posOffset>
            </wp:positionV>
            <wp:extent cx="662622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626225" cy="128905"/>
                    </a:xfrm>
                    <a:prstGeom prst="rect">
                      <a:avLst/>
                    </a:prstGeom>
                    <a:noFill/>
                  </pic:spPr>
                </pic:pic>
              </a:graphicData>
            </a:graphic>
          </wp:anchor>
        </w:drawing>
      </w:r>
    </w:p>
    <w:p>
      <w:pPr>
        <w:spacing w:after="0" w:line="137" w:lineRule="exact"/>
        <w:rPr>
          <w:sz w:val="20"/>
          <w:szCs w:val="20"/>
          <w:color w:val="auto"/>
        </w:rPr>
      </w:pPr>
    </w:p>
    <w:p>
      <w:pPr>
        <w:ind w:left="360" w:hanging="358"/>
        <w:spacing w:after="0"/>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Intersegment sales from Intermediates are accounted for at prices that approximate fair value. All other intersegment sales are accounted for at cost.</w:t>
      </w:r>
    </w:p>
    <w:p>
      <w:pPr>
        <w:spacing w:after="0" w:line="28" w:lineRule="exact"/>
        <w:rPr>
          <w:rFonts w:ascii="Arial" w:cs="Arial" w:eastAsia="Arial" w:hAnsi="Arial"/>
          <w:sz w:val="14"/>
          <w:szCs w:val="14"/>
          <w:color w:val="auto"/>
        </w:rPr>
      </w:pPr>
    </w:p>
    <w:p>
      <w:pPr>
        <w:ind w:left="360" w:hanging="358"/>
        <w:spacing w:after="0" w:line="253" w:lineRule="auto"/>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and other net periodic benefit loss. See the Statement of Consolidated Comprehensive Income (Loss) for applicable amounts excluded.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36" w:name="page37"/>
    <w:bookmarkEnd w:id="36"/>
    <w:p>
      <w:pPr>
        <w:ind w:left="380"/>
        <w:spacing w:after="0"/>
        <w:rPr>
          <w:sz w:val="20"/>
          <w:szCs w:val="20"/>
          <w:color w:val="auto"/>
        </w:rPr>
      </w:pPr>
      <w:r>
        <w:rPr>
          <w:rFonts w:ascii="Arial" w:cs="Arial" w:eastAsia="Arial" w:hAnsi="Arial"/>
          <w:sz w:val="20"/>
          <w:szCs w:val="20"/>
          <w:b w:val="1"/>
          <w:bCs w:val="1"/>
          <w:color w:val="auto"/>
        </w:rPr>
        <w:t>Life Sciences</w:t>
      </w:r>
    </w:p>
    <w:p>
      <w:pPr>
        <w:spacing w:after="0" w:line="114" w:lineRule="exact"/>
        <w:rPr>
          <w:sz w:val="20"/>
          <w:szCs w:val="20"/>
          <w:color w:val="auto"/>
        </w:rPr>
      </w:pPr>
    </w:p>
    <w:p>
      <w:pPr>
        <w:jc w:val="both"/>
        <w:ind w:left="380" w:right="380"/>
        <w:spacing w:after="0" w:line="242" w:lineRule="auto"/>
        <w:rPr>
          <w:sz w:val="20"/>
          <w:szCs w:val="20"/>
          <w:color w:val="auto"/>
        </w:rPr>
      </w:pPr>
      <w:r>
        <w:rPr>
          <w:rFonts w:ascii="Arial" w:cs="Arial" w:eastAsia="Arial" w:hAnsi="Arial"/>
          <w:sz w:val="20"/>
          <w:szCs w:val="20"/>
          <w:color w:val="auto"/>
        </w:rPr>
        <w:t>Life Sciences is comprised of pharmaceuticals, nutrition, nutraceuticals, agricultural chemicals, diagnostic films (formerly known as advanced materials) and fine chemicals. Pharmaceutical solutions include controlled release polymers, disintegrants, tablet coating, thickeners, solubilizers, and tablet binders. Nutrition solutions include thickeners, stabilizers, emulsifiers and additives for enhancing mouthfeel, controlling moisture migration, reducing oil uptake and binding structured foods. Nutraceutical solutions include products for weight management, joint comfort, stomach and intestinal health, sports nutrition and general wellness. The nutraceutical business also provides custom formulation, toll processing and particle engineering solutions. Customers include pharmaceutical, food, beverage, nutraceuticals and supplements manufacturers, hospitals and radiologists and industrial manufacturers.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December 2022 quarter compared to December 2021 quarter</w:t>
      </w:r>
    </w:p>
    <w:p>
      <w:pPr>
        <w:spacing w:after="0" w:line="108" w:lineRule="exact"/>
        <w:rPr>
          <w:sz w:val="20"/>
          <w:szCs w:val="20"/>
          <w:color w:val="auto"/>
        </w:rPr>
      </w:pPr>
    </w:p>
    <w:p>
      <w:pPr>
        <w:jc w:val="both"/>
        <w:ind w:left="380" w:right="380"/>
        <w:spacing w:after="0" w:line="250" w:lineRule="auto"/>
        <w:rPr>
          <w:sz w:val="20"/>
          <w:szCs w:val="20"/>
          <w:color w:val="auto"/>
        </w:rPr>
      </w:pPr>
      <w:r>
        <w:rPr>
          <w:rFonts w:ascii="Arial" w:cs="Arial" w:eastAsia="Arial" w:hAnsi="Arial"/>
          <w:sz w:val="20"/>
          <w:szCs w:val="20"/>
          <w:color w:val="auto"/>
        </w:rPr>
        <w:t>Life Sciences’ sales increased $37 million in the current quarter. Higher volume and favorable pricing increased sales by $23 million each, respectively, while unfavorable foreign currency exchange decreased sales by $9 million. Life Sciences experienced strong global demand for pharmaceutical ingredients throughout the current quarter.</w:t>
      </w:r>
    </w:p>
    <w:p>
      <w:pPr>
        <w:spacing w:after="0" w:line="78" w:lineRule="exact"/>
        <w:rPr>
          <w:sz w:val="20"/>
          <w:szCs w:val="20"/>
          <w:color w:val="auto"/>
        </w:rPr>
      </w:pPr>
    </w:p>
    <w:p>
      <w:pPr>
        <w:jc w:val="both"/>
        <w:ind w:left="380" w:right="380"/>
        <w:spacing w:after="0" w:line="244" w:lineRule="auto"/>
        <w:rPr>
          <w:sz w:val="20"/>
          <w:szCs w:val="20"/>
          <w:color w:val="auto"/>
        </w:rPr>
      </w:pPr>
      <w:r>
        <w:rPr>
          <w:rFonts w:ascii="Arial" w:cs="Arial" w:eastAsia="Arial" w:hAnsi="Arial"/>
          <w:sz w:val="20"/>
          <w:szCs w:val="20"/>
          <w:color w:val="auto"/>
        </w:rPr>
        <w:t>Operating income increased $13 million to income of $34 million for the current quarter. Favorable price/mix and higher volume increased operating income by $24 million and $11 million, respectively, while unfavorable foreign currency exchange and higher costs decreased operating income by $7 million and $15 million, respectively. Current quarter EBITDA increased $15 million to $51 million while adjusted EBITDA increased $16 million to $52 million. Adjusted EBITDA margin increased 3.9 percentage points in the current quarter to 25.1%.</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380" w:right="380"/>
        <w:spacing w:after="0" w:line="242" w:lineRule="auto"/>
        <w:rPr>
          <w:sz w:val="20"/>
          <w:szCs w:val="20"/>
          <w:color w:val="auto"/>
        </w:rPr>
      </w:pPr>
      <w:r>
        <w:rPr>
          <w:rFonts w:ascii="Arial" w:cs="Arial" w:eastAsia="Arial" w:hAnsi="Arial"/>
          <w:sz w:val="20"/>
          <w:szCs w:val="20"/>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86" w:lineRule="exact"/>
        <w:rPr>
          <w:sz w:val="20"/>
          <w:szCs w:val="20"/>
          <w:color w:val="auto"/>
        </w:rPr>
      </w:pPr>
    </w:p>
    <w:p>
      <w:pPr>
        <w:jc w:val="both"/>
        <w:ind w:left="380" w:right="380"/>
        <w:spacing w:after="0" w:line="246" w:lineRule="auto"/>
        <w:rPr>
          <w:sz w:val="20"/>
          <w:szCs w:val="20"/>
          <w:color w:val="auto"/>
        </w:rPr>
      </w:pPr>
      <w:r>
        <w:rPr>
          <w:rFonts w:ascii="Arial" w:cs="Arial" w:eastAsia="Arial" w:hAnsi="Arial"/>
          <w:sz w:val="20"/>
          <w:szCs w:val="20"/>
          <w:color w:val="auto"/>
        </w:rPr>
        <w:t>The following EBITDA presentation for the three months ended December 31, 2022 and 2021 is provided as a means to enhance the understanding of financial measurements that Ashland has internally determined to be relevant measures of comparison for the results of Life Sciences. The key items during the three months ended December 31, 2022 related to $1 million for restructuring program within the Nutraceuticals business of the Life Sciences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59055</wp:posOffset>
            </wp:positionV>
            <wp:extent cx="6716395" cy="6642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16395" cy="66421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0" w:type="dxa"/>
            <w:vAlign w:val="bottom"/>
          </w:tcPr>
          <w:p>
            <w:pPr>
              <w:spacing w:after="0"/>
              <w:rPr>
                <w:sz w:val="21"/>
                <w:szCs w:val="21"/>
                <w:color w:val="auto"/>
              </w:rPr>
            </w:pPr>
          </w:p>
        </w:tc>
        <w:tc>
          <w:tcPr>
            <w:tcW w:w="370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4"/>
          </w:tcPr>
          <w:p>
            <w:pPr>
              <w:jc w:val="right"/>
              <w:ind w:right="900"/>
              <w:spacing w:after="0"/>
              <w:rPr>
                <w:sz w:val="20"/>
                <w:szCs w:val="20"/>
                <w:color w:val="auto"/>
              </w:rPr>
            </w:pPr>
            <w:r>
              <w:rPr>
                <w:rFonts w:ascii="Arial" w:cs="Arial" w:eastAsia="Arial" w:hAnsi="Arial"/>
                <w:sz w:val="18"/>
                <w:szCs w:val="18"/>
                <w:color w:val="auto"/>
              </w:rPr>
              <w:t>Life Sciences</w:t>
            </w:r>
          </w:p>
        </w:tc>
        <w:tc>
          <w:tcPr>
            <w:tcW w:w="5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w w:val="98"/>
              </w:rPr>
              <w:t>Three months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9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42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9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EBITDA</w:t>
            </w:r>
          </w:p>
        </w:tc>
        <w:tc>
          <w:tcPr>
            <w:tcW w:w="3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51</w:t>
            </w:r>
          </w:p>
        </w:tc>
        <w:tc>
          <w:tcPr>
            <w:tcW w:w="1520" w:type="dxa"/>
            <w:vAlign w:val="bottom"/>
            <w:gridSpan w:val="3"/>
          </w:tcPr>
          <w:p>
            <w:pPr>
              <w:jc w:val="right"/>
              <w:ind w:right="11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Restructuring and other costs</w:t>
            </w:r>
          </w:p>
        </w:tc>
        <w:tc>
          <w:tcPr>
            <w:tcW w:w="29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52</w:t>
            </w:r>
          </w:p>
        </w:tc>
        <w:tc>
          <w:tcPr>
            <w:tcW w:w="1520" w:type="dxa"/>
            <w:vAlign w:val="bottom"/>
            <w:gridSpan w:val="3"/>
          </w:tcPr>
          <w:p>
            <w:pPr>
              <w:jc w:val="right"/>
              <w:ind w:right="11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920" w:type="dxa"/>
            <w:vAlign w:val="bottom"/>
            <w:vMerge w:val="restart"/>
          </w:tcPr>
          <w:p>
            <w:pPr>
              <w:jc w:val="right"/>
              <w:ind w:right="1150"/>
              <w:spacing w:after="0"/>
              <w:rPr>
                <w:sz w:val="20"/>
                <w:szCs w:val="20"/>
                <w:color w:val="auto"/>
              </w:rPr>
            </w:pPr>
            <w:r>
              <w:rPr>
                <w:rFonts w:ascii="Arial" w:cs="Arial" w:eastAsia="Arial" w:hAnsi="Arial"/>
                <w:sz w:val="18"/>
                <w:szCs w:val="18"/>
                <w:color w:val="auto"/>
              </w:rPr>
              <w:t>37</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-959485</wp:posOffset>
            </wp:positionV>
            <wp:extent cx="6858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-959485</wp:posOffset>
            </wp:positionV>
            <wp:extent cx="5969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-616585</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-616585</wp:posOffset>
            </wp:positionV>
            <wp:extent cx="5969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color w:val="auto"/>
        </w:rPr>
        <w:t>Personal Care</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Personal Care is comprised of biofunctionals, microbial protectants (preservatives), skin care, sun care, oral care, hair care and household solutions. These businesses have a broad range of natural, nature-derived, biodegradable, and high-performance ingredients for customer 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December 2022 quarter compared to December 2021 quarter</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Personal Care’ sales decreased $9 million to $138 million in the current quarter. Lower volume and unfavorable foreign currency exchange decreased sales by $15 million and $7 million, respectively. These decreases were partially offset by favorable product pricing which increased sales by $13 million. Personal Care sales were negatively impacted by the COVID-19 impact related to the China re-opening and significant destocking within the distribution channel, particularly in Europe.</w:t>
      </w:r>
    </w:p>
    <w:p>
      <w:pPr>
        <w:spacing w:after="0" w:line="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Operating income decreased $4 million to income of $11 million for the current quarter. Lower volume, higher operating costs and unfavorable foreign currency exchange decreased operating income by $6 million, $6 million and $2 million, respectively. These decreases were partially offset by favorable price/mix which increased operating income by $10 million. Current quarter EBITDA decreased $4 million to $32 million. EBITDA margin decreased 1.3 percentage points in the current quarter to 23.2%.</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 reconciliation</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following EBITDA presentation for the three months ended December 31, 2022 and 2021 is provided as a means to enhance the understanding of financial measurements that Ashland has internally determined to be relevant measures of comparison for the results of Personal Care. Personal Care had no key items for the three months ended December 31, 2022 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25400</wp:posOffset>
            </wp:positionV>
            <wp:extent cx="6638925" cy="509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638925" cy="509905"/>
                    </a:xfrm>
                    <a:prstGeom prst="rect">
                      <a:avLst/>
                    </a:prstGeom>
                    <a:noFill/>
                  </pic:spPr>
                </pic:pic>
              </a:graphicData>
            </a:graphic>
          </wp:anchor>
        </w:drawing>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Personal Care</w:t>
            </w:r>
          </w:p>
        </w:tc>
        <w:tc>
          <w:tcPr>
            <w:tcW w:w="5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65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w w:val="97"/>
              </w:rPr>
              <w:t>Three months ended December 31</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r>
      <w:tr>
        <w:trPr>
          <w:trHeight w:val="243"/>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0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21"/>
                <w:szCs w:val="21"/>
                <w:color w:val="auto"/>
              </w:rPr>
            </w:pP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r>
      <w:tr>
        <w:trPr>
          <w:trHeight w:val="277"/>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5301615</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5301615</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-24765</wp:posOffset>
            </wp:positionV>
            <wp:extent cx="596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-8255</wp:posOffset>
            </wp:positionV>
            <wp:extent cx="596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Specialty Additives</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Specialty Additives is comprised of rheology and performance-enhancing additives serving the architectural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December 2022 quarter compared to December 2021 quarter</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Specialty Additives’ sales decreased $13 million to $143 million in the current quarter. Lower volume and unfavorable foreign currency exchange decreased sales by $25 million and $7 million, respectively. Those decreases were partially offset by favorable product pricing which increased sales by $19 million. Specialty Additives sales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1" w:right="719" w:bottom="1440" w:gutter="0" w:footer="0" w:header="0"/>
        </w:sectPr>
      </w:pPr>
    </w:p>
    <w:bookmarkStart w:id="38" w:name="page39"/>
    <w:bookmarkEnd w:id="38"/>
    <w:p>
      <w:pPr>
        <w:ind w:left="20"/>
        <w:spacing w:after="0"/>
        <w:rPr>
          <w:sz w:val="20"/>
          <w:szCs w:val="20"/>
          <w:color w:val="auto"/>
        </w:rPr>
      </w:pPr>
      <w:r>
        <w:rPr>
          <w:rFonts w:ascii="Arial" w:cs="Arial" w:eastAsia="Arial" w:hAnsi="Arial"/>
          <w:sz w:val="18"/>
          <w:szCs w:val="18"/>
          <w:color w:val="auto"/>
        </w:rPr>
        <w:t>were negatively impacted by the COVID-19 impact related to the China re-opening and, the general economic slowdown in Europe.</w:t>
      </w:r>
    </w:p>
    <w:p>
      <w:pPr>
        <w:spacing w:after="0" w:line="131" w:lineRule="exact"/>
        <w:rPr>
          <w:sz w:val="20"/>
          <w:szCs w:val="20"/>
          <w:color w:val="auto"/>
        </w:rPr>
      </w:pPr>
    </w:p>
    <w:p>
      <w:pPr>
        <w:jc w:val="both"/>
        <w:ind w:left="20"/>
        <w:spacing w:after="0" w:line="257" w:lineRule="auto"/>
        <w:rPr>
          <w:sz w:val="20"/>
          <w:szCs w:val="20"/>
          <w:color w:val="auto"/>
        </w:rPr>
      </w:pPr>
      <w:r>
        <w:rPr>
          <w:rFonts w:ascii="Arial" w:cs="Arial" w:eastAsia="Arial" w:hAnsi="Arial"/>
          <w:sz w:val="19"/>
          <w:szCs w:val="19"/>
          <w:color w:val="auto"/>
        </w:rPr>
        <w:t>Operating income decreased $16 million to income of $1 million for the current quarter. Lower volume, higher operating costs, asset impairments, and unfavorable foreign currency exchange decreased operating income by $6 million, $15 million, $4 million, and $1 million, respectively. Operating costs were negatively impacted by COVID-19 dynamics in China which resulted in additional extended unplanned plant shutdowns, that were in addition to planned plant maintenance shutdowns. These decreases were partially offset by favorable pricing/mix which increased operating income by $10 million. Current quarter EBITDA decreased $19 million to $19 million while Adjusted EBITDA decreased $15 million to $23 million. Adjusted EBITDA margin decreased 8.3 percentage points in the current quarter to 16.1%.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20"/>
        <w:spacing w:after="0" w:line="246" w:lineRule="auto"/>
        <w:rPr>
          <w:sz w:val="20"/>
          <w:szCs w:val="20"/>
          <w:color w:val="auto"/>
        </w:rPr>
      </w:pPr>
      <w:r>
        <w:rPr>
          <w:rFonts w:ascii="Arial" w:cs="Arial" w:eastAsia="Arial" w:hAnsi="Arial"/>
          <w:sz w:val="20"/>
          <w:szCs w:val="20"/>
          <w:color w:val="auto"/>
        </w:rPr>
        <w:t>The following EBITDA presentation for the three months ended December 31, 2022 and 2021 is provided as a means to enhance the understanding of financial measurements that Ashland has internally determined to be relevant measures of comparison for the results of Specialty Additives. The key items during the three months ended December 31, 2022 related to an impairment charge of $4 million associated with a manufacturing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6716395" cy="509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16395" cy="509905"/>
                    </a:xfrm>
                    <a:prstGeom prst="rect">
                      <a:avLst/>
                    </a:prstGeom>
                    <a:noFill/>
                  </pic:spPr>
                </pic:pic>
              </a:graphicData>
            </a:graphic>
          </wp:anchor>
        </w:drawing>
      </w:r>
    </w:p>
    <w:p>
      <w:pPr>
        <w:sectPr>
          <w:pgSz w:w="11900" w:h="16838" w:orient="portrait"/>
          <w:cols w:equalWidth="0" w:num="1">
            <w:col w:w="10500"/>
          </w:cols>
          <w:pgMar w:left="680" w:top="447"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Asset impairments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Specialty Additives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Three months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30"/>
        </w:trPr>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9"/>
        </w:trPr>
        <w:tc>
          <w:tcPr>
            <w:tcW w:w="8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8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8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-4034790</wp:posOffset>
            </wp:positionH>
            <wp:positionV relativeFrom="paragraph">
              <wp:posOffset>-839470</wp:posOffset>
            </wp:positionV>
            <wp:extent cx="6703695"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03695" cy="154305"/>
                    </a:xfrm>
                    <a:prstGeom prst="rect">
                      <a:avLst/>
                    </a:prstGeom>
                    <a:noFill/>
                  </pic:spPr>
                </pic:pic>
              </a:graphicData>
            </a:graphic>
          </wp:anchor>
        </w:drawing>
        <w:drawing>
          <wp:anchor simplePos="0" relativeHeight="251657728" behindDoc="1" locked="0" layoutInCell="0" allowOverlap="1">
            <wp:simplePos x="0" y="0"/>
            <wp:positionH relativeFrom="column">
              <wp:posOffset>-4034790</wp:posOffset>
            </wp:positionH>
            <wp:positionV relativeFrom="paragraph">
              <wp:posOffset>-521970</wp:posOffset>
            </wp:positionV>
            <wp:extent cx="6703695" cy="5226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03695" cy="52260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5620" w:space="720"/>
            <w:col w:w="4160"/>
          </w:cols>
          <w:pgMar w:left="680" w:top="447" w:right="719" w:bottom="1440" w:gutter="0" w:footer="0" w:header="0"/>
          <w:type w:val="continuous"/>
        </w:sectPr>
      </w:pPr>
    </w:p>
    <w:p>
      <w:pPr>
        <w:ind w:left="20"/>
        <w:spacing w:after="0"/>
        <w:rPr>
          <w:sz w:val="20"/>
          <w:szCs w:val="20"/>
          <w:color w:val="auto"/>
        </w:rPr>
      </w:pPr>
      <w:r>
        <w:rPr>
          <w:rFonts w:ascii="Arial" w:cs="Arial" w:eastAsia="Arial" w:hAnsi="Arial"/>
          <w:sz w:val="20"/>
          <w:szCs w:val="20"/>
          <w:b w:val="1"/>
          <w:bCs w:val="1"/>
          <w:color w:val="auto"/>
        </w:rPr>
        <w:t>Intermediates</w:t>
      </w:r>
    </w:p>
    <w:p>
      <w:pPr>
        <w:spacing w:after="0" w:line="114" w:lineRule="exact"/>
        <w:rPr>
          <w:sz w:val="20"/>
          <w:szCs w:val="20"/>
          <w:color w:val="auto"/>
        </w:rPr>
      </w:pPr>
    </w:p>
    <w:p>
      <w:pPr>
        <w:jc w:val="both"/>
        <w:ind w:left="20"/>
        <w:spacing w:after="0" w:line="263" w:lineRule="auto"/>
        <w:rPr>
          <w:sz w:val="20"/>
          <w:szCs w:val="20"/>
          <w:color w:val="auto"/>
        </w:rPr>
      </w:pPr>
      <w:r>
        <w:rPr>
          <w:rFonts w:ascii="Arial" w:cs="Arial" w:eastAsia="Arial" w:hAnsi="Arial"/>
          <w:sz w:val="19"/>
          <w:szCs w:val="19"/>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BDO is also supplied to Life Sciences, Personal Care, and Specialty Additives for use as a raw material.</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December 2022 quarter compared to December 2021 quarter</w:t>
      </w:r>
    </w:p>
    <w:p>
      <w:pPr>
        <w:spacing w:after="0" w:line="108" w:lineRule="exact"/>
        <w:rPr>
          <w:sz w:val="20"/>
          <w:szCs w:val="20"/>
          <w:color w:val="auto"/>
        </w:rPr>
      </w:pPr>
    </w:p>
    <w:p>
      <w:pPr>
        <w:jc w:val="both"/>
        <w:ind w:left="20"/>
        <w:spacing w:after="0" w:line="250" w:lineRule="auto"/>
        <w:rPr>
          <w:sz w:val="20"/>
          <w:szCs w:val="20"/>
          <w:color w:val="auto"/>
        </w:rPr>
      </w:pPr>
      <w:r>
        <w:rPr>
          <w:rFonts w:ascii="Arial" w:cs="Arial" w:eastAsia="Arial" w:hAnsi="Arial"/>
          <w:sz w:val="20"/>
          <w:szCs w:val="20"/>
          <w:color w:val="auto"/>
        </w:rPr>
        <w:t>Intermediates’ sales increase $1 million to $54 million in the current period. Favorable product pricing increased sales by $8 million. These increases were substantially offset by lower volume and unfavorable foreign currency exchange decreased sales by $6 million and $1 million, respectively.</w:t>
      </w:r>
    </w:p>
    <w:p>
      <w:pPr>
        <w:spacing w:after="0" w:line="78" w:lineRule="exact"/>
        <w:rPr>
          <w:sz w:val="20"/>
          <w:szCs w:val="20"/>
          <w:color w:val="auto"/>
        </w:rPr>
      </w:pPr>
    </w:p>
    <w:p>
      <w:pPr>
        <w:jc w:val="both"/>
        <w:ind w:left="20"/>
        <w:spacing w:after="0" w:line="263" w:lineRule="auto"/>
        <w:rPr>
          <w:sz w:val="20"/>
          <w:szCs w:val="20"/>
          <w:color w:val="auto"/>
        </w:rPr>
      </w:pPr>
      <w:r>
        <w:rPr>
          <w:rFonts w:ascii="Arial" w:cs="Arial" w:eastAsia="Arial" w:hAnsi="Arial"/>
          <w:sz w:val="19"/>
          <w:szCs w:val="19"/>
          <w:color w:val="auto"/>
        </w:rPr>
        <w:t>Operating income increased $4 million to $20 million for the current quarter. Price/mix increased operating income by $11 million and was partially offset by lower volume, higher production costs and unfavorable foreign currency exchange which decreased operating income by $3 million, $3 million and $1 million, respectively. Current quarter EBITDA increased $4 million to $23 million. EBITDA margin increased 6.8 percentage points in the current quarter to 42.6%.</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680" w:top="447" w:right="719" w:bottom="1440" w:gutter="0" w:footer="0" w:header="0"/>
          <w:type w:val="continuous"/>
        </w:sectPr>
      </w:pPr>
    </w:p>
    <w:bookmarkStart w:id="39" w:name="page40"/>
    <w:bookmarkEnd w:id="39"/>
    <w:p>
      <w:pPr>
        <w:ind w:left="380"/>
        <w:spacing w:after="0"/>
        <w:rPr>
          <w:sz w:val="20"/>
          <w:szCs w:val="20"/>
          <w:color w:val="auto"/>
        </w:rPr>
      </w:pPr>
      <w:r>
        <w:rPr>
          <w:rFonts w:ascii="Arial" w:cs="Arial" w:eastAsia="Arial" w:hAnsi="Arial"/>
          <w:sz w:val="20"/>
          <w:szCs w:val="20"/>
          <w:i w:val="1"/>
          <w:iCs w:val="1"/>
          <w:color w:val="auto"/>
        </w:rPr>
        <w:t>EBITDA reconciliation</w:t>
      </w:r>
    </w:p>
    <w:p>
      <w:pPr>
        <w:spacing w:after="0" w:line="108"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The following EBITDA presentation (as defined and described in the section above) for the three months ended December 31, 2022 and 2021 is provided as a means to enhance the understanding of financial measurements that Ashland has internally determined to be relevant measures of comparison for the results of Intermediates. Intermediates had no key items for the three months ended December 31, 2022 or 2021.</w:t>
      </w:r>
    </w:p>
    <w:p>
      <w:pPr>
        <w:spacing w:after="0" w:line="80" w:lineRule="exact"/>
        <w:rPr>
          <w:sz w:val="20"/>
          <w:szCs w:val="20"/>
          <w:color w:val="auto"/>
        </w:rPr>
      </w:pPr>
    </w:p>
    <w:tbl>
      <w:tblPr>
        <w:tblLayout w:type="fixed"/>
        <w:tblInd w:w="420" w:type="dxa"/>
        <w:tblCellMar>
          <w:top w:w="0" w:type="dxa"/>
          <w:left w:w="0" w:type="dxa"/>
          <w:bottom w:w="0" w:type="dxa"/>
          <w:right w:w="0" w:type="dxa"/>
        </w:tblCellMar>
      </w:tblPr>
      <w:tr>
        <w:trPr>
          <w:trHeight w:val="250"/>
        </w:trPr>
        <w:tc>
          <w:tcPr>
            <w:tcW w:w="662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3"/>
          </w:tcPr>
          <w:p>
            <w:pPr>
              <w:jc w:val="right"/>
              <w:ind w:right="807"/>
              <w:spacing w:after="0"/>
              <w:rPr>
                <w:sz w:val="20"/>
                <w:szCs w:val="20"/>
                <w:color w:val="auto"/>
              </w:rPr>
            </w:pPr>
            <w:r>
              <w:rPr>
                <w:rFonts w:ascii="Arial" w:cs="Arial" w:eastAsia="Arial" w:hAnsi="Arial"/>
                <w:sz w:val="18"/>
                <w:szCs w:val="18"/>
                <w:color w:val="auto"/>
              </w:rPr>
              <w:t>Intermediates</w:t>
            </w:r>
          </w:p>
        </w:tc>
        <w:tc>
          <w:tcPr>
            <w:tcW w:w="580" w:type="dxa"/>
            <w:vAlign w:val="bottom"/>
            <w:tcBorders>
              <w:top w:val="single" w:sz="8" w:color="auto"/>
              <w:bottom w:val="single" w:sz="8" w:color="auto"/>
            </w:tcBorders>
          </w:tcPr>
          <w:p>
            <w:pPr>
              <w:spacing w:after="0"/>
              <w:rPr>
                <w:sz w:val="21"/>
                <w:szCs w:val="21"/>
                <w:color w:val="auto"/>
              </w:rPr>
            </w:pPr>
          </w:p>
        </w:tc>
      </w:tr>
      <w:tr>
        <w:trPr>
          <w:trHeight w:val="236"/>
        </w:trPr>
        <w:tc>
          <w:tcPr>
            <w:tcW w:w="6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w w:val="97"/>
              </w:rPr>
              <w:t>Three months ended December 31</w:t>
            </w:r>
          </w:p>
        </w:tc>
        <w:tc>
          <w:tcPr>
            <w:tcW w:w="580" w:type="dxa"/>
            <w:vAlign w:val="bottom"/>
            <w:tcBorders>
              <w:bottom w:val="single" w:sz="8" w:color="auto"/>
            </w:tcBorders>
          </w:tcPr>
          <w:p>
            <w:pPr>
              <w:spacing w:after="0"/>
              <w:rPr>
                <w:sz w:val="20"/>
                <w:szCs w:val="20"/>
                <w:color w:val="auto"/>
              </w:rPr>
            </w:pPr>
          </w:p>
        </w:tc>
      </w:tr>
      <w:tr>
        <w:trPr>
          <w:trHeight w:val="237"/>
        </w:trPr>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r>
      <w:tr>
        <w:trPr>
          <w:trHeight w:val="236"/>
        </w:trPr>
        <w:tc>
          <w:tcPr>
            <w:tcW w:w="662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1240" w:type="dxa"/>
            <w:vAlign w:val="bottom"/>
          </w:tcPr>
          <w:p>
            <w:pPr>
              <w:jc w:val="right"/>
              <w:ind w:right="108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49"/>
        </w:trPr>
        <w:tc>
          <w:tcPr>
            <w:tcW w:w="6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6620" w:type="dxa"/>
            <w:vAlign w:val="bottom"/>
          </w:tcPr>
          <w:p>
            <w:pPr>
              <w:spacing w:after="0"/>
              <w:rPr>
                <w:sz w:val="20"/>
                <w:szCs w:val="20"/>
                <w:color w:val="auto"/>
              </w:rPr>
            </w:pPr>
            <w:r>
              <w:rPr>
                <w:rFonts w:ascii="Arial" w:cs="Arial" w:eastAsia="Arial" w:hAnsi="Arial"/>
                <w:sz w:val="18"/>
                <w:szCs w:val="18"/>
                <w:color w:val="auto"/>
              </w:rPr>
              <w:t>EBITDA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1320" w:type="dxa"/>
            <w:vAlign w:val="bottom"/>
            <w:gridSpan w:val="2"/>
          </w:tcPr>
          <w:p>
            <w:pPr>
              <w:jc w:val="right"/>
              <w:ind w:right="1087"/>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0"/>
        </w:trPr>
        <w:tc>
          <w:tcPr>
            <w:tcW w:w="6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51435"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79"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Unallocated and other</w:t>
      </w:r>
    </w:p>
    <w:p>
      <w:pPr>
        <w:spacing w:after="0" w:line="11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The following table summarizes the key components of the Unallocated and other segment’s operating income (loss) for the three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41910</wp:posOffset>
            </wp:positionV>
            <wp:extent cx="6638925" cy="6642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38925" cy="664210"/>
                    </a:xfrm>
                    <a:prstGeom prst="rect">
                      <a:avLst/>
                    </a:prstGeom>
                    <a:noFill/>
                  </pic:spPr>
                </pic:pic>
              </a:graphicData>
            </a:graphic>
          </wp:anchor>
        </w:drawing>
      </w:r>
    </w:p>
    <w:p>
      <w:pPr>
        <w:spacing w:after="0" w:line="46" w:lineRule="exact"/>
        <w:rPr>
          <w:sz w:val="20"/>
          <w:szCs w:val="20"/>
          <w:color w:val="auto"/>
        </w:rPr>
      </w:pPr>
    </w:p>
    <w:tbl>
      <w:tblPr>
        <w:tblLayout w:type="fixed"/>
        <w:tblInd w:w="420" w:type="dxa"/>
        <w:tblCellMar>
          <w:top w:w="0" w:type="dxa"/>
          <w:left w:w="0" w:type="dxa"/>
          <w:bottom w:w="0" w:type="dxa"/>
          <w:right w:w="0" w:type="dxa"/>
        </w:tblCellMar>
      </w:tblPr>
      <w:tr>
        <w:trPr>
          <w:trHeight w:val="250"/>
        </w:trPr>
        <w:tc>
          <w:tcPr>
            <w:tcW w:w="654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3"/>
          </w:tcPr>
          <w:p>
            <w:pPr>
              <w:jc w:val="right"/>
              <w:ind w:right="507"/>
              <w:spacing w:after="0"/>
              <w:rPr>
                <w:sz w:val="20"/>
                <w:szCs w:val="20"/>
                <w:color w:val="auto"/>
              </w:rPr>
            </w:pPr>
            <w:r>
              <w:rPr>
                <w:rFonts w:ascii="Arial" w:cs="Arial" w:eastAsia="Arial" w:hAnsi="Arial"/>
                <w:sz w:val="18"/>
                <w:szCs w:val="18"/>
                <w:color w:val="auto"/>
              </w:rPr>
              <w:t>Unallocated and Other</w:t>
            </w:r>
          </w:p>
        </w:tc>
        <w:tc>
          <w:tcPr>
            <w:tcW w:w="5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65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color w:val="auto"/>
                <w:w w:val="97"/>
              </w:rPr>
              <w:t>Three months ended December 31</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r>
      <w:tr>
        <w:trPr>
          <w:trHeight w:val="236"/>
        </w:trPr>
        <w:tc>
          <w:tcPr>
            <w:tcW w:w="6540" w:type="dxa"/>
            <w:vAlign w:val="bottom"/>
          </w:tcPr>
          <w:p>
            <w:pPr>
              <w:spacing w:after="0"/>
              <w:rPr>
                <w:sz w:val="20"/>
                <w:szCs w:val="20"/>
                <w:color w:val="auto"/>
              </w:rPr>
            </w:pPr>
            <w:r>
              <w:rPr>
                <w:rFonts w:ascii="Arial" w:cs="Arial" w:eastAsia="Arial" w:hAnsi="Arial"/>
                <w:sz w:val="18"/>
                <w:szCs w:val="18"/>
                <w:color w:val="auto"/>
              </w:rPr>
              <w:t>Restructuring activities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220" w:type="dxa"/>
            <w:vAlign w:val="bottom"/>
          </w:tcPr>
          <w:p>
            <w:pPr>
              <w:jc w:val="right"/>
              <w:ind w:right="106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4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Environmental expenses</w:t>
            </w:r>
          </w:p>
        </w:tc>
        <w:tc>
          <w:tcPr>
            <w:tcW w:w="3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(8 )</w:t>
            </w:r>
          </w:p>
        </w:tc>
        <w:tc>
          <w:tcPr>
            <w:tcW w:w="12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Other expenses (primarily governance and legacy expenses)</w:t>
            </w:r>
          </w:p>
        </w:tc>
        <w:tc>
          <w:tcPr>
            <w:tcW w:w="380" w:type="dxa"/>
            <w:vAlign w:val="bottom"/>
          </w:tcPr>
          <w:p>
            <w:pPr>
              <w:spacing w:after="0"/>
              <w:rPr>
                <w:sz w:val="21"/>
                <w:szCs w:val="21"/>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(20 )</w:t>
            </w:r>
          </w:p>
        </w:tc>
        <w:tc>
          <w:tcPr>
            <w:tcW w:w="12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76"/>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expense</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-25400</wp:posOffset>
            </wp:positionV>
            <wp:extent cx="596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596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5"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December 2022 quarter compared to December 2021 quarter</w:t>
      </w:r>
    </w:p>
    <w:p>
      <w:pPr>
        <w:spacing w:after="0" w:line="108" w:lineRule="exact"/>
        <w:rPr>
          <w:sz w:val="20"/>
          <w:szCs w:val="20"/>
          <w:color w:val="auto"/>
        </w:rPr>
      </w:pPr>
    </w:p>
    <w:p>
      <w:pPr>
        <w:jc w:val="both"/>
        <w:ind w:left="380"/>
        <w:spacing w:after="0" w:line="244" w:lineRule="auto"/>
        <w:rPr>
          <w:sz w:val="20"/>
          <w:szCs w:val="20"/>
          <w:color w:val="auto"/>
        </w:rPr>
      </w:pPr>
      <w:r>
        <w:rPr>
          <w:rFonts w:ascii="Arial" w:cs="Arial" w:eastAsia="Arial" w:hAnsi="Arial"/>
          <w:sz w:val="20"/>
          <w:szCs w:val="20"/>
          <w:color w:val="auto"/>
        </w:rPr>
        <w:t>Unallocated and other recorded expense of $29 million and $27 million for the three months ended December 31, 2022 and 2021, respectively. The current and prior year quarters included expense of $1 million and $5 million, respectively, for restructuring activities mainly comprised of severance, lease abandonment and other restructuring costs related to company-wide cost reduction programs during the current and prior year quarters, respectively, which included stranded costs of $4 million for prior year quarter associated with the Performance Adhesives divestiture.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current quarter and prior year quarter included $8 million and $3 million for environmental expenses, respectively.</w:t>
      </w:r>
    </w:p>
    <w:p>
      <w:pPr>
        <w:spacing w:after="0" w:line="108"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Other expenses between periods were driven by increases in governance and legacy expenses primarily associated with fluctuations in foreign currency, deferred compensation and stock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POSITION</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Liquidity</w:t>
      </w:r>
    </w:p>
    <w:p>
      <w:pPr>
        <w:spacing w:after="0" w:line="114" w:lineRule="exact"/>
        <w:rPr>
          <w:sz w:val="20"/>
          <w:szCs w:val="20"/>
          <w:color w:val="auto"/>
        </w:rPr>
      </w:pPr>
    </w:p>
    <w:p>
      <w:pPr>
        <w:jc w:val="both"/>
        <w:ind w:left="380"/>
        <w:spacing w:after="0" w:line="278" w:lineRule="auto"/>
        <w:rPr>
          <w:sz w:val="20"/>
          <w:szCs w:val="20"/>
          <w:color w:val="auto"/>
        </w:rPr>
      </w:pPr>
      <w:r>
        <w:rPr>
          <w:rFonts w:ascii="Arial" w:cs="Arial" w:eastAsia="Arial" w:hAnsi="Arial"/>
          <w:sz w:val="18"/>
          <w:szCs w:val="18"/>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w:t>
      </w: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7" w:right="719" w:bottom="1440" w:gutter="0" w:footer="0" w:header="0"/>
        </w:sectPr>
      </w:pPr>
    </w:p>
    <w:bookmarkStart w:id="40" w:name="page41"/>
    <w:bookmarkEnd w:id="40"/>
    <w:p>
      <w:pPr>
        <w:spacing w:after="0"/>
        <w:rPr>
          <w:sz w:val="20"/>
          <w:szCs w:val="20"/>
          <w:color w:val="auto"/>
        </w:rPr>
      </w:pPr>
      <w:r>
        <w:rPr>
          <w:rFonts w:ascii="Arial" w:cs="Arial" w:eastAsia="Arial" w:hAnsi="Arial"/>
          <w:sz w:val="20"/>
          <w:szCs w:val="20"/>
          <w:i w:val="1"/>
          <w:iCs w:val="1"/>
          <w:color w:val="auto"/>
        </w:rPr>
        <w:t>Cash flows</w:t>
      </w:r>
    </w:p>
    <w:p>
      <w:pPr>
        <w:spacing w:after="0" w:line="108" w:lineRule="exact"/>
        <w:rPr>
          <w:sz w:val="20"/>
          <w:szCs w:val="20"/>
          <w:color w:val="auto"/>
        </w:rPr>
      </w:pPr>
    </w:p>
    <w:p>
      <w:pPr>
        <w:jc w:val="both"/>
        <w:ind w:right="60"/>
        <w:spacing w:after="0" w:line="260" w:lineRule="auto"/>
        <w:rPr>
          <w:sz w:val="20"/>
          <w:szCs w:val="20"/>
          <w:color w:val="auto"/>
        </w:rPr>
      </w:pPr>
      <w:r>
        <w:rPr>
          <w:rFonts w:ascii="Arial" w:cs="Arial" w:eastAsia="Arial" w:hAnsi="Arial"/>
          <w:sz w:val="20"/>
          <w:szCs w:val="20"/>
          <w:color w:val="auto"/>
        </w:rPr>
        <w:t>Ashland’s cash flows from operating, investing and financing activities, as reflected in the Statements of Condensed Consolidated Cash Flows, are summarized as follows for the three months ended December 31, 2022 and 2021.</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69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100" w:type="dxa"/>
            <w:vAlign w:val="bottom"/>
            <w:tcBorders>
              <w:top w:val="single" w:sz="8" w:color="auto"/>
            </w:tcBorders>
            <w:gridSpan w:val="4"/>
          </w:tcPr>
          <w:p>
            <w:pPr>
              <w:jc w:val="right"/>
              <w:ind w:right="950"/>
              <w:spacing w:after="0"/>
              <w:rPr>
                <w:sz w:val="20"/>
                <w:szCs w:val="20"/>
                <w:color w:val="auto"/>
              </w:rPr>
            </w:pPr>
            <w:r>
              <w:rPr>
                <w:rFonts w:ascii="Arial" w:cs="Arial" w:eastAsia="Arial" w:hAnsi="Arial"/>
                <w:sz w:val="18"/>
                <w:szCs w:val="18"/>
                <w:color w:val="auto"/>
              </w:rPr>
              <w:t>Three months ended</w:t>
            </w:r>
          </w:p>
        </w:tc>
      </w:tr>
      <w:tr>
        <w:trPr>
          <w:trHeight w:val="249"/>
        </w:trPr>
        <w:tc>
          <w:tcPr>
            <w:tcW w:w="69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December 31</w:t>
            </w:r>
          </w:p>
        </w:tc>
        <w:tc>
          <w:tcPr>
            <w:tcW w:w="1160" w:type="dxa"/>
            <w:vAlign w:val="bottom"/>
            <w:tcBorders>
              <w:bottom w:val="single" w:sz="8" w:color="auto"/>
            </w:tcBorders>
          </w:tcPr>
          <w:p>
            <w:pPr>
              <w:spacing w:after="0"/>
              <w:rPr>
                <w:sz w:val="21"/>
                <w:szCs w:val="21"/>
                <w:color w:val="auto"/>
              </w:rPr>
            </w:pPr>
          </w:p>
        </w:tc>
      </w:tr>
      <w:tr>
        <w:trPr>
          <w:trHeight w:val="237"/>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r>
      <w:tr>
        <w:trPr>
          <w:trHeight w:val="243"/>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(used) by:</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Operating activities from continuing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(29 )</w:t>
            </w:r>
          </w:p>
        </w:tc>
        <w:tc>
          <w:tcPr>
            <w:tcW w:w="6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Investing activities from continuing operations</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Financing activities from continuing operations</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(27 )</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Discontinued operations</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(34 )</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277"/>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(114 )</w:t>
            </w:r>
          </w:p>
        </w:tc>
        <w:tc>
          <w:tcPr>
            <w:tcW w:w="1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-25400</wp:posOffset>
            </wp:positionV>
            <wp:extent cx="1117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-7620</wp:posOffset>
            </wp:positionV>
            <wp:extent cx="1117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93" w:lineRule="exact"/>
        <w:rPr>
          <w:sz w:val="20"/>
          <w:szCs w:val="20"/>
          <w:color w:val="auto"/>
        </w:rPr>
      </w:pPr>
    </w:p>
    <w:p>
      <w:pPr>
        <w:jc w:val="both"/>
        <w:ind w:right="60"/>
        <w:spacing w:after="0" w:line="260" w:lineRule="auto"/>
        <w:rPr>
          <w:sz w:val="20"/>
          <w:szCs w:val="20"/>
          <w:color w:val="auto"/>
        </w:rPr>
      </w:pPr>
      <w:r>
        <w:rPr>
          <w:rFonts w:ascii="Arial" w:cs="Arial" w:eastAsia="Arial" w:hAnsi="Arial"/>
          <w:sz w:val="20"/>
          <w:szCs w:val="20"/>
          <w:color w:val="auto"/>
        </w:rPr>
        <w:t>Cash and cash equivalents decreased $114 million for the three months ended December 31, 2022 compared to a $16 million decrease for the three months ended December 31, 2021.</w:t>
      </w:r>
    </w:p>
    <w:p>
      <w:pPr>
        <w:spacing w:after="0" w:line="69" w:lineRule="exact"/>
        <w:rPr>
          <w:sz w:val="20"/>
          <w:szCs w:val="20"/>
          <w:color w:val="auto"/>
        </w:rPr>
      </w:pPr>
    </w:p>
    <w:p>
      <w:pPr>
        <w:jc w:val="both"/>
        <w:ind w:right="60"/>
        <w:spacing w:after="0" w:line="246" w:lineRule="auto"/>
        <w:rPr>
          <w:sz w:val="20"/>
          <w:szCs w:val="20"/>
          <w:color w:val="auto"/>
        </w:rPr>
      </w:pPr>
      <w:r>
        <w:rPr>
          <w:rFonts w:ascii="Arial" w:cs="Arial" w:eastAsia="Arial" w:hAnsi="Arial"/>
          <w:sz w:val="20"/>
          <w:szCs w:val="20"/>
          <w:color w:val="auto"/>
        </w:rPr>
        <w:t>The $114 million decrease for the three months ended December 31, 2022 was primarily driven by payment of cash dividends, additions to property, plant and equipment, and taxes paid on stock based compensation of $18 million, $23 million and $9 million, respectively. Operating cash flows from continuing operations were outflows of $29 million, while discontinued operations cash flows were outflows of $34 million.</w:t>
      </w:r>
    </w:p>
    <w:p>
      <w:pPr>
        <w:spacing w:after="0" w:line="83" w:lineRule="exact"/>
        <w:rPr>
          <w:sz w:val="20"/>
          <w:szCs w:val="20"/>
          <w:color w:val="auto"/>
        </w:rPr>
      </w:pPr>
    </w:p>
    <w:p>
      <w:pPr>
        <w:jc w:val="both"/>
        <w:ind w:right="60"/>
        <w:spacing w:after="0" w:line="246" w:lineRule="auto"/>
        <w:rPr>
          <w:sz w:val="20"/>
          <w:szCs w:val="20"/>
          <w:color w:val="auto"/>
        </w:rPr>
      </w:pPr>
      <w:r>
        <w:rPr>
          <w:rFonts w:ascii="Arial" w:cs="Arial" w:eastAsia="Arial" w:hAnsi="Arial"/>
          <w:sz w:val="20"/>
          <w:szCs w:val="20"/>
          <w:color w:val="auto"/>
        </w:rPr>
        <w:t>The $16 million decrease for the three months ended December 31, 2021 was primarily driven by payment of cash dividends of $17 million and additions to property, plant and equipment of $15 million offset by net proceeds from short-term debt of $11 million. Operating cash flows from continuing operations were inflows of $14 million, while discontinued operations cash flows were outflows of $9 million.</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Free cash flow and other liquidity resources</w:t>
      </w:r>
    </w:p>
    <w:p>
      <w:pPr>
        <w:spacing w:after="0" w:line="108" w:lineRule="exact"/>
        <w:rPr>
          <w:sz w:val="20"/>
          <w:szCs w:val="20"/>
          <w:color w:val="auto"/>
        </w:rPr>
      </w:pPr>
    </w:p>
    <w:p>
      <w:pPr>
        <w:jc w:val="both"/>
        <w:ind w:right="60"/>
        <w:spacing w:after="0" w:line="287" w:lineRule="auto"/>
        <w:rPr>
          <w:sz w:val="20"/>
          <w:szCs w:val="20"/>
          <w:color w:val="auto"/>
        </w:rPr>
      </w:pPr>
      <w:r>
        <w:rPr>
          <w:rFonts w:ascii="Arial" w:cs="Arial" w:eastAsia="Arial" w:hAnsi="Arial"/>
          <w:sz w:val="19"/>
          <w:szCs w:val="19"/>
          <w:color w:val="auto"/>
        </w:rPr>
        <w:t>The following represents Ashland’s calculation of free cash flow and ongoing free cash flow for the disclosed periods. Free cash flow does not reflect adjustments for certain non-discretionary cash flows such as mandatory debt repayments.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1"/>
                <w:szCs w:val="21"/>
                <w:color w:val="auto"/>
              </w:rPr>
            </w:pPr>
          </w:p>
        </w:tc>
      </w:tr>
      <w:tr>
        <w:trPr>
          <w:trHeight w:val="24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w w:val="97"/>
              </w:rPr>
              <w:t>Total cash flows provided (used) by operating activities from continuing operations</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(29 )</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less:</w:t>
            </w: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64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7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21"/>
                <w:szCs w:val="21"/>
                <w:color w:val="auto"/>
              </w:rPr>
            </w:pPr>
          </w:p>
        </w:tc>
      </w:tr>
      <w:tr>
        <w:trPr>
          <w:trHeight w:val="236"/>
        </w:trPr>
        <w:tc>
          <w:tcPr>
            <w:tcW w:w="6420" w:type="dxa"/>
            <w:vAlign w:val="bottom"/>
          </w:tcPr>
          <w:p>
            <w:pPr>
              <w:spacing w:after="0"/>
              <w:rPr>
                <w:sz w:val="20"/>
                <w:szCs w:val="20"/>
                <w:color w:val="auto"/>
              </w:rPr>
            </w:pPr>
            <w:r>
              <w:rPr>
                <w:rFonts w:ascii="Arial" w:cs="Arial" w:eastAsia="Arial" w:hAnsi="Arial"/>
                <w:sz w:val="18"/>
                <w:szCs w:val="18"/>
                <w:color w:val="auto"/>
              </w:rPr>
              <w:t>Free cash flow</w:t>
            </w:r>
          </w:p>
        </w:tc>
        <w:tc>
          <w:tcPr>
            <w:tcW w:w="7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(52 )</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0"/>
                <w:szCs w:val="20"/>
                <w:color w:val="auto"/>
              </w:rPr>
            </w:pPr>
          </w:p>
        </w:tc>
      </w:tr>
      <w:tr>
        <w:trPr>
          <w:trHeight w:val="24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Cash (inflows) outflows from U.S. Accounts Receivable Sales Program </w:t>
            </w:r>
            <w:r>
              <w:rPr>
                <w:rFonts w:ascii="Arial" w:cs="Arial" w:eastAsia="Arial" w:hAnsi="Arial"/>
                <w:sz w:val="14"/>
                <w:szCs w:val="14"/>
                <w:color w:val="auto"/>
              </w:rPr>
              <w:t>(a)</w:t>
            </w:r>
          </w:p>
        </w:tc>
        <w:tc>
          <w:tcPr>
            <w:tcW w:w="7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 xml:space="preserve">Restructuring-related payments </w:t>
            </w:r>
            <w:r>
              <w:rPr>
                <w:rFonts w:ascii="Arial" w:cs="Arial" w:eastAsia="Arial" w:hAnsi="Arial"/>
                <w:sz w:val="14"/>
                <w:szCs w:val="14"/>
                <w:color w:val="auto"/>
              </w:rPr>
              <w:t>(b)</w:t>
            </w:r>
          </w:p>
        </w:tc>
        <w:tc>
          <w:tcPr>
            <w:tcW w:w="7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r>
      <w:tr>
        <w:trPr>
          <w:trHeight w:val="243"/>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Environmental and related litigation payments </w:t>
            </w:r>
            <w:r>
              <w:rPr>
                <w:rFonts w:ascii="Arial" w:cs="Arial" w:eastAsia="Arial" w:hAnsi="Arial"/>
                <w:sz w:val="14"/>
                <w:szCs w:val="14"/>
                <w:color w:val="auto"/>
              </w:rPr>
              <w:t>(c)</w:t>
            </w:r>
          </w:p>
        </w:tc>
        <w:tc>
          <w:tcPr>
            <w:tcW w:w="7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Ongoing free cash flow</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60" w:type="dxa"/>
            <w:vAlign w:val="bottom"/>
          </w:tcPr>
          <w:p>
            <w:pPr>
              <w:spacing w:after="0"/>
              <w:rPr>
                <w:sz w:val="20"/>
                <w:szCs w:val="20"/>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6420" w:type="dxa"/>
            <w:vAlign w:val="bottom"/>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4"/>
                <w:szCs w:val="14"/>
                <w:color w:val="auto"/>
              </w:rPr>
              <w:t>(d)</w:t>
            </w:r>
          </w:p>
        </w:tc>
        <w:tc>
          <w:tcPr>
            <w:tcW w:w="78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r>
      <w:tr>
        <w:trPr>
          <w:trHeight w:val="249"/>
        </w:trPr>
        <w:tc>
          <w:tcPr>
            <w:tcW w:w="64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 xml:space="preserve">Ongoing free cash flow conversion </w:t>
            </w:r>
            <w:r>
              <w:rPr>
                <w:rFonts w:ascii="Arial" w:cs="Arial" w:eastAsia="Arial" w:hAnsi="Arial"/>
                <w:sz w:val="14"/>
                <w:szCs w:val="14"/>
                <w:color w:val="auto"/>
              </w:rPr>
              <w:t>(e)</w:t>
            </w:r>
          </w:p>
        </w:tc>
        <w:tc>
          <w:tcPr>
            <w:tcW w:w="7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-19 %</w:t>
            </w:r>
          </w:p>
        </w:tc>
        <w:tc>
          <w:tcPr>
            <w:tcW w:w="7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5335905</wp:posOffset>
            </wp:positionH>
            <wp:positionV relativeFrom="paragraph">
              <wp:posOffset>-1423035</wp:posOffset>
            </wp:positionV>
            <wp:extent cx="102870" cy="1631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-796925</wp:posOffset>
            </wp:positionV>
            <wp:extent cx="102870"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102235</wp:posOffset>
            </wp:positionV>
            <wp:extent cx="66262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44" w:lineRule="exact"/>
        <w:rPr>
          <w:sz w:val="20"/>
          <w:szCs w:val="20"/>
          <w:color w:val="auto"/>
        </w:rPr>
      </w:pPr>
    </w:p>
    <w:p>
      <w:pPr>
        <w:ind w:left="360" w:hanging="358"/>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activity associated with the U.S. Accounts Receivable Sales Program impacting each period presented.</w:t>
      </w:r>
    </w:p>
    <w:p>
      <w:pPr>
        <w:spacing w:after="0" w:line="28" w:lineRule="exact"/>
        <w:rPr>
          <w:rFonts w:ascii="Arial" w:cs="Arial" w:eastAsia="Arial" w:hAnsi="Arial"/>
          <w:sz w:val="14"/>
          <w:szCs w:val="14"/>
          <w:color w:val="auto"/>
        </w:rPr>
      </w:pPr>
    </w:p>
    <w:p>
      <w:pPr>
        <w:ind w:left="360" w:hanging="358"/>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Restructuring payments incurred during each period.</w:t>
      </w:r>
    </w:p>
    <w:p>
      <w:pPr>
        <w:spacing w:after="0" w:line="21" w:lineRule="exact"/>
        <w:rPr>
          <w:rFonts w:ascii="Arial" w:cs="Arial" w:eastAsia="Arial" w:hAnsi="Arial"/>
          <w:sz w:val="14"/>
          <w:szCs w:val="14"/>
          <w:color w:val="auto"/>
        </w:rPr>
      </w:pPr>
    </w:p>
    <w:p>
      <w:pPr>
        <w:ind w:left="360" w:hanging="358"/>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cash outflows associated with environmental and related litigation payments which will be reimbursed by the environmental trust.</w:t>
      </w:r>
    </w:p>
    <w:p>
      <w:pPr>
        <w:spacing w:after="0" w:line="21" w:lineRule="exact"/>
        <w:rPr>
          <w:rFonts w:ascii="Arial" w:cs="Arial" w:eastAsia="Arial" w:hAnsi="Arial"/>
          <w:sz w:val="14"/>
          <w:szCs w:val="14"/>
          <w:color w:val="auto"/>
        </w:rPr>
      </w:pPr>
    </w:p>
    <w:p>
      <w:pPr>
        <w:ind w:left="360" w:hanging="358"/>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See adjusted EBITDA reconciliation.</w:t>
      </w:r>
    </w:p>
    <w:p>
      <w:pPr>
        <w:spacing w:after="0" w:line="28" w:lineRule="exact"/>
        <w:rPr>
          <w:rFonts w:ascii="Arial" w:cs="Arial" w:eastAsia="Arial" w:hAnsi="Arial"/>
          <w:sz w:val="14"/>
          <w:szCs w:val="14"/>
          <w:color w:val="auto"/>
        </w:rPr>
      </w:pPr>
    </w:p>
    <w:p>
      <w:pPr>
        <w:ind w:left="360" w:hanging="358"/>
        <w:spacing w:after="0"/>
        <w:tabs>
          <w:tab w:leader="none" w:pos="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Ongoing free cash flow divided by Adjusted EBITDA.</w:t>
      </w:r>
    </w:p>
    <w:p>
      <w:pPr>
        <w:spacing w:after="0" w:line="97" w:lineRule="exact"/>
        <w:rPr>
          <w:sz w:val="20"/>
          <w:szCs w:val="20"/>
          <w:color w:val="auto"/>
        </w:rPr>
      </w:pPr>
    </w:p>
    <w:p>
      <w:pPr>
        <w:jc w:val="both"/>
        <w:ind w:right="60"/>
        <w:spacing w:after="0" w:line="246" w:lineRule="auto"/>
        <w:rPr>
          <w:sz w:val="20"/>
          <w:szCs w:val="20"/>
          <w:color w:val="auto"/>
        </w:rPr>
      </w:pPr>
      <w:r>
        <w:rPr>
          <w:rFonts w:ascii="Arial" w:cs="Arial" w:eastAsia="Arial" w:hAnsi="Arial"/>
          <w:sz w:val="20"/>
          <w:szCs w:val="20"/>
          <w:color w:val="auto"/>
        </w:rPr>
        <w:t>Working capital (current assets minus current liabilities, excluding long-term debt due within one year) amounted to $1,260 million and $1,215 million as of December 31, 2022 and September 30, 2022, respectively. The $45 million increase in working capital was the primary reason of the $47 million decline in ongoing free cash flows between periods primarily as a result of increased inventories to navigate supply-chain issues as well as cost</w:t>
      </w:r>
    </w:p>
    <w:p>
      <w:pPr>
        <w:spacing w:after="0" w:line="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700" w:top="447" w:right="65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20"/>
          <w:szCs w:val="20"/>
          <w:color w:val="auto"/>
        </w:rPr>
        <w:t>inflation and reduced accrued expenses as a result of annual incentive program payouts, which were $24 million higher than the prior year's quarter. Liquid assets (cash, cash equivalents and accounts receivable) amounted to 190% of current liabilities as of December 31, 2022 and September 30, 2022, respectively.</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summary reflects Ashland’s cash, unused borrowing capacity and liquidity as of December 31, 2022 and September 30, 2022.</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482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tcPr>
          <w:p>
            <w:pPr>
              <w:jc w:val="center"/>
              <w:ind w:left="1590"/>
              <w:spacing w:after="0"/>
              <w:rPr>
                <w:sz w:val="20"/>
                <w:szCs w:val="20"/>
                <w:color w:val="auto"/>
              </w:rPr>
            </w:pPr>
            <w:r>
              <w:rPr>
                <w:rFonts w:ascii="Arial" w:cs="Arial" w:eastAsia="Arial" w:hAnsi="Arial"/>
                <w:sz w:val="18"/>
                <w:szCs w:val="18"/>
                <w:color w:val="auto"/>
                <w:w w:val="88"/>
              </w:rPr>
              <w:t>December 31</w:t>
            </w:r>
          </w:p>
        </w:tc>
        <w:tc>
          <w:tcPr>
            <w:tcW w:w="5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September 30</w:t>
            </w:r>
          </w:p>
        </w:tc>
      </w:tr>
      <w:tr>
        <w:trPr>
          <w:trHeight w:val="249"/>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2022</w:t>
            </w:r>
          </w:p>
        </w:tc>
      </w:tr>
      <w:tr>
        <w:trPr>
          <w:trHeight w:val="239"/>
        </w:trPr>
        <w:tc>
          <w:tcPr>
            <w:tcW w:w="4820" w:type="dxa"/>
            <w:vAlign w:val="bottom"/>
          </w:tcPr>
          <w:p>
            <w:pPr>
              <w:spacing w:after="0"/>
              <w:rPr>
                <w:sz w:val="20"/>
                <w:szCs w:val="20"/>
                <w:color w:val="auto"/>
              </w:rPr>
            </w:pPr>
            <w:r>
              <w:rPr>
                <w:rFonts w:ascii="Arial" w:cs="Arial" w:eastAsia="Arial" w:hAnsi="Arial"/>
                <w:sz w:val="18"/>
                <w:szCs w:val="18"/>
                <w:b w:val="1"/>
                <w:bCs w:val="1"/>
                <w:color w:val="auto"/>
              </w:rPr>
              <w:t>Cash and investment securities</w:t>
            </w:r>
          </w:p>
        </w:tc>
        <w:tc>
          <w:tcPr>
            <w:tcW w:w="2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7"/>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shd w:val="clear" w:color="auto" w:fill="CFF0FC"/>
          </w:tcPr>
          <w:p>
            <w:pPr>
              <w:jc w:val="right"/>
              <w:ind w:right="13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532</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646</w:t>
            </w: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288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404</w:t>
            </w:r>
          </w:p>
        </w:tc>
        <w:tc>
          <w:tcPr>
            <w:tcW w:w="420" w:type="dxa"/>
            <w:vAlign w:val="bottom"/>
          </w:tcPr>
          <w:p>
            <w:pPr>
              <w:spacing w:after="0"/>
              <w:rPr>
                <w:sz w:val="20"/>
                <w:szCs w:val="20"/>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374</w:t>
            </w:r>
          </w:p>
        </w:tc>
      </w:tr>
      <w:tr>
        <w:trPr>
          <w:trHeight w:val="249"/>
        </w:trPr>
        <w:tc>
          <w:tcPr>
            <w:tcW w:w="4820" w:type="dxa"/>
            <w:vAlign w:val="bottom"/>
            <w:shd w:val="clear" w:color="auto" w:fill="CFF0FC"/>
          </w:tcPr>
          <w:p>
            <w:pPr>
              <w:spacing w:after="0"/>
              <w:rPr>
                <w:sz w:val="21"/>
                <w:szCs w:val="21"/>
                <w:color w:val="auto"/>
              </w:rPr>
            </w:pPr>
          </w:p>
        </w:tc>
        <w:tc>
          <w:tcPr>
            <w:tcW w:w="28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Arial" w:cs="Arial" w:eastAsia="Arial" w:hAnsi="Arial"/>
                <w:sz w:val="18"/>
                <w:szCs w:val="18"/>
                <w:b w:val="1"/>
                <w:bCs w:val="1"/>
                <w:color w:val="auto"/>
              </w:rPr>
              <w:t>Unused borrowing capacity and liquidity</w:t>
            </w:r>
          </w:p>
        </w:tc>
        <w:tc>
          <w:tcPr>
            <w:tcW w:w="2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7"/>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8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581</w:t>
            </w:r>
          </w:p>
        </w:tc>
        <w:tc>
          <w:tcPr>
            <w:tcW w:w="42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581</w:t>
            </w: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2018 accounts receivable securitization (foreign)</w:t>
            </w:r>
          </w:p>
        </w:tc>
        <w:tc>
          <w:tcPr>
            <w:tcW w:w="288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0"/>
                <w:szCs w:val="20"/>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4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sales program (U.S.)</w:t>
            </w:r>
          </w:p>
        </w:tc>
        <w:tc>
          <w:tcPr>
            <w:tcW w:w="28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148"/>
        </w:trPr>
        <w:tc>
          <w:tcPr>
            <w:tcW w:w="482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bl>
    <w:p>
      <w:pPr>
        <w:spacing w:after="0" w:line="89" w:lineRule="exact"/>
        <w:rPr>
          <w:sz w:val="20"/>
          <w:szCs w:val="20"/>
          <w:color w:val="auto"/>
        </w:rPr>
      </w:pPr>
    </w:p>
    <w:p>
      <w:pPr>
        <w:ind w:left="360" w:hanging="358"/>
        <w:spacing w:after="0" w:line="253" w:lineRule="auto"/>
        <w:tabs>
          <w:tab w:leader="none" w:pos="3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$259 million and $245 million related to the Asbestos trust and $145 million and $129 million related to the Environmental trust as of December 31, 2022 and September 30, 2022, respectively.</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borrowing capacity remaining under the $600 million revolving credit facility was $581 million due to an outstanding balance of zero, as well as a reduction of $19 million for letters of credit outstanding at December 31, 2022. In total, Ashland’s available liquidity position, which includes cash, the revolving credit facility and foreign accounts receivable securitization facility, was $1,219 million at December 31, 2022, compared to $1,326 million at September 30, 2022. Ashland had no available liquidity under the U.S. Accounts Receivable Sales Program as of December 31, 2022. Ashland also maintained $404 million of restricted investments to pay for future asbestos claims and environmental remediation and related litigation.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summary reflects Ashland’s debt as of December 31, 2022 and September 30, 2022.</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66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December 31</w:t>
            </w:r>
          </w:p>
        </w:tc>
        <w:tc>
          <w:tcPr>
            <w:tcW w:w="5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7"/>
              </w:rPr>
              <w:t>September 30</w:t>
            </w:r>
          </w:p>
        </w:tc>
      </w:tr>
      <w:tr>
        <w:trPr>
          <w:trHeight w:val="249"/>
        </w:trPr>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2022</w:t>
            </w:r>
          </w:p>
        </w:tc>
      </w:tr>
      <w:tr>
        <w:trPr>
          <w:trHeight w:val="24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1400" w:type="dxa"/>
            <w:vAlign w:val="bottom"/>
            <w:shd w:val="clear" w:color="auto" w:fill="CFF0FC"/>
          </w:tcPr>
          <w:p>
            <w:pPr>
              <w:jc w:val="right"/>
              <w:ind w:right="12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600" w:type="dxa"/>
            <w:vAlign w:val="bottom"/>
          </w:tcPr>
          <w:p>
            <w:pPr>
              <w:spacing w:after="0"/>
              <w:rPr>
                <w:sz w:val="20"/>
                <w:szCs w:val="20"/>
                <w:color w:val="auto"/>
              </w:rPr>
            </w:pPr>
            <w:r>
              <w:rPr>
                <w:rFonts w:ascii="Arial" w:cs="Arial" w:eastAsia="Arial" w:hAnsi="Arial"/>
                <w:sz w:val="18"/>
                <w:szCs w:val="18"/>
                <w:color w:val="auto"/>
              </w:rPr>
              <w:t xml:space="preserve">Long-term debt (less current portion and debt issuance cost discounts) </w:t>
            </w:r>
            <w:r>
              <w:rPr>
                <w:rFonts w:ascii="Arial" w:cs="Arial" w:eastAsia="Arial" w:hAnsi="Arial"/>
                <w:sz w:val="14"/>
                <w:szCs w:val="14"/>
                <w:color w:val="auto"/>
              </w:rPr>
              <w:t>(a)</w:t>
            </w:r>
          </w:p>
        </w:tc>
        <w:tc>
          <w:tcPr>
            <w:tcW w:w="14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1,316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1,270</w:t>
            </w:r>
          </w:p>
        </w:tc>
      </w:tr>
      <w:tr>
        <w:trPr>
          <w:trHeight w:val="276"/>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1400" w:type="dxa"/>
            <w:vAlign w:val="bottom"/>
            <w:tcBorders>
              <w:bottom w:val="single" w:sz="8" w:color="auto"/>
            </w:tcBorders>
            <w:shd w:val="clear" w:color="auto" w:fill="CFF0FC"/>
          </w:tcPr>
          <w:p>
            <w:pPr>
              <w:jc w:val="right"/>
              <w:ind w:right="12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1,316</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1,270</w:t>
            </w:r>
          </w:p>
        </w:tc>
      </w:tr>
      <w:tr>
        <w:trPr>
          <w:trHeight w:val="135"/>
        </w:trPr>
        <w:tc>
          <w:tcPr>
            <w:tcW w:w="66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5447030</wp:posOffset>
            </wp:positionH>
            <wp:positionV relativeFrom="paragraph">
              <wp:posOffset>-128270</wp:posOffset>
            </wp:positionV>
            <wp:extent cx="68580"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spacing w:after="0" w:line="74" w:lineRule="exact"/>
        <w:rPr>
          <w:sz w:val="20"/>
          <w:szCs w:val="20"/>
          <w:color w:val="auto"/>
        </w:rPr>
      </w:pPr>
    </w:p>
    <w:p>
      <w:pPr>
        <w:ind w:left="360" w:hanging="358"/>
        <w:spacing w:after="0"/>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$14 million of debt issuance cost discounts as of December 31, 2022 and September 30, 2022</w:t>
      </w:r>
      <w:r>
        <w:rPr>
          <w:rFonts w:ascii="Arial" w:cs="Arial" w:eastAsia="Arial" w:hAnsi="Arial"/>
          <w:sz w:val="17"/>
          <w:szCs w:val="17"/>
          <w:color w:val="auto"/>
        </w:rPr>
        <w:t>,</w:t>
      </w:r>
      <w:r>
        <w:rPr>
          <w:rFonts w:ascii="Arial" w:cs="Arial" w:eastAsia="Arial" w:hAnsi="Arial"/>
          <w:sz w:val="14"/>
          <w:szCs w:val="14"/>
          <w:color w:val="auto"/>
        </w:rPr>
        <w:t xml:space="preserve"> respectively.</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Debt as a percent of capital employed was 28% at December 31, 2022 and at September 30, 2022, respectively. At December 31, 2022, Ashland’s total debt had an outstanding principal balance of $1,366 million, discounts of $36 million, and debt issuance costs of $14 million. Ashland had no long-term debt (excluding debt issuance costs) maturing within the next 4 years and $4 million due in fiscal 2027.</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credit ratings</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Ashland’s corporate credit ratings remained unchanged at BB+ by Standard &amp; Poor’s and Ba1 by Moody’s Investor Services. As of December 31, 2022, both Moody’s Investor Services and Standard &amp; Poor's outlook remained at stable. Subsequent changes to these ratings or outlook may have an effect on Ashland’s borrowing rate or ability to access capital markets in the future.</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debt covenant restrictions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Ashland's current credit agreement (the 2022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42" w:name="page43"/>
    <w:bookmarkEnd w:id="42"/>
    <w:p>
      <w:pPr>
        <w:jc w:val="both"/>
        <w:ind w:left="380"/>
        <w:spacing w:after="0" w:line="260" w:lineRule="auto"/>
        <w:rPr>
          <w:sz w:val="20"/>
          <w:szCs w:val="20"/>
          <w:color w:val="auto"/>
        </w:rPr>
      </w:pPr>
      <w:r>
        <w:rPr>
          <w:rFonts w:ascii="Arial" w:cs="Arial" w:eastAsia="Arial" w:hAnsi="Arial"/>
          <w:sz w:val="20"/>
          <w:szCs w:val="20"/>
          <w:color w:val="auto"/>
        </w:rPr>
        <w:t>mergers, sale of assets and restricted payments and other customary limitations. As of December 31, 2022, Ashland is in compliance with all debt agreement covenant restrictions under the 2022 Credit Agreement.</w:t>
      </w:r>
    </w:p>
    <w:p>
      <w:pPr>
        <w:spacing w:after="0" w:line="69" w:lineRule="exact"/>
        <w:rPr>
          <w:sz w:val="20"/>
          <w:szCs w:val="20"/>
          <w:color w:val="auto"/>
        </w:rPr>
      </w:pPr>
    </w:p>
    <w:p>
      <w:pPr>
        <w:jc w:val="both"/>
        <w:ind w:left="380"/>
        <w:spacing w:after="0" w:line="271" w:lineRule="auto"/>
        <w:rPr>
          <w:sz w:val="20"/>
          <w:szCs w:val="20"/>
          <w:color w:val="auto"/>
        </w:rPr>
      </w:pPr>
      <w:r>
        <w:rPr>
          <w:rFonts w:ascii="Arial" w:cs="Arial" w:eastAsia="Arial" w:hAnsi="Arial"/>
          <w:sz w:val="18"/>
          <w:szCs w:val="18"/>
          <w:color w:val="auto"/>
        </w:rPr>
        <w:t>The maximum consolidated net leverage ratio permitted under the 2022 Credit Agreement is 4.0. The 2022 Credit Agreement defines the consolidated net leverage ratio as the ratio of consolidated indebtedness minus unrestricted cash and cash equivalents to consolidated EBITDA (Covenant Adjusted EBITDA) for any measurement period. In general, the 2022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December 31, 2022, Ashland’s calculation of the consolidated net leverage ratio was 1.3.</w:t>
      </w:r>
    </w:p>
    <w:p>
      <w:pPr>
        <w:spacing w:after="0" w:line="62"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The minimum required consolidated interest coverage ratio under the 2022 Credit Agreement is 3.0. The 2022 Credit Agreement defines the consolidated interest coverage ratio as the ratio of Covenant Adjusted EBITDA to consolidated interest charges for any measurement period. At December 31, 2022, Ashland’s calculation of the consolidated interest coverage ratio was 10.8.</w:t>
      </w:r>
    </w:p>
    <w:p>
      <w:pPr>
        <w:spacing w:after="0" w:line="44"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Any change in Covenant Adjusted EBITDA of $100 million would have an approximate 0.2x effect on the consolidated net leverage ratio and a 1.8x effect on the consolidated interest coverage ratio. The change in consolidated indebtedness of $100 million would affect the consolidated leverage ratio by approximately 0.2x.</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Additional capital resources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Total equity</w:t>
      </w:r>
    </w:p>
    <w:p>
      <w:pPr>
        <w:spacing w:after="0" w:line="108" w:lineRule="exact"/>
        <w:rPr>
          <w:sz w:val="20"/>
          <w:szCs w:val="20"/>
          <w:color w:val="auto"/>
        </w:rPr>
      </w:pPr>
    </w:p>
    <w:p>
      <w:pPr>
        <w:jc w:val="both"/>
        <w:ind w:left="380"/>
        <w:spacing w:after="0" w:line="269" w:lineRule="auto"/>
        <w:rPr>
          <w:sz w:val="20"/>
          <w:szCs w:val="20"/>
          <w:color w:val="auto"/>
        </w:rPr>
      </w:pPr>
      <w:r>
        <w:rPr>
          <w:rFonts w:ascii="Arial" w:cs="Arial" w:eastAsia="Arial" w:hAnsi="Arial"/>
          <w:sz w:val="19"/>
          <w:szCs w:val="19"/>
          <w:color w:val="auto"/>
        </w:rPr>
        <w:t>Total equity increased by $98 million since September 30, 2022 to $3,318 million at December 31, 2022. The increase of $98 million was due to net income of $40 million and deferred translation gain of $82, offset by dividends of $18 million, common shares issued under stock incentive plans of $2 million and $4 million of deferred loss on commodity hedges.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Stockholder dividends</w:t>
      </w:r>
    </w:p>
    <w:p>
      <w:pPr>
        <w:spacing w:after="0" w:line="108"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Ashland paid a dividend of 33.5 cents per share for the first quarter of fiscal 2023 and 30.0 cents per share in the first quarter of fiscal 2022.</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i w:val="1"/>
          <w:iCs w:val="1"/>
          <w:color w:val="auto"/>
        </w:rPr>
        <w:t>Capital expenditures</w:t>
      </w:r>
    </w:p>
    <w:p>
      <w:pPr>
        <w:spacing w:after="0" w:line="108"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Capital expenditures were $23 million for the three months ended December 31, 2022 compared to $15 million for the three months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14" w:lineRule="exact"/>
        <w:rPr>
          <w:sz w:val="20"/>
          <w:szCs w:val="20"/>
          <w:color w:val="auto"/>
        </w:rPr>
      </w:pPr>
    </w:p>
    <w:p>
      <w:pPr>
        <w:jc w:val="both"/>
        <w:ind w:left="380"/>
        <w:spacing w:after="0" w:line="271" w:lineRule="auto"/>
        <w:rPr>
          <w:sz w:val="20"/>
          <w:szCs w:val="20"/>
          <w:color w:val="auto"/>
        </w:rPr>
      </w:pPr>
      <w:r>
        <w:rPr>
          <w:rFonts w:ascii="Arial" w:cs="Arial" w:eastAsia="Arial" w:hAnsi="Arial"/>
          <w:sz w:val="18"/>
          <w:szCs w:val="18"/>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2022.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three months ended December 31, 2022.</w:t>
      </w:r>
    </w:p>
    <w:p>
      <w:pPr>
        <w:spacing w:after="0" w:line="28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7" w:right="71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auto"/>
        </w:rPr>
        <w:t>OUTLOOK</w:t>
      </w:r>
    </w:p>
    <w:p>
      <w:pPr>
        <w:spacing w:after="0" w:line="114" w:lineRule="exact"/>
        <w:rPr>
          <w:sz w:val="20"/>
          <w:szCs w:val="20"/>
          <w:color w:val="auto"/>
        </w:rPr>
      </w:pPr>
    </w:p>
    <w:p>
      <w:pPr>
        <w:jc w:val="both"/>
        <w:ind w:left="380"/>
        <w:spacing w:after="0" w:line="263" w:lineRule="auto"/>
        <w:rPr>
          <w:sz w:val="20"/>
          <w:szCs w:val="20"/>
          <w:color w:val="auto"/>
        </w:rPr>
      </w:pPr>
      <w:r>
        <w:rPr>
          <w:rFonts w:ascii="Arial" w:cs="Arial" w:eastAsia="Arial" w:hAnsi="Arial"/>
          <w:sz w:val="19"/>
          <w:szCs w:val="19"/>
          <w:color w:val="auto"/>
        </w:rPr>
        <w:t>Ashland issued its outlook for fiscal 2023 in November 2022. This outlook has not changed and remains the same as shown in the table below. Ashland continues to expect sales in the range of $2.5 billion to $2.7 billion for fiscal year 2023, consistent with prior expectations. In addition, the company continues to expect Adjusted EBITDA to be within the prior outlook range of $600 million to $650 million, with the current forecast model indicating earnings below the mid-point of that range.</w:t>
      </w:r>
    </w:p>
    <w:p>
      <w:pPr>
        <w:spacing w:after="0" w:line="65" w:lineRule="exact"/>
        <w:rPr>
          <w:sz w:val="20"/>
          <w:szCs w:val="20"/>
          <w:color w:val="auto"/>
        </w:rPr>
      </w:pPr>
    </w:p>
    <w:tbl>
      <w:tblPr>
        <w:tblLayout w:type="fixed"/>
        <w:tblInd w:w="420" w:type="dxa"/>
        <w:tblCellMar>
          <w:top w:w="0" w:type="dxa"/>
          <w:left w:w="0" w:type="dxa"/>
          <w:bottom w:w="0" w:type="dxa"/>
          <w:right w:w="0" w:type="dxa"/>
        </w:tblCellMar>
      </w:tblPr>
      <w:tr>
        <w:trPr>
          <w:trHeight w:val="252"/>
        </w:trPr>
        <w:tc>
          <w:tcPr>
            <w:tcW w:w="4580" w:type="dxa"/>
            <w:vAlign w:val="bottom"/>
            <w:tcBorders>
              <w:top w:val="single" w:sz="8" w:color="auto"/>
              <w:bottom w:val="single" w:sz="8" w:color="auto"/>
            </w:tcBorders>
          </w:tcPr>
          <w:p>
            <w:pPr>
              <w:spacing w:after="0"/>
              <w:rPr>
                <w:sz w:val="21"/>
                <w:szCs w:val="21"/>
                <w:color w:val="auto"/>
              </w:rPr>
            </w:pPr>
          </w:p>
        </w:tc>
        <w:tc>
          <w:tcPr>
            <w:tcW w:w="5840" w:type="dxa"/>
            <w:vAlign w:val="bottom"/>
            <w:tcBorders>
              <w:top w:val="single" w:sz="8" w:color="auto"/>
              <w:bottom w:val="single" w:sz="8" w:color="auto"/>
            </w:tcBorders>
          </w:tcPr>
          <w:p>
            <w:pPr>
              <w:jc w:val="center"/>
              <w:ind w:left="1110"/>
              <w:spacing w:after="0"/>
              <w:rPr>
                <w:sz w:val="20"/>
                <w:szCs w:val="20"/>
                <w:color w:val="auto"/>
              </w:rPr>
            </w:pPr>
            <w:r>
              <w:rPr>
                <w:rFonts w:ascii="Arial" w:cs="Arial" w:eastAsia="Arial" w:hAnsi="Arial"/>
                <w:sz w:val="18"/>
                <w:szCs w:val="18"/>
                <w:b w:val="1"/>
                <w:bCs w:val="1"/>
                <w:color w:val="auto"/>
                <w:w w:val="94"/>
              </w:rPr>
              <w:t>FY2023 Outlook</w:t>
            </w:r>
          </w:p>
        </w:tc>
      </w:tr>
      <w:tr>
        <w:trPr>
          <w:trHeight w:val="241"/>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Key Operating Metrics</w:t>
            </w:r>
          </w:p>
        </w:tc>
        <w:tc>
          <w:tcPr>
            <w:tcW w:w="5840" w:type="dxa"/>
            <w:vAlign w:val="bottom"/>
            <w:shd w:val="clear" w:color="auto" w:fill="CFF0FC"/>
          </w:tcPr>
          <w:p>
            <w:pPr>
              <w:spacing w:after="0"/>
              <w:rPr>
                <w:sz w:val="20"/>
                <w:szCs w:val="20"/>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Sales</w:t>
            </w:r>
          </w:p>
        </w:tc>
        <w:tc>
          <w:tcPr>
            <w:tcW w:w="5840" w:type="dxa"/>
            <w:vAlign w:val="bottom"/>
          </w:tcPr>
          <w:p>
            <w:pPr>
              <w:jc w:val="center"/>
              <w:ind w:left="1090"/>
              <w:spacing w:after="0"/>
              <w:rPr>
                <w:sz w:val="20"/>
                <w:szCs w:val="20"/>
                <w:color w:val="auto"/>
              </w:rPr>
            </w:pPr>
            <w:r>
              <w:rPr>
                <w:rFonts w:ascii="Arial" w:cs="Arial" w:eastAsia="Arial" w:hAnsi="Arial"/>
                <w:sz w:val="18"/>
                <w:szCs w:val="18"/>
                <w:color w:val="auto"/>
                <w:w w:val="94"/>
              </w:rPr>
              <w:t>$2.5 - $2.7 billion</w:t>
            </w:r>
          </w:p>
        </w:tc>
      </w:tr>
      <w:tr>
        <w:trPr>
          <w:trHeight w:val="24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5840" w:type="dxa"/>
            <w:vAlign w:val="bottom"/>
            <w:shd w:val="clear" w:color="auto" w:fill="CFF0FC"/>
          </w:tcPr>
          <w:p>
            <w:pPr>
              <w:jc w:val="center"/>
              <w:ind w:left="1110"/>
              <w:spacing w:after="0"/>
              <w:rPr>
                <w:sz w:val="20"/>
                <w:szCs w:val="20"/>
                <w:color w:val="auto"/>
              </w:rPr>
            </w:pPr>
            <w:r>
              <w:rPr>
                <w:rFonts w:ascii="Arial" w:cs="Arial" w:eastAsia="Arial" w:hAnsi="Arial"/>
                <w:sz w:val="18"/>
                <w:szCs w:val="18"/>
                <w:color w:val="auto"/>
                <w:w w:val="94"/>
              </w:rPr>
              <w:t>$600 - $650 million</w:t>
            </w:r>
          </w:p>
        </w:tc>
      </w:tr>
      <w:tr>
        <w:trPr>
          <w:trHeight w:val="148"/>
        </w:trPr>
        <w:tc>
          <w:tcPr>
            <w:tcW w:w="4580" w:type="dxa"/>
            <w:vAlign w:val="bottom"/>
            <w:tcBorders>
              <w:bottom w:val="single" w:sz="8" w:color="auto"/>
            </w:tcBorders>
          </w:tcPr>
          <w:p>
            <w:pPr>
              <w:spacing w:after="0"/>
              <w:rPr>
                <w:sz w:val="12"/>
                <w:szCs w:val="12"/>
                <w:color w:val="auto"/>
              </w:rPr>
            </w:pPr>
          </w:p>
        </w:tc>
        <w:tc>
          <w:tcPr>
            <w:tcW w:w="5840" w:type="dxa"/>
            <w:vAlign w:val="bottom"/>
            <w:tcBorders>
              <w:bottom w:val="single" w:sz="8" w:color="auto"/>
            </w:tcBorders>
          </w:tcPr>
          <w:p>
            <w:pPr>
              <w:spacing w:after="0"/>
              <w:rPr>
                <w:sz w:val="12"/>
                <w:szCs w:val="12"/>
                <w:color w:val="auto"/>
              </w:rPr>
            </w:pPr>
          </w:p>
        </w:tc>
      </w:tr>
    </w:tbl>
    <w:p>
      <w:pPr>
        <w:spacing w:after="0" w:line="91" w:lineRule="exact"/>
        <w:rPr>
          <w:sz w:val="20"/>
          <w:szCs w:val="20"/>
          <w:color w:val="auto"/>
        </w:rPr>
      </w:pPr>
    </w:p>
    <w:p>
      <w:pPr>
        <w:jc w:val="both"/>
        <w:ind w:left="380"/>
        <w:spacing w:after="0" w:line="287" w:lineRule="auto"/>
        <w:rPr>
          <w:sz w:val="20"/>
          <w:szCs w:val="20"/>
          <w:color w:val="auto"/>
        </w:rPr>
      </w:pPr>
      <w:r>
        <w:rPr>
          <w:rFonts w:ascii="Arial" w:cs="Arial" w:eastAsia="Arial" w:hAnsi="Arial"/>
          <w:sz w:val="19"/>
          <w:szCs w:val="19"/>
          <w:color w:val="auto"/>
        </w:rPr>
        <w:t>Ashland is unable to reconcile forward-looking adjusted EBITDA to forward-looking net income, the most closely comparable GAAP financial measure, because the information needed to provide such reconciliation would require unreasonable efforts.</w:t>
      </w:r>
    </w:p>
    <w:p>
      <w:pPr>
        <w:spacing w:after="0" w:line="4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49" w:right="71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1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Ashland’s market risk exposure at December 31, 2022 is generally consistent with the types of market risk exposures presented in Ashland’s Annual Report on Form 10-K for the fiscal year ended September 30, 2022.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114" w:lineRule="exact"/>
        <w:rPr>
          <w:sz w:val="20"/>
          <w:szCs w:val="20"/>
          <w:color w:val="auto"/>
        </w:rPr>
      </w:pPr>
    </w:p>
    <w:p>
      <w:pPr>
        <w:jc w:val="both"/>
        <w:ind w:left="380"/>
        <w:spacing w:after="0" w:line="278"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 As of the end of the period covered by this quarterly report, Ashland, under the supervision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with the participation of its management, including Ashland’s Chief Executive Officer and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December 31, 2022.</w:t>
      </w:r>
    </w:p>
    <w:p>
      <w:pPr>
        <w:spacing w:after="0" w:line="57"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During the three months ended December 31, 2022, there were no</w:t>
      </w:r>
      <w:r>
        <w:rPr>
          <w:rFonts w:ascii="Arial" w:cs="Arial" w:eastAsia="Arial" w:hAnsi="Arial"/>
          <w:sz w:val="20"/>
          <w:szCs w:val="20"/>
          <w:i w:val="1"/>
          <w:iCs w:val="1"/>
          <w:color w:val="auto"/>
        </w:rPr>
        <w:t xml:space="preserve"> </w:t>
      </w:r>
      <w:r>
        <w:rPr>
          <w:rFonts w:ascii="Arial" w:cs="Arial" w:eastAsia="Arial" w:hAnsi="Arial"/>
          <w:sz w:val="20"/>
          <w:szCs w:val="20"/>
          <w:color w:val="auto"/>
        </w:rPr>
        <w:t>significant 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33" w:right="719" w:bottom="1440" w:gutter="0" w:footer="0" w:header="0"/>
        </w:sectPr>
      </w:pPr>
    </w:p>
    <w:bookmarkStart w:id="45" w:name="page46"/>
    <w:bookmarkEnd w:id="45"/>
    <w:p>
      <w:pPr>
        <w:jc w:val="center"/>
        <w:ind w:right="-379"/>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14" w:lineRule="exact"/>
        <w:rPr>
          <w:sz w:val="20"/>
          <w:szCs w:val="20"/>
          <w:color w:val="auto"/>
        </w:rPr>
      </w:pPr>
    </w:p>
    <w:p>
      <w:pPr>
        <w:jc w:val="both"/>
        <w:ind w:left="380"/>
        <w:spacing w:after="0" w:line="316" w:lineRule="auto"/>
        <w:rPr>
          <w:sz w:val="20"/>
          <w:szCs w:val="20"/>
          <w:color w:val="auto"/>
        </w:rPr>
      </w:pPr>
      <w:r>
        <w:rPr>
          <w:rFonts w:ascii="Arial" w:cs="Arial" w:eastAsia="Arial" w:hAnsi="Arial"/>
          <w:sz w:val="18"/>
          <w:szCs w:val="18"/>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Asbestos-Related Litigation</w:t>
      </w:r>
    </w:p>
    <w:p>
      <w:pPr>
        <w:spacing w:after="0" w:line="108"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83"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44"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Ashland and Hercules are also defendants in lawsuits alleging exposure to asbestos at facilities formerly or presently owned or operated by Ashland or Hercules.</w:t>
      </w:r>
    </w:p>
    <w:p>
      <w:pPr>
        <w:spacing w:after="0" w:line="69" w:lineRule="exact"/>
        <w:rPr>
          <w:sz w:val="20"/>
          <w:szCs w:val="20"/>
          <w:color w:val="auto"/>
        </w:rPr>
      </w:pPr>
    </w:p>
    <w:p>
      <w:pPr>
        <w:jc w:val="both"/>
        <w:ind w:left="380"/>
        <w:spacing w:after="0" w:line="260" w:lineRule="auto"/>
        <w:rPr>
          <w:sz w:val="20"/>
          <w:szCs w:val="20"/>
          <w:color w:val="auto"/>
        </w:rPr>
      </w:pPr>
      <w:r>
        <w:rPr>
          <w:rFonts w:ascii="Arial" w:cs="Arial" w:eastAsia="Arial" w:hAnsi="Arial"/>
          <w:sz w:val="20"/>
          <w:szCs w:val="20"/>
          <w:color w:val="auto"/>
        </w:rPr>
        <w:t>For additional detailed information regarding liabilities arising from asbestos-related litigation, see Note L of Notes to Condensed Consolidated Financial Statements in this quarterly report on Form 10-Q.</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Environmental Proceedings</w:t>
      </w:r>
    </w:p>
    <w:p>
      <w:pPr>
        <w:spacing w:after="0" w:line="108" w:lineRule="exact"/>
        <w:rPr>
          <w:sz w:val="20"/>
          <w:szCs w:val="20"/>
          <w:color w:val="auto"/>
        </w:rPr>
      </w:pPr>
    </w:p>
    <w:p>
      <w:pPr>
        <w:jc w:val="both"/>
        <w:ind w:left="380" w:firstLine="2"/>
        <w:spacing w:after="0" w:line="255" w:lineRule="auto"/>
        <w:tabs>
          <w:tab w:leader="none" w:pos="664" w:val="left"/>
        </w:tabs>
        <w:numPr>
          <w:ilvl w:val="0"/>
          <w:numId w:val="32"/>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CERCLA and Similar State Law Sites - </w:t>
      </w:r>
      <w:r>
        <w:rPr>
          <w:rFonts w:ascii="Arial" w:cs="Arial" w:eastAsia="Arial" w:hAnsi="Arial"/>
          <w:sz w:val="19"/>
          <w:szCs w:val="19"/>
          <w:color w:val="auto"/>
        </w:rPr>
        <w:t>Under the Comprehensive Environmental Response, Compensation and Liability Act of</w:t>
      </w:r>
      <w:r>
        <w:rPr>
          <w:rFonts w:ascii="Arial" w:cs="Arial" w:eastAsia="Arial" w:hAnsi="Arial"/>
          <w:sz w:val="19"/>
          <w:szCs w:val="19"/>
          <w:i w:val="1"/>
          <w:iCs w:val="1"/>
          <w:color w:val="auto"/>
        </w:rPr>
        <w:t xml:space="preserve"> </w:t>
      </w:r>
      <w:r>
        <w:rPr>
          <w:rFonts w:ascii="Arial" w:cs="Arial" w:eastAsia="Arial" w:hAnsi="Arial"/>
          <w:sz w:val="19"/>
          <w:szCs w:val="19"/>
          <w:color w:val="auto"/>
        </w:rPr>
        <w:t>1980 and similar state laws, Ashland and its subsidiaries may be subject to joint and several liability for cleanup costs in connection with alleged releases of hazardous substances at sites where it has been identified as a “potentially responsible party” (PRP). As of December 31, 2022, Ashland and its subsidiaries have been identified as a PRP by U.S. federal and state authorities, or by private parties seeking contribution, for the cost of environmental investigation and/or cleanup at 59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81" w:lineRule="exact"/>
        <w:rPr>
          <w:rFonts w:ascii="Arial" w:cs="Arial" w:eastAsia="Arial" w:hAnsi="Arial"/>
          <w:sz w:val="19"/>
          <w:szCs w:val="19"/>
          <w:i w:val="1"/>
          <w:iCs w:val="1"/>
          <w:color w:val="auto"/>
        </w:rPr>
      </w:pPr>
    </w:p>
    <w:p>
      <w:pPr>
        <w:jc w:val="both"/>
        <w:ind w:left="380" w:firstLine="2"/>
        <w:spacing w:after="0" w:line="270" w:lineRule="auto"/>
        <w:tabs>
          <w:tab w:leader="none" w:pos="706"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Lower Passaic River, New Jersey Matters - </w:t>
      </w:r>
      <w:r>
        <w:rPr>
          <w:rFonts w:ascii="Arial" w:cs="Arial" w:eastAsia="Arial" w:hAnsi="Arial"/>
          <w:sz w:val="18"/>
          <w:szCs w:val="18"/>
          <w:color w:val="auto"/>
        </w:rPr>
        <w:t>Ashland, through two formerly owned facilities, and International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(ISP), through a now-closed facility, have been identified as PRPs, along with approximately 70 other companies (the Cooperating Parties Group or the CPG), in a May 2007 Administrative Order of Consent (AOOC) with the USEPA. The parties are required to perform a remedial investigation and feasibility study (RI/FS) of the entire 17 miles of the Passaic River. In June 2007, the USEPA separately commenced a Focused Feasibility Study (FFS) as an interim measure. In accordance with the 2007 AOOC, in June 2012 the CPG voluntarily entered into another AOOC for an interim removal action focused solely at mile 10.9 of the Passaic River. The allocations for the 2007 AOOC and the 2012 removal action are based on interim allocations, are immaterial and have been accrued. In April 2014, the USEPA released the FFS. The CPG submitted the Draft RI/FS Report on April 30, 2015. The USEPA has released the FFS Record of Decision for the lower 8 miles and reached an agreement with another chemical company to conduct and pay for the remedial design. This chemical company has sued Ashland, ISP and numerous other defendants to recover past and future costs pursuant to the CERCLA. Ashland's motion to dismiss was partially granted, and the surviving claims are in the early stages of recovery. Ashland and ISP participated in an USEPA allocation process that resulted in a partial settlement with the EPA. Possible future allocation proceedings and the lawsuit are not expected to be material to Ashland.</w:t>
      </w:r>
    </w:p>
    <w:p>
      <w:pPr>
        <w:spacing w:after="0" w:line="64" w:lineRule="exact"/>
        <w:rPr>
          <w:sz w:val="20"/>
          <w:szCs w:val="20"/>
          <w:color w:val="auto"/>
        </w:rPr>
      </w:pPr>
    </w:p>
    <w:p>
      <w:pPr>
        <w:ind w:left="380"/>
        <w:spacing w:after="0" w:line="260" w:lineRule="auto"/>
        <w:rPr>
          <w:sz w:val="20"/>
          <w:szCs w:val="20"/>
          <w:color w:val="auto"/>
        </w:rPr>
      </w:pPr>
      <w:r>
        <w:rPr>
          <w:rFonts w:ascii="Arial" w:cs="Arial" w:eastAsia="Arial" w:hAnsi="Arial"/>
          <w:sz w:val="20"/>
          <w:szCs w:val="20"/>
          <w:color w:val="auto"/>
        </w:rPr>
        <w:t>For additional information regarding environmental matters and reserves, see Note L of Notes to Condensed Consolidated Financial Statements in this quarterly report on Form 10-Q.</w:t>
      </w:r>
    </w:p>
    <w:p>
      <w:pPr>
        <w:spacing w:after="0" w:line="7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33" w:right="71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i w:val="1"/>
          <w:iCs w:val="1"/>
          <w:color w:val="auto"/>
        </w:rPr>
        <w:t>Other Pending Legal Proceedings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December 31, 2022. There is a reasonable possibility that a loss exceeding amounts already recognized may be incurred related to these actions; however, Ashland believes that such potential losses were immaterial as of December 31, 2022.</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47" w:right="71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ITEM 1A. RISK FACTORS</w:t>
      </w:r>
    </w:p>
    <w:p>
      <w:pPr>
        <w:spacing w:after="0" w:line="114" w:lineRule="exact"/>
        <w:rPr>
          <w:sz w:val="20"/>
          <w:szCs w:val="20"/>
          <w:color w:val="auto"/>
        </w:rPr>
      </w:pPr>
    </w:p>
    <w:p>
      <w:pPr>
        <w:ind w:left="380" w:right="40"/>
        <w:spacing w:after="0" w:line="260" w:lineRule="auto"/>
        <w:rPr>
          <w:sz w:val="20"/>
          <w:szCs w:val="20"/>
          <w:color w:val="auto"/>
        </w:rPr>
      </w:pPr>
      <w:r>
        <w:rPr>
          <w:rFonts w:ascii="Arial" w:cs="Arial" w:eastAsia="Arial" w:hAnsi="Arial"/>
          <w:sz w:val="20"/>
          <w:szCs w:val="20"/>
          <w:color w:val="auto"/>
        </w:rPr>
        <w:t>During the period covered by this report, there were no material changes from the risk factors previously disclosed in Ashland’s Annual Report on Form 10-K for the fiscal year ended September 30, 2022.</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There was no share repurchase activity during the three months ended December 31, 2022.</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3960" w:type="dxa"/>
            <w:vAlign w:val="bottom"/>
            <w:gridSpan w:val="4"/>
          </w:tcPr>
          <w:p>
            <w:pPr>
              <w:ind w:left="440"/>
              <w:spacing w:after="0"/>
              <w:rPr>
                <w:sz w:val="20"/>
                <w:szCs w:val="20"/>
                <w:color w:val="auto"/>
              </w:rPr>
            </w:pPr>
            <w:r>
              <w:rPr>
                <w:rFonts w:ascii="Arial" w:cs="Arial" w:eastAsia="Arial" w:hAnsi="Arial"/>
                <w:sz w:val="18"/>
                <w:szCs w:val="18"/>
                <w:color w:val="auto"/>
              </w:rPr>
              <w:t>Issuer Purchases of Equity Securities</w:t>
            </w: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9"/>
        </w:trPr>
        <w:tc>
          <w:tcPr>
            <w:tcW w:w="3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94"/>
              </w:rPr>
              <w:t>Dollar Value of</w:t>
            </w:r>
          </w:p>
        </w:tc>
      </w:tr>
      <w:tr>
        <w:trPr>
          <w:trHeight w:val="216"/>
        </w:trPr>
        <w:tc>
          <w:tcPr>
            <w:tcW w:w="3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6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8"/>
              </w:rPr>
              <w:t>Shares that May</w:t>
            </w:r>
          </w:p>
        </w:tc>
      </w:tr>
      <w:tr>
        <w:trPr>
          <w:trHeight w:val="216"/>
        </w:trPr>
        <w:tc>
          <w:tcPr>
            <w:tcW w:w="3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w w:val="90"/>
              </w:rPr>
              <w:t>Average Price</w:t>
            </w:r>
          </w:p>
        </w:tc>
        <w:tc>
          <w:tcPr>
            <w:tcW w:w="162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6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8"/>
              </w:rPr>
              <w:t>Be Purchased</w:t>
            </w:r>
          </w:p>
        </w:tc>
      </w:tr>
      <w:tr>
        <w:trPr>
          <w:trHeight w:val="216"/>
        </w:trPr>
        <w:tc>
          <w:tcPr>
            <w:tcW w:w="3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w w:val="86"/>
              </w:rPr>
              <w:t>Paid Per Share,</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as Part of Publicly</w:t>
            </w:r>
          </w:p>
        </w:tc>
        <w:tc>
          <w:tcPr>
            <w:tcW w:w="16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Under the Plans</w:t>
            </w:r>
          </w:p>
        </w:tc>
      </w:tr>
      <w:tr>
        <w:trPr>
          <w:trHeight w:val="216"/>
        </w:trPr>
        <w:tc>
          <w:tcPr>
            <w:tcW w:w="3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rPr>
              <w:t>Total Number of</w:t>
            </w:r>
          </w:p>
        </w:tc>
        <w:tc>
          <w:tcPr>
            <w:tcW w:w="1480" w:type="dxa"/>
            <w:vAlign w:val="bottom"/>
          </w:tcPr>
          <w:p>
            <w:pPr>
              <w:jc w:val="center"/>
              <w:ind w:right="190"/>
              <w:spacing w:after="0"/>
              <w:rPr>
                <w:sz w:val="20"/>
                <w:szCs w:val="20"/>
                <w:color w:val="auto"/>
              </w:rPr>
            </w:pPr>
            <w:r>
              <w:rPr>
                <w:rFonts w:ascii="Arial" w:cs="Arial" w:eastAsia="Arial" w:hAnsi="Arial"/>
                <w:sz w:val="18"/>
                <w:szCs w:val="18"/>
                <w:color w:val="auto"/>
                <w:w w:val="95"/>
              </w:rPr>
              <w:t>including</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Announced Plans</w:t>
            </w:r>
          </w:p>
        </w:tc>
        <w:tc>
          <w:tcPr>
            <w:tcW w:w="16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8"/>
              </w:rPr>
              <w:t>or Programs</w:t>
            </w:r>
          </w:p>
        </w:tc>
      </w:tr>
      <w:tr>
        <w:trPr>
          <w:trHeight w:val="244"/>
        </w:trPr>
        <w:tc>
          <w:tcPr>
            <w:tcW w:w="3460" w:type="dxa"/>
            <w:vAlign w:val="bottom"/>
          </w:tcPr>
          <w:p>
            <w:pPr>
              <w:ind w:left="1440"/>
              <w:spacing w:after="0"/>
              <w:rPr>
                <w:sz w:val="20"/>
                <w:szCs w:val="20"/>
                <w:color w:val="auto"/>
              </w:rPr>
            </w:pPr>
            <w:r>
              <w:rPr>
                <w:rFonts w:ascii="Arial" w:cs="Arial" w:eastAsia="Arial" w:hAnsi="Arial"/>
                <w:sz w:val="18"/>
                <w:szCs w:val="18"/>
                <w:color w:val="auto"/>
              </w:rPr>
              <w:t>Q1 Fiscal Periods</w:t>
            </w:r>
          </w:p>
        </w:tc>
        <w:tc>
          <w:tcPr>
            <w:tcW w:w="700" w:type="dxa"/>
            <w:vAlign w:val="bottom"/>
          </w:tcPr>
          <w:p>
            <w:pPr>
              <w:spacing w:after="0"/>
              <w:rPr>
                <w:sz w:val="21"/>
                <w:szCs w:val="21"/>
                <w:color w:val="auto"/>
              </w:rPr>
            </w:pPr>
          </w:p>
        </w:tc>
        <w:tc>
          <w:tcPr>
            <w:tcW w:w="17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Shares Purchased</w:t>
            </w:r>
          </w:p>
        </w:tc>
        <w:tc>
          <w:tcPr>
            <w:tcW w:w="14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0"/>
              </w:rPr>
              <w:t>commission</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or Programs</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5"/>
              </w:rPr>
              <w:t xml:space="preserve">(in millions) </w:t>
            </w:r>
            <w:r>
              <w:rPr>
                <w:rFonts w:ascii="Arial" w:cs="Arial" w:eastAsia="Arial" w:hAnsi="Arial"/>
                <w:sz w:val="14"/>
                <w:szCs w:val="14"/>
                <w:color w:val="auto"/>
                <w:w w:val="95"/>
              </w:rPr>
              <w:t>(a)</w:t>
            </w:r>
          </w:p>
        </w:tc>
      </w:tr>
      <w:tr>
        <w:trPr>
          <w:trHeight w:val="237"/>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October 1, 2022 to October 31, 2022</w:t>
            </w:r>
          </w:p>
        </w:tc>
        <w:tc>
          <w:tcPr>
            <w:tcW w:w="70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ind w:left="1320"/>
              <w:spacing w:after="0"/>
              <w:rPr>
                <w:sz w:val="20"/>
                <w:szCs w:val="20"/>
                <w:color w:val="auto"/>
              </w:rPr>
            </w:pPr>
            <w:r>
              <w:rPr>
                <w:rFonts w:ascii="Arial" w:cs="Arial" w:eastAsia="Arial" w:hAnsi="Arial"/>
                <w:sz w:val="18"/>
                <w:szCs w:val="18"/>
                <w:color w:val="auto"/>
              </w:rPr>
              <w:t>—  $</w:t>
            </w:r>
          </w:p>
        </w:tc>
        <w:tc>
          <w:tcPr>
            <w:tcW w:w="1480" w:type="dxa"/>
            <w:vAlign w:val="bottom"/>
            <w:shd w:val="clear" w:color="auto" w:fill="CFF0FC"/>
          </w:tcPr>
          <w:p>
            <w:pPr>
              <w:ind w:left="1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ind w:left="1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500</w:t>
            </w: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November 1, 2022 to November 30, 2022</w:t>
            </w:r>
          </w:p>
        </w:tc>
        <w:tc>
          <w:tcPr>
            <w:tcW w:w="700" w:type="dxa"/>
            <w:vAlign w:val="bottom"/>
          </w:tcPr>
          <w:p>
            <w:pPr>
              <w:spacing w:after="0"/>
              <w:rPr>
                <w:sz w:val="20"/>
                <w:szCs w:val="20"/>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80" w:type="dxa"/>
            <w:vAlign w:val="bottom"/>
          </w:tcPr>
          <w:p>
            <w:pPr>
              <w:ind w:left="1160"/>
              <w:spacing w:after="0"/>
              <w:rPr>
                <w:sz w:val="20"/>
                <w:szCs w:val="20"/>
                <w:color w:val="auto"/>
              </w:rPr>
            </w:pPr>
            <w:r>
              <w:rPr>
                <w:rFonts w:ascii="Arial" w:cs="Arial" w:eastAsia="Arial" w:hAnsi="Arial"/>
                <w:sz w:val="18"/>
                <w:szCs w:val="18"/>
                <w:color w:val="auto"/>
              </w:rPr>
              <w:t>—</w:t>
            </w:r>
          </w:p>
        </w:tc>
        <w:tc>
          <w:tcPr>
            <w:tcW w:w="1620" w:type="dxa"/>
            <w:vAlign w:val="bottom"/>
          </w:tcPr>
          <w:p>
            <w:pPr>
              <w:ind w:left="1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3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December 1, 2022 to December 31, 2022</w:t>
            </w:r>
          </w:p>
        </w:tc>
        <w:tc>
          <w:tcPr>
            <w:tcW w:w="70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ind w:left="1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ind w:left="116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FF0FC"/>
          </w:tcPr>
          <w:p>
            <w:pPr>
              <w:ind w:left="1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500</w:t>
            </w:r>
          </w:p>
        </w:tc>
      </w:tr>
      <w:tr>
        <w:trPr>
          <w:trHeight w:val="237"/>
        </w:trPr>
        <w:tc>
          <w:tcPr>
            <w:tcW w:w="3460" w:type="dxa"/>
            <w:vAlign w:val="bottom"/>
          </w:tcPr>
          <w:p>
            <w:pPr>
              <w:ind w:left="38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20"/>
                <w:szCs w:val="20"/>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p>
        </w:tc>
        <w:tc>
          <w:tcPr>
            <w:tcW w:w="1620" w:type="dxa"/>
            <w:vAlign w:val="bottom"/>
          </w:tcPr>
          <w:p>
            <w:pPr>
              <w:ind w:left="1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0"/>
        </w:trPr>
        <w:tc>
          <w:tcPr>
            <w:tcW w:w="3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35"/>
        </w:trPr>
        <w:tc>
          <w:tcPr>
            <w:tcW w:w="3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-290830</wp:posOffset>
            </wp:positionV>
            <wp:extent cx="8890" cy="291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69" w:lineRule="exact"/>
        <w:rPr>
          <w:sz w:val="20"/>
          <w:szCs w:val="20"/>
          <w:color w:val="auto"/>
        </w:rPr>
      </w:pPr>
    </w:p>
    <w:p>
      <w:pPr>
        <w:jc w:val="both"/>
        <w:ind w:left="740" w:right="40" w:hanging="358"/>
        <w:spacing w:after="0" w:line="233" w:lineRule="auto"/>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During May 2022, Ashland’s Board of Directors approved a new evergreen $500 million stock repurchase program which replaced the previous stock repurchase program. Ashland’s stock repurchase program does not obligate it to acquire any specific number of shares. Under the program, shares may be repurchased in privately negotiated and/or open market transactions, including under plans complying with Rule 10b5-1 of the Exchange Act. As of December 31, 2022, $500 million remains available for repurchase under this authorization.</w:t>
      </w: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549" w:right="67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ITEM 6. EXHIBITS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20"/>
          <w:szCs w:val="20"/>
          <w:color w:val="auto"/>
        </w:rPr>
        <w:t>(a) Exhibits</w:t>
      </w:r>
    </w:p>
    <w:p>
      <w:pPr>
        <w:spacing w:after="0" w:line="175" w:lineRule="exact"/>
        <w:rPr>
          <w:sz w:val="20"/>
          <w:szCs w:val="20"/>
          <w:color w:val="auto"/>
        </w:rPr>
      </w:pPr>
    </w:p>
    <w:p>
      <w:pPr>
        <w:jc w:val="both"/>
        <w:ind w:left="1340" w:right="40" w:hanging="1322"/>
        <w:spacing w:after="0" w:line="250" w:lineRule="auto"/>
        <w:tabs>
          <w:tab w:leader="none" w:pos="13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u w:val="single" w:color="auto"/>
          <w:color w:val="0000FF"/>
        </w:rPr>
        <w:t>Amendment dated as of January 13, 2023, to the Tax Matters Agreement dated as of September 22, 2016, between Ashland Inc. (formerly Ashland Global Holdings Inc.) and Valvoline Inc. filed as Exhibit 10.4 to the Form 8-K filed on September 28, 2016 (SEC File No. 333-211719)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-325120</wp:posOffset>
            </wp:positionV>
            <wp:extent cx="62477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4776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-179070</wp:posOffset>
            </wp:positionV>
            <wp:extent cx="62452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45225" cy="889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-33655</wp:posOffset>
            </wp:positionV>
            <wp:extent cx="37738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773805" cy="8255"/>
                    </a:xfrm>
                    <a:prstGeom prst="rect">
                      <a:avLst/>
                    </a:prstGeom>
                    <a:noFill/>
                  </pic:spPr>
                </pic:pic>
              </a:graphicData>
            </a:graphic>
          </wp:anchor>
        </w:drawing>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31.1*</w:t>
            </w:r>
          </w:p>
        </w:tc>
        <w:tc>
          <w:tcPr>
            <w:tcW w:w="9820" w:type="dxa"/>
            <w:vAlign w:val="bottom"/>
            <w:gridSpan w:val="3"/>
          </w:tcPr>
          <w:p>
            <w:pPr>
              <w:spacing w:after="0"/>
              <w:rPr>
                <w:sz w:val="20"/>
                <w:szCs w:val="20"/>
                <w:color w:val="auto"/>
              </w:rPr>
            </w:pPr>
            <w:r>
              <w:rPr>
                <w:rFonts w:ascii="Arial" w:cs="Arial" w:eastAsia="Arial" w:hAnsi="Arial"/>
                <w:sz w:val="20"/>
                <w:szCs w:val="20"/>
                <w:color w:val="0000FF"/>
                <w:w w:val="93"/>
              </w:rPr>
              <w:t>Certificate of Guillermo Novo, Chief Executive Officer of Ashland pursuant to Section 302 of the Sarbanes-Oxley Act of</w:t>
            </w: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440" w:type="dxa"/>
            <w:vAlign w:val="bottom"/>
          </w:tcPr>
          <w:p>
            <w:pPr>
              <w:spacing w:after="0" w:line="209" w:lineRule="exact"/>
              <w:rPr>
                <w:sz w:val="20"/>
                <w:szCs w:val="20"/>
                <w:color w:val="auto"/>
              </w:rPr>
            </w:pPr>
            <w:r>
              <w:rPr>
                <w:rFonts w:ascii="Arial" w:cs="Arial" w:eastAsia="Arial" w:hAnsi="Arial"/>
                <w:sz w:val="20"/>
                <w:szCs w:val="20"/>
                <w:color w:val="0000FF"/>
                <w:w w:val="79"/>
              </w:rPr>
              <w:t>2002.</w:t>
            </w:r>
          </w:p>
        </w:tc>
        <w:tc>
          <w:tcPr>
            <w:tcW w:w="428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493"/>
        </w:trPr>
        <w:tc>
          <w:tcPr>
            <w:tcW w:w="1340" w:type="dxa"/>
            <w:vAlign w:val="bottom"/>
          </w:tcPr>
          <w:p>
            <w:pPr>
              <w:ind w:left="60"/>
              <w:spacing w:after="0"/>
              <w:rPr>
                <w:sz w:val="20"/>
                <w:szCs w:val="20"/>
                <w:color w:val="auto"/>
              </w:rPr>
            </w:pPr>
            <w:r>
              <w:rPr>
                <w:rFonts w:ascii="Arial" w:cs="Arial" w:eastAsia="Arial" w:hAnsi="Arial"/>
                <w:sz w:val="20"/>
                <w:szCs w:val="20"/>
                <w:color w:val="auto"/>
              </w:rPr>
              <w:t>31.2*</w:t>
            </w:r>
          </w:p>
        </w:tc>
        <w:tc>
          <w:tcPr>
            <w:tcW w:w="9820" w:type="dxa"/>
            <w:vAlign w:val="bottom"/>
            <w:gridSpan w:val="3"/>
          </w:tcPr>
          <w:p>
            <w:pPr>
              <w:spacing w:after="0"/>
              <w:rPr>
                <w:sz w:val="20"/>
                <w:szCs w:val="20"/>
                <w:color w:val="auto"/>
              </w:rPr>
            </w:pPr>
            <w:r>
              <w:rPr>
                <w:rFonts w:ascii="Arial" w:cs="Arial" w:eastAsia="Arial" w:hAnsi="Arial"/>
                <w:sz w:val="20"/>
                <w:szCs w:val="20"/>
                <w:color w:val="0000FF"/>
                <w:w w:val="95"/>
              </w:rPr>
              <w:t>Certificate of J. Kevin Willis, Chief Financial Officer of Ashland pursuant to Section 302 of the Sarbanes-Oxley Act of</w:t>
            </w: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440" w:type="dxa"/>
            <w:vAlign w:val="bottom"/>
          </w:tcPr>
          <w:p>
            <w:pPr>
              <w:spacing w:after="0" w:line="209" w:lineRule="exact"/>
              <w:rPr>
                <w:sz w:val="20"/>
                <w:szCs w:val="20"/>
                <w:color w:val="auto"/>
              </w:rPr>
            </w:pPr>
            <w:r>
              <w:rPr>
                <w:rFonts w:ascii="Arial" w:cs="Arial" w:eastAsia="Arial" w:hAnsi="Arial"/>
                <w:sz w:val="20"/>
                <w:szCs w:val="20"/>
                <w:color w:val="0000FF"/>
                <w:w w:val="79"/>
              </w:rPr>
              <w:t>2002.</w:t>
            </w:r>
          </w:p>
        </w:tc>
        <w:tc>
          <w:tcPr>
            <w:tcW w:w="428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493"/>
        </w:trPr>
        <w:tc>
          <w:tcPr>
            <w:tcW w:w="1340" w:type="dxa"/>
            <w:vAlign w:val="bottom"/>
          </w:tcPr>
          <w:p>
            <w:pPr>
              <w:ind w:left="60"/>
              <w:spacing w:after="0"/>
              <w:rPr>
                <w:sz w:val="20"/>
                <w:szCs w:val="20"/>
                <w:color w:val="auto"/>
              </w:rPr>
            </w:pPr>
            <w:r>
              <w:rPr>
                <w:rFonts w:ascii="Arial" w:cs="Arial" w:eastAsia="Arial" w:hAnsi="Arial"/>
                <w:sz w:val="20"/>
                <w:szCs w:val="20"/>
                <w:color w:val="auto"/>
              </w:rPr>
              <w:t>32*</w:t>
            </w:r>
          </w:p>
        </w:tc>
        <w:tc>
          <w:tcPr>
            <w:tcW w:w="9820" w:type="dxa"/>
            <w:vAlign w:val="bottom"/>
            <w:gridSpan w:val="3"/>
          </w:tcPr>
          <w:p>
            <w:pPr>
              <w:spacing w:after="0"/>
              <w:rPr>
                <w:sz w:val="20"/>
                <w:szCs w:val="20"/>
                <w:color w:val="auto"/>
              </w:rPr>
            </w:pPr>
            <w:r>
              <w:rPr>
                <w:rFonts w:ascii="Arial" w:cs="Arial" w:eastAsia="Arial" w:hAnsi="Arial"/>
                <w:sz w:val="20"/>
                <w:szCs w:val="20"/>
                <w:color w:val="0000FF"/>
                <w:w w:val="93"/>
              </w:rPr>
              <w:t>Certificate of Guillermo Novo, Chief Executive Officer of Ashland, and J. Kevin Willis, Chief Financial Officer of Ashland</w:t>
            </w: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720" w:type="dxa"/>
            <w:vAlign w:val="bottom"/>
            <w:gridSpan w:val="2"/>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9820" w:type="dxa"/>
            <w:vAlign w:val="bottom"/>
            <w:gridSpan w:val="3"/>
          </w:tcPr>
          <w:p>
            <w:pPr>
              <w:spacing w:after="0" w:line="209" w:lineRule="exact"/>
              <w:rPr>
                <w:sz w:val="20"/>
                <w:szCs w:val="20"/>
                <w:color w:val="auto"/>
              </w:rPr>
            </w:pPr>
            <w:r>
              <w:rPr>
                <w:rFonts w:ascii="Arial" w:cs="Arial" w:eastAsia="Arial" w:hAnsi="Arial"/>
                <w:sz w:val="20"/>
                <w:szCs w:val="20"/>
                <w:color w:val="0000FF"/>
              </w:rPr>
              <w:t>pursuant to Section 906 of the Sarbanes-Oxley Act of 2002.</w:t>
            </w: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720" w:type="dxa"/>
            <w:vAlign w:val="bottom"/>
            <w:gridSpan w:val="2"/>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538"/>
        </w:trPr>
        <w:tc>
          <w:tcPr>
            <w:tcW w:w="1340" w:type="dxa"/>
            <w:vAlign w:val="bottom"/>
          </w:tcPr>
          <w:p>
            <w:pPr>
              <w:spacing w:after="0"/>
              <w:rPr>
                <w:sz w:val="20"/>
                <w:szCs w:val="20"/>
                <w:color w:val="auto"/>
              </w:rPr>
            </w:pPr>
            <w:r>
              <w:rPr>
                <w:rFonts w:ascii="Arial" w:cs="Arial" w:eastAsia="Arial" w:hAnsi="Arial"/>
                <w:sz w:val="20"/>
                <w:szCs w:val="20"/>
                <w:color w:val="auto"/>
              </w:rPr>
              <w:t>101.INS**</w:t>
            </w:r>
          </w:p>
        </w:tc>
        <w:tc>
          <w:tcPr>
            <w:tcW w:w="9820" w:type="dxa"/>
            <w:vAlign w:val="bottom"/>
            <w:gridSpan w:val="3"/>
          </w:tcPr>
          <w:p>
            <w:pPr>
              <w:spacing w:after="0"/>
              <w:rPr>
                <w:sz w:val="20"/>
                <w:szCs w:val="20"/>
                <w:color w:val="auto"/>
              </w:rPr>
            </w:pPr>
            <w:r>
              <w:rPr>
                <w:rFonts w:ascii="Arial" w:cs="Arial" w:eastAsia="Arial" w:hAnsi="Arial"/>
                <w:sz w:val="20"/>
                <w:szCs w:val="20"/>
                <w:color w:val="auto"/>
              </w:rPr>
              <w:t>Inline XBRL Instance Document.</w:t>
            </w:r>
          </w:p>
        </w:tc>
      </w:tr>
      <w:tr>
        <w:trPr>
          <w:trHeight w:val="513"/>
        </w:trPr>
        <w:tc>
          <w:tcPr>
            <w:tcW w:w="1340" w:type="dxa"/>
            <w:vAlign w:val="bottom"/>
          </w:tcPr>
          <w:p>
            <w:pPr>
              <w:spacing w:after="0"/>
              <w:rPr>
                <w:sz w:val="20"/>
                <w:szCs w:val="20"/>
                <w:color w:val="auto"/>
              </w:rPr>
            </w:pPr>
            <w:r>
              <w:rPr>
                <w:rFonts w:ascii="Arial" w:cs="Arial" w:eastAsia="Arial" w:hAnsi="Arial"/>
                <w:sz w:val="20"/>
                <w:szCs w:val="20"/>
                <w:color w:val="auto"/>
              </w:rPr>
              <w:t>101.SCH**</w:t>
            </w:r>
          </w:p>
        </w:tc>
        <w:tc>
          <w:tcPr>
            <w:tcW w:w="9820" w:type="dxa"/>
            <w:vAlign w:val="bottom"/>
            <w:gridSpan w:val="3"/>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513"/>
        </w:trPr>
        <w:tc>
          <w:tcPr>
            <w:tcW w:w="1340" w:type="dxa"/>
            <w:vAlign w:val="bottom"/>
          </w:tcPr>
          <w:p>
            <w:pPr>
              <w:spacing w:after="0"/>
              <w:rPr>
                <w:sz w:val="20"/>
                <w:szCs w:val="20"/>
                <w:color w:val="auto"/>
              </w:rPr>
            </w:pPr>
            <w:r>
              <w:rPr>
                <w:rFonts w:ascii="Arial" w:cs="Arial" w:eastAsia="Arial" w:hAnsi="Arial"/>
                <w:sz w:val="20"/>
                <w:szCs w:val="20"/>
                <w:color w:val="auto"/>
              </w:rPr>
              <w:t>101.CAL**</w:t>
            </w:r>
          </w:p>
        </w:tc>
        <w:tc>
          <w:tcPr>
            <w:tcW w:w="9820" w:type="dxa"/>
            <w:vAlign w:val="bottom"/>
            <w:gridSpan w:val="3"/>
          </w:tcPr>
          <w:p>
            <w:pPr>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513"/>
        </w:trPr>
        <w:tc>
          <w:tcPr>
            <w:tcW w:w="1340" w:type="dxa"/>
            <w:vAlign w:val="bottom"/>
          </w:tcPr>
          <w:p>
            <w:pPr>
              <w:spacing w:after="0"/>
              <w:rPr>
                <w:sz w:val="20"/>
                <w:szCs w:val="20"/>
                <w:color w:val="auto"/>
              </w:rPr>
            </w:pPr>
            <w:r>
              <w:rPr>
                <w:rFonts w:ascii="Arial" w:cs="Arial" w:eastAsia="Arial" w:hAnsi="Arial"/>
                <w:sz w:val="20"/>
                <w:szCs w:val="20"/>
                <w:color w:val="auto"/>
              </w:rPr>
              <w:t>101.DEF**</w:t>
            </w:r>
          </w:p>
        </w:tc>
        <w:tc>
          <w:tcPr>
            <w:tcW w:w="9820" w:type="dxa"/>
            <w:vAlign w:val="bottom"/>
            <w:gridSpan w:val="3"/>
          </w:tcPr>
          <w:p>
            <w:pPr>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513"/>
        </w:trPr>
        <w:tc>
          <w:tcPr>
            <w:tcW w:w="1340" w:type="dxa"/>
            <w:vAlign w:val="bottom"/>
          </w:tcPr>
          <w:p>
            <w:pPr>
              <w:spacing w:after="0"/>
              <w:rPr>
                <w:sz w:val="20"/>
                <w:szCs w:val="20"/>
                <w:color w:val="auto"/>
              </w:rPr>
            </w:pPr>
            <w:r>
              <w:rPr>
                <w:rFonts w:ascii="Arial" w:cs="Arial" w:eastAsia="Arial" w:hAnsi="Arial"/>
                <w:sz w:val="20"/>
                <w:szCs w:val="20"/>
                <w:color w:val="auto"/>
              </w:rPr>
              <w:t>101.LAB**</w:t>
            </w:r>
          </w:p>
        </w:tc>
        <w:tc>
          <w:tcPr>
            <w:tcW w:w="9820" w:type="dxa"/>
            <w:vAlign w:val="bottom"/>
            <w:gridSpan w:val="3"/>
          </w:tcPr>
          <w:p>
            <w:pPr>
              <w:spacing w:after="0"/>
              <w:rPr>
                <w:sz w:val="20"/>
                <w:szCs w:val="20"/>
                <w:color w:val="auto"/>
              </w:rPr>
            </w:pPr>
            <w:r>
              <w:rPr>
                <w:rFonts w:ascii="Arial" w:cs="Arial" w:eastAsia="Arial" w:hAnsi="Arial"/>
                <w:sz w:val="20"/>
                <w:szCs w:val="20"/>
                <w:color w:val="auto"/>
              </w:rPr>
              <w:t>Inline XBRL Taxonomy Extension Label Linkbase Document.</w:t>
            </w:r>
          </w:p>
        </w:tc>
      </w:tr>
      <w:tr>
        <w:trPr>
          <w:trHeight w:val="513"/>
        </w:trPr>
        <w:tc>
          <w:tcPr>
            <w:tcW w:w="1340" w:type="dxa"/>
            <w:vAlign w:val="bottom"/>
          </w:tcPr>
          <w:p>
            <w:pPr>
              <w:spacing w:after="0"/>
              <w:rPr>
                <w:sz w:val="20"/>
                <w:szCs w:val="20"/>
                <w:color w:val="auto"/>
              </w:rPr>
            </w:pPr>
            <w:r>
              <w:rPr>
                <w:rFonts w:ascii="Arial" w:cs="Arial" w:eastAsia="Arial" w:hAnsi="Arial"/>
                <w:sz w:val="20"/>
                <w:szCs w:val="20"/>
                <w:color w:val="auto"/>
              </w:rPr>
              <w:t>101.PRE**</w:t>
            </w:r>
          </w:p>
        </w:tc>
        <w:tc>
          <w:tcPr>
            <w:tcW w:w="9820" w:type="dxa"/>
            <w:vAlign w:val="bottom"/>
            <w:gridSpan w:val="3"/>
          </w:tcPr>
          <w:p>
            <w:pPr>
              <w:spacing w:after="0"/>
              <w:rPr>
                <w:sz w:val="20"/>
                <w:szCs w:val="20"/>
                <w:color w:val="auto"/>
              </w:rPr>
            </w:pPr>
            <w:r>
              <w:rPr>
                <w:rFonts w:ascii="Arial" w:cs="Arial" w:eastAsia="Arial" w:hAnsi="Arial"/>
                <w:sz w:val="20"/>
                <w:szCs w:val="20"/>
                <w:color w:val="auto"/>
              </w:rPr>
              <w:t>Inline XBRL Taxonomy Extension Presentation Linkbase Document.</w:t>
            </w:r>
          </w:p>
        </w:tc>
      </w:tr>
    </w:tbl>
    <w:p>
      <w:pPr>
        <w:spacing w:after="0" w:line="263" w:lineRule="exact"/>
        <w:rPr>
          <w:sz w:val="20"/>
          <w:szCs w:val="20"/>
          <w:color w:val="auto"/>
        </w:rPr>
      </w:pPr>
    </w:p>
    <w:p>
      <w:pPr>
        <w:ind w:left="1340" w:hanging="1319"/>
        <w:spacing w:after="0"/>
        <w:tabs>
          <w:tab w:leader="none" w:pos="13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119"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Filed herewith.</w:t>
      </w:r>
    </w:p>
    <w:p>
      <w:pPr>
        <w:jc w:val="both"/>
        <w:ind w:left="1220" w:hanging="618"/>
        <w:spacing w:after="0" w:line="238" w:lineRule="auto"/>
        <w:tabs>
          <w:tab w:leader="none" w:pos="1220" w:val="left"/>
        </w:tabs>
        <w:numPr>
          <w:ilvl w:val="1"/>
          <w:numId w:val="35"/>
        </w:numPr>
        <w:rPr>
          <w:rFonts w:ascii="Arial" w:cs="Arial" w:eastAsia="Arial" w:hAnsi="Arial"/>
          <w:sz w:val="13"/>
          <w:szCs w:val="13"/>
          <w:color w:val="auto"/>
        </w:rPr>
      </w:pPr>
      <w:r>
        <w:rPr>
          <w:rFonts w:ascii="Arial" w:cs="Arial" w:eastAsia="Arial" w:hAnsi="Arial"/>
          <w:sz w:val="13"/>
          <w:szCs w:val="13"/>
          <w:color w:val="auto"/>
        </w:rPr>
        <w:t>Attached as Exhibit 101 to this report are the following documents formatted in XBRL (Extensible Business Reporting Language): (i) Statements of Consolidated Comprehensive Income (Loss) for the three months ended December 31, 2022 and December 31, 2021; (ii) Condensed Consolidated Balance Sheets at December 31, 2022 and September 30, 2022; (iii) Statements of Condensed Consolidated Cash Flows for the three months ended December 31, 2022 and December 31, 2021; and (iv) Notes to</w:t>
      </w:r>
    </w:p>
    <w:p>
      <w:pPr>
        <w:ind w:left="1220"/>
        <w:spacing w:after="0" w:line="205" w:lineRule="auto"/>
        <w:rPr>
          <w:sz w:val="20"/>
          <w:szCs w:val="20"/>
          <w:color w:val="auto"/>
        </w:rPr>
      </w:pPr>
      <w:r>
        <w:rPr>
          <w:rFonts w:ascii="Arial" w:cs="Arial" w:eastAsia="Arial" w:hAnsi="Arial"/>
          <w:sz w:val="14"/>
          <w:szCs w:val="14"/>
          <w:color w:val="auto"/>
        </w:rPr>
        <w:t>Condensed Consolidated Financial Statements.</w:t>
      </w:r>
    </w:p>
    <w:p>
      <w:pPr>
        <w:ind w:left="600"/>
        <w:spacing w:after="0" w:line="196" w:lineRule="auto"/>
        <w:rPr>
          <w:sz w:val="20"/>
          <w:szCs w:val="20"/>
          <w:color w:val="auto"/>
        </w:rPr>
      </w:pPr>
      <w:r>
        <w:rPr>
          <w:rFonts w:ascii="Arial" w:cs="Arial" w:eastAsia="Arial" w:hAnsi="Arial"/>
          <w:sz w:val="7"/>
          <w:szCs w:val="7"/>
          <w:color w:val="auto"/>
        </w:rPr>
        <w:t>SM</w:t>
      </w:r>
    </w:p>
    <w:p>
      <w:pPr>
        <w:ind w:left="1220"/>
        <w:spacing w:after="0"/>
        <w:rPr>
          <w:sz w:val="20"/>
          <w:szCs w:val="20"/>
          <w:color w:val="auto"/>
        </w:rPr>
      </w:pPr>
      <w:r>
        <w:rPr>
          <w:rFonts w:ascii="Arial" w:cs="Arial" w:eastAsia="Arial" w:hAnsi="Arial"/>
          <w:sz w:val="14"/>
          <w:szCs w:val="14"/>
          <w:color w:val="auto"/>
        </w:rPr>
        <w:t>Service mark, Ashland or its subsidiaries, registered in various countries.</w:t>
      </w:r>
    </w:p>
    <w:p>
      <w:pPr>
        <w:spacing w:after="0" w:line="30" w:lineRule="exact"/>
        <w:rPr>
          <w:sz w:val="20"/>
          <w:szCs w:val="20"/>
          <w:color w:val="auto"/>
        </w:rPr>
      </w:pPr>
    </w:p>
    <w:p>
      <w:pPr>
        <w:ind w:left="1220" w:hanging="618"/>
        <w:spacing w:after="0"/>
        <w:tabs>
          <w:tab w:leader="none" w:pos="12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Trademark, Ashland or its subsidiaries, registered in various countries.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9" w:name="page50"/>
    <w:bookmarkEnd w:id="49"/>
    <w:p>
      <w:pPr>
        <w:jc w:val="center"/>
        <w:ind w:right="300"/>
        <w:spacing w:after="0"/>
        <w:rPr>
          <w:sz w:val="20"/>
          <w:szCs w:val="20"/>
          <w:color w:val="auto"/>
        </w:rPr>
      </w:pPr>
      <w:r>
        <w:rPr>
          <w:rFonts w:ascii="Arial" w:cs="Arial" w:eastAsia="Arial" w:hAnsi="Arial"/>
          <w:sz w:val="20"/>
          <w:szCs w:val="20"/>
          <w:b w:val="1"/>
          <w:bCs w:val="1"/>
          <w:color w:val="auto"/>
        </w:rPr>
        <w:t>SIGNATURE</w:t>
      </w:r>
    </w:p>
    <w:p>
      <w:pPr>
        <w:spacing w:after="0" w:line="114" w:lineRule="exact"/>
        <w:rPr>
          <w:sz w:val="20"/>
          <w:szCs w:val="20"/>
          <w:color w:val="auto"/>
        </w:rPr>
      </w:pPr>
    </w:p>
    <w:p>
      <w:pPr>
        <w:ind w:left="8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9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Ashland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23495</wp:posOffset>
            </wp:positionV>
            <wp:extent cx="33858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0"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(Registrant)</w:t>
      </w:r>
    </w:p>
    <w:p>
      <w:pPr>
        <w:spacing w:after="0" w:line="36"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February 1, 2023</w:t>
      </w:r>
      <w:r>
        <w:rPr>
          <w:sz w:val="20"/>
          <w:szCs w:val="20"/>
          <w:color w:val="auto"/>
        </w:rPr>
        <w:tab/>
      </w:r>
      <w:r>
        <w:rPr>
          <w:rFonts w:ascii="Arial" w:cs="Arial" w:eastAsia="Arial" w:hAnsi="Arial"/>
          <w:sz w:val="17"/>
          <w:szCs w:val="17"/>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23495</wp:posOffset>
            </wp:positionV>
            <wp:extent cx="33858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J. Kevin Willis</w:t>
      </w:r>
    </w:p>
    <w:p>
      <w:pPr>
        <w:spacing w:after="0" w:line="3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financial officer)</w:t>
      </w:r>
    </w:p>
    <w:p>
      <w:pPr>
        <w:spacing w:after="0" w:line="33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333" w:right="339" w:bottom="1440" w:gutter="0" w:footer="0" w:header="0"/>
        </w:sectPr>
      </w:pPr>
    </w:p>
    <w:bookmarkStart w:id="50" w:name="page51"/>
    <w:bookmarkEnd w:id="50"/>
    <w:p>
      <w:pPr>
        <w:ind w:left="10060"/>
        <w:spacing w:after="0"/>
        <w:rPr>
          <w:sz w:val="20"/>
          <w:szCs w:val="20"/>
          <w:color w:val="auto"/>
        </w:rPr>
      </w:pPr>
      <w:r>
        <w:rPr>
          <w:rFonts w:ascii="Arial" w:cs="Arial" w:eastAsia="Arial" w:hAnsi="Arial"/>
          <w:sz w:val="19"/>
          <w:szCs w:val="19"/>
          <w:color w:val="auto"/>
        </w:rPr>
        <w:t>EXHIBIT 10.1</w:t>
      </w:r>
    </w:p>
    <w:p>
      <w:pPr>
        <w:spacing w:after="0" w:line="249" w:lineRule="exact"/>
        <w:rPr>
          <w:sz w:val="20"/>
          <w:szCs w:val="20"/>
          <w:color w:val="auto"/>
        </w:rPr>
      </w:pPr>
    </w:p>
    <w:p>
      <w:pPr>
        <w:ind w:left="2260" w:right="60" w:firstLine="749"/>
        <w:spacing w:after="0" w:line="287" w:lineRule="auto"/>
        <w:rPr>
          <w:sz w:val="20"/>
          <w:szCs w:val="20"/>
          <w:color w:val="auto"/>
        </w:rPr>
      </w:pPr>
      <w:r>
        <w:rPr>
          <w:rFonts w:ascii="Arial" w:cs="Arial" w:eastAsia="Arial" w:hAnsi="Arial"/>
          <w:sz w:val="19"/>
          <w:szCs w:val="19"/>
          <w:color w:val="auto"/>
        </w:rPr>
        <w:t>AMENDMENT, dated as of January 13, 2023 (this “Amendment”), between ASHLAND INC. (f/k/a ASHLAND GLOBAL HOLDINGS INC.), Delaware corporation (“Ashland Global”), VALVOLINE INC., (a Kentucky corporation) (“Valvoline”). Capitalized terms used and not otherwise defined herein shall have the meanings given them in the Tax Matters Agreement referred to below.</w:t>
      </w:r>
    </w:p>
    <w:p>
      <w:pPr>
        <w:spacing w:after="0" w:line="251" w:lineRule="exact"/>
        <w:rPr>
          <w:sz w:val="20"/>
          <w:szCs w:val="20"/>
          <w:color w:val="auto"/>
        </w:rPr>
      </w:pPr>
    </w:p>
    <w:p>
      <w:pPr>
        <w:ind w:right="700" w:firstLine="1497"/>
        <w:spacing w:after="0" w:line="250" w:lineRule="auto"/>
        <w:rPr>
          <w:sz w:val="20"/>
          <w:szCs w:val="20"/>
          <w:color w:val="auto"/>
        </w:rPr>
      </w:pPr>
      <w:r>
        <w:rPr>
          <w:rFonts w:ascii="Arial" w:cs="Arial" w:eastAsia="Arial" w:hAnsi="Arial"/>
          <w:sz w:val="22"/>
          <w:szCs w:val="22"/>
          <w:color w:val="auto"/>
        </w:rPr>
        <w:t>WHEREAS Ashland Global and Valvoline are parties to that certain Tax Matters Agreement, dated as of September 22, 2016 (the “</w:t>
      </w:r>
      <w:r>
        <w:rPr>
          <w:rFonts w:ascii="Arial" w:cs="Arial" w:eastAsia="Arial" w:hAnsi="Arial"/>
          <w:sz w:val="22"/>
          <w:szCs w:val="22"/>
          <w:u w:val="single" w:color="auto"/>
          <w:color w:val="auto"/>
        </w:rPr>
        <w:t>Tax Matters Agreement</w:t>
      </w:r>
      <w:r>
        <w:rPr>
          <w:rFonts w:ascii="Arial" w:cs="Arial" w:eastAsia="Arial" w:hAnsi="Arial"/>
          <w:sz w:val="22"/>
          <w:szCs w:val="22"/>
          <w:color w:val="auto"/>
        </w:rPr>
        <w:t>”);</w:t>
      </w:r>
    </w:p>
    <w:p>
      <w:pPr>
        <w:spacing w:after="0" w:line="175"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WHEREAS Ashland Global and Valvoline wish to amend the terms of the Tax Matters Agreement as of the date of this Amendment;</w:t>
      </w:r>
    </w:p>
    <w:p>
      <w:pPr>
        <w:spacing w:after="0" w:line="175" w:lineRule="exact"/>
        <w:rPr>
          <w:sz w:val="20"/>
          <w:szCs w:val="20"/>
          <w:color w:val="auto"/>
        </w:rPr>
      </w:pPr>
    </w:p>
    <w:p>
      <w:pPr>
        <w:ind w:right="260" w:firstLine="1497"/>
        <w:spacing w:after="0" w:line="250" w:lineRule="auto"/>
        <w:rPr>
          <w:sz w:val="20"/>
          <w:szCs w:val="20"/>
          <w:color w:val="auto"/>
        </w:rPr>
      </w:pPr>
      <w:r>
        <w:rPr>
          <w:rFonts w:ascii="Arial" w:cs="Arial" w:eastAsia="Arial" w:hAnsi="Arial"/>
          <w:sz w:val="22"/>
          <w:szCs w:val="22"/>
          <w:color w:val="auto"/>
        </w:rPr>
        <w:t>WHEREAS capitalized terms not otherwise defined herein shall have the meaning ascribed thereto in the Tax Matters Agreement.</w:t>
      </w:r>
    </w:p>
    <w:p>
      <w:pPr>
        <w:spacing w:after="0" w:line="175" w:lineRule="exact"/>
        <w:rPr>
          <w:sz w:val="20"/>
          <w:szCs w:val="20"/>
          <w:color w:val="auto"/>
        </w:rPr>
      </w:pPr>
    </w:p>
    <w:p>
      <w:pPr>
        <w:ind w:right="540" w:firstLine="1497"/>
        <w:spacing w:after="0" w:line="250" w:lineRule="auto"/>
        <w:rPr>
          <w:sz w:val="20"/>
          <w:szCs w:val="20"/>
          <w:color w:val="auto"/>
        </w:rPr>
      </w:pPr>
      <w:r>
        <w:rPr>
          <w:rFonts w:ascii="Arial" w:cs="Arial" w:eastAsia="Arial" w:hAnsi="Arial"/>
          <w:sz w:val="22"/>
          <w:szCs w:val="22"/>
          <w:color w:val="auto"/>
        </w:rPr>
        <w:t>NOW, THEREFORE, in consideration of the mutual covenants and agreements contained herein, Ashland Global and Valvoline hereby agree as follows:</w:t>
      </w:r>
    </w:p>
    <w:p>
      <w:pPr>
        <w:spacing w:after="0" w:line="175"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Amendment.</w:t>
      </w:r>
    </w:p>
    <w:p>
      <w:pPr>
        <w:spacing w:after="0" w:line="206"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Tax Matters Agreement is amended by:</w:t>
      </w:r>
    </w:p>
    <w:p>
      <w:pPr>
        <w:spacing w:after="0" w:line="206" w:lineRule="exact"/>
        <w:rPr>
          <w:sz w:val="20"/>
          <w:szCs w:val="20"/>
          <w:color w:val="auto"/>
        </w:rPr>
      </w:pPr>
    </w:p>
    <w:p>
      <w:pPr>
        <w:ind w:left="3000" w:hanging="746"/>
        <w:spacing w:after="0"/>
        <w:tabs>
          <w:tab w:leader="none" w:pos="30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Adding the following definitions in the appropriate alphabetical order:</w:t>
      </w:r>
    </w:p>
    <w:p>
      <w:pPr>
        <w:spacing w:after="0" w:line="206" w:lineRule="exact"/>
        <w:rPr>
          <w:sz w:val="20"/>
          <w:szCs w:val="20"/>
          <w:color w:val="auto"/>
        </w:rPr>
      </w:pPr>
    </w:p>
    <w:p>
      <w:pPr>
        <w:ind w:left="3000" w:hanging="746"/>
        <w:spacing w:after="0"/>
        <w:tabs>
          <w:tab w:leader="none" w:pos="30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“Payment Due Date” has the meaning set forth in Section 3.02(c)(ii).</w:t>
      </w:r>
    </w:p>
    <w:p>
      <w:pPr>
        <w:spacing w:after="0" w:line="206" w:lineRule="exact"/>
        <w:rPr>
          <w:rFonts w:ascii="Arial" w:cs="Arial" w:eastAsia="Arial" w:hAnsi="Arial"/>
          <w:sz w:val="22"/>
          <w:szCs w:val="22"/>
          <w:color w:val="auto"/>
        </w:rPr>
      </w:pPr>
    </w:p>
    <w:p>
      <w:pPr>
        <w:ind w:left="3000" w:hanging="746"/>
        <w:spacing w:after="0"/>
        <w:tabs>
          <w:tab w:leader="none" w:pos="30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“Recalculated Tax Reimbursement Payment” has the meaning set forth in Section 3.02(g).</w:t>
      </w:r>
    </w:p>
    <w:p>
      <w:pPr>
        <w:spacing w:after="0" w:line="240" w:lineRule="exact"/>
        <w:rPr>
          <w:rFonts w:ascii="Arial" w:cs="Arial" w:eastAsia="Arial" w:hAnsi="Arial"/>
          <w:sz w:val="19"/>
          <w:szCs w:val="19"/>
          <w:color w:val="auto"/>
        </w:rPr>
      </w:pPr>
    </w:p>
    <w:p>
      <w:pPr>
        <w:ind w:left="3000" w:hanging="746"/>
        <w:spacing w:after="0"/>
        <w:tabs>
          <w:tab w:leader="none" w:pos="30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“Specified Tax Proceeding” has the meaning set forth in Section 3.03.</w:t>
      </w:r>
    </w:p>
    <w:p>
      <w:pPr>
        <w:spacing w:after="0" w:line="206" w:lineRule="exact"/>
        <w:rPr>
          <w:rFonts w:ascii="Arial" w:cs="Arial" w:eastAsia="Arial" w:hAnsi="Arial"/>
          <w:sz w:val="22"/>
          <w:szCs w:val="22"/>
          <w:color w:val="auto"/>
        </w:rPr>
      </w:pPr>
    </w:p>
    <w:p>
      <w:pPr>
        <w:ind w:left="3000" w:hanging="746"/>
        <w:spacing w:after="0"/>
        <w:tabs>
          <w:tab w:leader="none" w:pos="30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“Tax Reimbursement Amount” has the meaning set forth in Section 3.02(c)(i)(A).</w:t>
      </w:r>
    </w:p>
    <w:p>
      <w:pPr>
        <w:spacing w:after="0" w:line="206" w:lineRule="exact"/>
        <w:rPr>
          <w:rFonts w:ascii="Arial" w:cs="Arial" w:eastAsia="Arial" w:hAnsi="Arial"/>
          <w:sz w:val="22"/>
          <w:szCs w:val="22"/>
          <w:color w:val="auto"/>
        </w:rPr>
      </w:pPr>
    </w:p>
    <w:p>
      <w:pPr>
        <w:ind w:left="1500" w:right="220" w:firstLine="754"/>
        <w:spacing w:after="0" w:line="250" w:lineRule="auto"/>
        <w:tabs>
          <w:tab w:leader="none" w:pos="2997" w:val="left"/>
        </w:tabs>
        <w:numPr>
          <w:ilvl w:val="0"/>
          <w:numId w:val="38"/>
        </w:numPr>
        <w:rPr>
          <w:rFonts w:ascii="Arial" w:cs="Arial" w:eastAsia="Arial" w:hAnsi="Arial"/>
          <w:sz w:val="22"/>
          <w:szCs w:val="22"/>
          <w:color w:val="auto"/>
        </w:rPr>
      </w:pPr>
      <w:r>
        <w:rPr>
          <w:rFonts w:ascii="Arial" w:cs="Arial" w:eastAsia="Arial" w:hAnsi="Arial"/>
          <w:sz w:val="22"/>
          <w:szCs w:val="22"/>
          <w:color w:val="auto"/>
        </w:rPr>
        <w:t>“Valvoline Actual Tax Return” means a Tax Return filed by Valvoline (including a Valvoline Amended Return).</w:t>
      </w:r>
    </w:p>
    <w:p>
      <w:pPr>
        <w:spacing w:after="0" w:line="174" w:lineRule="exact"/>
        <w:rPr>
          <w:rFonts w:ascii="Arial" w:cs="Arial" w:eastAsia="Arial" w:hAnsi="Arial"/>
          <w:sz w:val="22"/>
          <w:szCs w:val="22"/>
          <w:color w:val="auto"/>
        </w:rPr>
      </w:pPr>
    </w:p>
    <w:p>
      <w:pPr>
        <w:ind w:left="3000" w:hanging="746"/>
        <w:spacing w:after="0"/>
        <w:tabs>
          <w:tab w:leader="none" w:pos="30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“Valvoline Amended Returns” has the meaning set forth in Section 3.02(a)(ii).</w:t>
      </w:r>
    </w:p>
    <w:p>
      <w:pPr>
        <w:spacing w:after="0" w:line="206" w:lineRule="exact"/>
        <w:rPr>
          <w:rFonts w:ascii="Arial" w:cs="Arial" w:eastAsia="Arial" w:hAnsi="Arial"/>
          <w:sz w:val="22"/>
          <w:szCs w:val="22"/>
          <w:color w:val="auto"/>
        </w:rPr>
      </w:pPr>
    </w:p>
    <w:p>
      <w:pPr>
        <w:ind w:left="3000" w:hanging="746"/>
        <w:spacing w:after="0"/>
        <w:tabs>
          <w:tab w:leader="none" w:pos="30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“Valvoline Hypothetical Returns” has the meaning set forth in Section 3.02(b).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251460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color w:val="auto"/>
        </w:rPr>
        <w:t>2</w:t>
      </w:r>
    </w:p>
    <w:p>
      <w:pPr>
        <w:spacing w:after="0" w:line="207" w:lineRule="exact"/>
        <w:rPr>
          <w:sz w:val="20"/>
          <w:szCs w:val="20"/>
          <w:color w:val="auto"/>
        </w:rPr>
      </w:pPr>
    </w:p>
    <w:p>
      <w:pPr>
        <w:ind w:left="1880" w:hanging="746"/>
        <w:spacing w:after="0"/>
        <w:tabs>
          <w:tab w:leader="none" w:pos="1880" w:val="left"/>
        </w:tabs>
        <w:numPr>
          <w:ilvl w:val="1"/>
          <w:numId w:val="39"/>
        </w:numPr>
        <w:rPr>
          <w:rFonts w:ascii="Arial" w:cs="Arial" w:eastAsia="Arial" w:hAnsi="Arial"/>
          <w:sz w:val="22"/>
          <w:szCs w:val="22"/>
          <w:color w:val="auto"/>
        </w:rPr>
      </w:pPr>
      <w:r>
        <w:rPr>
          <w:rFonts w:ascii="Arial" w:cs="Arial" w:eastAsia="Arial" w:hAnsi="Arial"/>
          <w:sz w:val="22"/>
          <w:szCs w:val="22"/>
          <w:color w:val="auto"/>
        </w:rPr>
        <w:t>“Valvoline Originally Filed Returns” has the meaning set forth in Section 3.02(a)(i).</w:t>
      </w:r>
    </w:p>
    <w:p>
      <w:pPr>
        <w:spacing w:after="0" w:line="206" w:lineRule="exact"/>
        <w:rPr>
          <w:rFonts w:ascii="Arial" w:cs="Arial" w:eastAsia="Arial" w:hAnsi="Arial"/>
          <w:sz w:val="22"/>
          <w:szCs w:val="22"/>
          <w:color w:val="auto"/>
        </w:rPr>
      </w:pPr>
    </w:p>
    <w:p>
      <w:pPr>
        <w:ind w:left="1880" w:hanging="746"/>
        <w:spacing w:after="0"/>
        <w:tabs>
          <w:tab w:leader="none" w:pos="1880" w:val="left"/>
        </w:tabs>
        <w:numPr>
          <w:ilvl w:val="1"/>
          <w:numId w:val="39"/>
        </w:numPr>
        <w:rPr>
          <w:rFonts w:ascii="Arial" w:cs="Arial" w:eastAsia="Arial" w:hAnsi="Arial"/>
          <w:sz w:val="22"/>
          <w:szCs w:val="22"/>
          <w:color w:val="auto"/>
        </w:rPr>
      </w:pPr>
      <w:r>
        <w:rPr>
          <w:rFonts w:ascii="Arial" w:cs="Arial" w:eastAsia="Arial" w:hAnsi="Arial"/>
          <w:sz w:val="22"/>
          <w:szCs w:val="22"/>
          <w:color w:val="auto"/>
        </w:rPr>
        <w:t>“Valvoline Post-2020 Returns” has the meaning set forth in Section 3.02(a)(iii).</w:t>
      </w:r>
    </w:p>
    <w:p>
      <w:pPr>
        <w:spacing w:after="0" w:line="200" w:lineRule="exact"/>
        <w:rPr>
          <w:rFonts w:ascii="Arial" w:cs="Arial" w:eastAsia="Arial" w:hAnsi="Arial"/>
          <w:sz w:val="22"/>
          <w:szCs w:val="22"/>
          <w:color w:val="auto"/>
        </w:rPr>
      </w:pPr>
    </w:p>
    <w:p>
      <w:pPr>
        <w:spacing w:after="0" w:line="303" w:lineRule="exact"/>
        <w:rPr>
          <w:rFonts w:ascii="Arial" w:cs="Arial" w:eastAsia="Arial" w:hAnsi="Arial"/>
          <w:sz w:val="22"/>
          <w:szCs w:val="22"/>
          <w:color w:val="auto"/>
        </w:rPr>
      </w:pPr>
    </w:p>
    <w:p>
      <w:pPr>
        <w:ind w:left="1140" w:hanging="755"/>
        <w:spacing w:after="0"/>
        <w:tabs>
          <w:tab w:leader="none" w:pos="11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Deleting the following definitions:</w:t>
      </w:r>
    </w:p>
    <w:p>
      <w:pPr>
        <w:spacing w:after="0" w:line="206" w:lineRule="exact"/>
        <w:rPr>
          <w:rFonts w:ascii="Arial" w:cs="Arial" w:eastAsia="Arial" w:hAnsi="Arial"/>
          <w:sz w:val="22"/>
          <w:szCs w:val="22"/>
          <w:color w:val="auto"/>
        </w:rPr>
      </w:pPr>
    </w:p>
    <w:p>
      <w:pPr>
        <w:ind w:left="1880" w:hanging="746"/>
        <w:spacing w:after="0"/>
        <w:tabs>
          <w:tab w:leader="none" w:pos="18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“Actual Tax Return Amount”</w:t>
      </w:r>
    </w:p>
    <w:p>
      <w:pPr>
        <w:spacing w:after="0" w:line="206" w:lineRule="exact"/>
        <w:rPr>
          <w:rFonts w:ascii="Arial" w:cs="Arial" w:eastAsia="Arial" w:hAnsi="Arial"/>
          <w:sz w:val="22"/>
          <w:szCs w:val="22"/>
          <w:color w:val="auto"/>
        </w:rPr>
      </w:pPr>
    </w:p>
    <w:p>
      <w:pPr>
        <w:ind w:left="1880" w:hanging="746"/>
        <w:spacing w:after="0"/>
        <w:tabs>
          <w:tab w:leader="none" w:pos="18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“Hypothetical Tax Return Amount”</w:t>
      </w:r>
    </w:p>
    <w:p>
      <w:pPr>
        <w:spacing w:after="0" w:line="206" w:lineRule="exact"/>
        <w:rPr>
          <w:rFonts w:ascii="Arial" w:cs="Arial" w:eastAsia="Arial" w:hAnsi="Arial"/>
          <w:sz w:val="22"/>
          <w:szCs w:val="22"/>
          <w:color w:val="auto"/>
        </w:rPr>
      </w:pPr>
    </w:p>
    <w:p>
      <w:pPr>
        <w:ind w:left="1880" w:hanging="746"/>
        <w:spacing w:after="0"/>
        <w:tabs>
          <w:tab w:leader="none" w:pos="18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“Valvoline Pro Forma Tax Attributes”</w:t>
      </w:r>
    </w:p>
    <w:p>
      <w:pPr>
        <w:spacing w:after="0" w:line="200" w:lineRule="exact"/>
        <w:rPr>
          <w:sz w:val="20"/>
          <w:szCs w:val="20"/>
          <w:color w:val="auto"/>
        </w:rPr>
      </w:pPr>
    </w:p>
    <w:p>
      <w:pPr>
        <w:spacing w:after="0" w:line="303" w:lineRule="exact"/>
        <w:rPr>
          <w:sz w:val="20"/>
          <w:szCs w:val="20"/>
          <w:color w:val="auto"/>
        </w:rPr>
      </w:pPr>
    </w:p>
    <w:p>
      <w:pPr>
        <w:ind w:left="380"/>
        <w:spacing w:after="0"/>
        <w:tabs>
          <w:tab w:leader="none" w:pos="186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of the Tax Matters Agreement is removed in its entirety and replaced as follows:</w:t>
      </w:r>
    </w:p>
    <w:p>
      <w:pPr>
        <w:spacing w:after="0" w:line="241" w:lineRule="exact"/>
        <w:rPr>
          <w:sz w:val="20"/>
          <w:szCs w:val="20"/>
          <w:color w:val="auto"/>
        </w:rPr>
      </w:pPr>
    </w:p>
    <w:p>
      <w:pPr>
        <w:ind w:left="380" w:right="12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Amendments</w:t>
      </w:r>
      <w:r>
        <w:rPr>
          <w:rFonts w:ascii="Arial" w:cs="Arial" w:eastAsia="Arial" w:hAnsi="Arial"/>
          <w:sz w:val="19"/>
          <w:szCs w:val="19"/>
          <w:color w:val="auto"/>
        </w:rPr>
        <w:t>. Except as otherwise provided in this Agreement, each Company shall not (and shall not cause its Affiliates to) file, amend, withdraw, revoke or otherwise alter any Tax Return if doing so would reasonably be expected to (a) obligate the other Company to make an indemnity payment under Article IV, (b) cause the other Company or any of its Affiliates to incur any taxes for which it is not indemnified under this Agreement, or (c) adversely affect a refund or other Tax Attribute to which the other Company or any of its Affiliates is entitled (including, for the avoidance of doubt, any Legacy Tax Attribute with respect to which Ashland Global is entitled to a payment pursuant to Section 3.02(c)), in each case without the prior written consent of the other Company or as required under applicable Law. Any amendments to a Valvoline post-consolidation Tax Return reflecting an adjustment to a Valvoline Tax Attribute claimed on such Tax Return or an adjustment to taxable income shall not be treated as adversely affecting a Legacy Tax Attribute to the extent such adjustment is unrelated to a Legacy Tax Attribute and, if applicable, such Valvoline Tax Attribute is not of the same type as a Legacy Tax Attribute previously used by Valvoline.”</w:t>
      </w:r>
    </w:p>
    <w:p>
      <w:pPr>
        <w:spacing w:after="0" w:line="188" w:lineRule="exact"/>
        <w:rPr>
          <w:sz w:val="20"/>
          <w:szCs w:val="20"/>
          <w:color w:val="auto"/>
        </w:rPr>
      </w:pPr>
    </w:p>
    <w:p>
      <w:pPr>
        <w:ind w:left="380"/>
        <w:spacing w:after="0"/>
        <w:tabs>
          <w:tab w:leader="none" w:pos="18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of the Tax Matters Agreement is amended by:</w:t>
      </w:r>
    </w:p>
    <w:p>
      <w:pPr>
        <w:spacing w:after="0" w:line="206" w:lineRule="exact"/>
        <w:rPr>
          <w:sz w:val="20"/>
          <w:szCs w:val="20"/>
          <w:color w:val="auto"/>
        </w:rPr>
      </w:pPr>
    </w:p>
    <w:p>
      <w:pPr>
        <w:ind w:left="1140" w:right="1300" w:hanging="6"/>
        <w:spacing w:after="0" w:line="435" w:lineRule="auto"/>
        <w:tabs>
          <w:tab w:leader="none" w:pos="1889"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Deleting clauses (a) – (c) thereof in their entirety and replacing them as follows: “(a) </w:t>
      </w:r>
      <w:r>
        <w:rPr>
          <w:rFonts w:ascii="Arial" w:cs="Arial" w:eastAsia="Arial" w:hAnsi="Arial"/>
          <w:sz w:val="22"/>
          <w:szCs w:val="22"/>
          <w:u w:val="single" w:color="auto"/>
          <w:color w:val="auto"/>
        </w:rPr>
        <w:t>Actual Tax Returns</w:t>
      </w:r>
      <w:r>
        <w:rPr>
          <w:rFonts w:ascii="Arial" w:cs="Arial" w:eastAsia="Arial" w:hAnsi="Arial"/>
          <w:sz w:val="22"/>
          <w:szCs w:val="22"/>
          <w:color w:val="auto"/>
        </w:rPr>
        <w:t>.</w:t>
      </w:r>
    </w:p>
    <w:p>
      <w:pPr>
        <w:spacing w:after="0" w:line="1" w:lineRule="exact"/>
        <w:rPr>
          <w:sz w:val="20"/>
          <w:szCs w:val="20"/>
          <w:color w:val="auto"/>
        </w:rPr>
      </w:pPr>
    </w:p>
    <w:p>
      <w:pPr>
        <w:ind w:left="380" w:right="40" w:firstLine="749"/>
        <w:spacing w:after="0"/>
        <w:rPr>
          <w:sz w:val="20"/>
          <w:szCs w:val="20"/>
          <w:color w:val="auto"/>
        </w:rPr>
      </w:pPr>
      <w:r>
        <w:rPr>
          <w:rFonts w:ascii="Arial" w:cs="Arial" w:eastAsia="Arial" w:hAnsi="Arial"/>
          <w:sz w:val="22"/>
          <w:szCs w:val="22"/>
          <w:color w:val="auto"/>
        </w:rPr>
        <w:t>(i)The parties agree and acknowledge that, unless otherwise required by a Determination resulting from a Specified Tax Proceeding, Valvoline and its Affiliates shall include all Legacy Tax Attributes on their Tax Returns (including the Valvoline Amended Returns), except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342265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color w:val="auto"/>
        </w:rPr>
        <w:t>3</w:t>
      </w:r>
    </w:p>
    <w:p>
      <w:pPr>
        <w:spacing w:after="0" w:line="9" w:lineRule="exact"/>
        <w:rPr>
          <w:sz w:val="20"/>
          <w:szCs w:val="20"/>
          <w:color w:val="auto"/>
        </w:rPr>
      </w:pPr>
    </w:p>
    <w:p>
      <w:pPr>
        <w:ind w:left="380"/>
        <w:spacing w:after="0" w:line="233" w:lineRule="auto"/>
        <w:rPr>
          <w:sz w:val="20"/>
          <w:szCs w:val="20"/>
          <w:color w:val="auto"/>
        </w:rPr>
      </w:pPr>
      <w:r>
        <w:rPr>
          <w:rFonts w:ascii="Arial" w:cs="Arial" w:eastAsia="Arial" w:hAnsi="Arial"/>
          <w:sz w:val="22"/>
          <w:szCs w:val="22"/>
          <w:color w:val="auto"/>
        </w:rPr>
        <w:t>provided in Section 3.02(e) and except to the extent the utilization of such Legacy Tax Attributes is limited under the Code, Regulations, or applicable state tax Law. Notwithstanding anything herein to the contrary, any references to limitations on the utilization of Legacy Tax Attributes under the Code, Regulations or applicable state tax Law, in this Section 3.02(a) or any other provision of this Agreement, do not relate to the validity of the Legacy Tax Attributes.</w:t>
      </w:r>
    </w:p>
    <w:p>
      <w:pPr>
        <w:spacing w:after="0" w:line="185" w:lineRule="exact"/>
        <w:rPr>
          <w:sz w:val="20"/>
          <w:szCs w:val="20"/>
          <w:color w:val="auto"/>
        </w:rPr>
      </w:pPr>
    </w:p>
    <w:p>
      <w:pPr>
        <w:ind w:left="380" w:right="20" w:firstLine="749"/>
        <w:spacing w:after="0" w:line="268" w:lineRule="auto"/>
        <w:rPr>
          <w:sz w:val="20"/>
          <w:szCs w:val="20"/>
          <w:color w:val="auto"/>
        </w:rPr>
      </w:pPr>
      <w:r>
        <w:rPr>
          <w:rFonts w:ascii="Arial" w:cs="Arial" w:eastAsia="Arial" w:hAnsi="Arial"/>
          <w:sz w:val="19"/>
          <w:szCs w:val="19"/>
          <w:color w:val="auto"/>
        </w:rPr>
        <w:t xml:space="preserve">(ii)Set forth on Schedule I is (i) a complete list of U.S. Federal and state Tax Returns filed by Valvoline before the date of this Amendment </w:t>
      </w:r>
      <w:r>
        <w:rPr>
          <w:rFonts w:ascii="Arial" w:cs="Arial" w:eastAsia="Arial" w:hAnsi="Arial"/>
          <w:sz w:val="19"/>
          <w:szCs w:val="19"/>
          <w:u w:val="single" w:color="auto"/>
          <w:color w:val="auto"/>
        </w:rPr>
        <w:t>(“Valvoline Originally Filed Returns”)</w:t>
      </w:r>
      <w:r>
        <w:rPr>
          <w:rFonts w:ascii="Arial" w:cs="Arial" w:eastAsia="Arial" w:hAnsi="Arial"/>
          <w:sz w:val="19"/>
          <w:szCs w:val="19"/>
          <w:color w:val="auto"/>
        </w:rPr>
        <w:t xml:space="preserve"> that shall be amended pursuant to this Section 3.02(a)(ii) to be in accordance with Section 3.02(a)(i) (“</w:t>
      </w:r>
      <w:r>
        <w:rPr>
          <w:rFonts w:ascii="Arial" w:cs="Arial" w:eastAsia="Arial" w:hAnsi="Arial"/>
          <w:sz w:val="19"/>
          <w:szCs w:val="19"/>
          <w:u w:val="single" w:color="auto"/>
          <w:color w:val="auto"/>
        </w:rPr>
        <w:t>Valvoline Amended Returns</w:t>
      </w:r>
      <w:r>
        <w:rPr>
          <w:rFonts w:ascii="Arial" w:cs="Arial" w:eastAsia="Arial" w:hAnsi="Arial"/>
          <w:sz w:val="19"/>
          <w:szCs w:val="19"/>
          <w:color w:val="auto"/>
        </w:rPr>
        <w:t>”) and (ii) the taxable year to which each Valvoline Originally Filed Return relates. Valvoline shall provide to Ashland Global the portion of each Valvoline Amended Return and related workpapers reflecting the effect of a Legacy Tax Attribute (whether used in such year or a prior year) as soon as reasonably practicable and in any event by March 15, 2023. Ashland Global shall provide Valvoline with any written comments to a Valvoline Amended Return within ten Business Days of Ashland Global’s receipt thereof. Except as provided in Section 3.02(e), Valvoline shall revise each Valvoline Amended Return to incorporate any reasonable written comments timely provided by Ashland Global, to the extent such comments (A) do not affect any position taken on a Valvoline Amended Return with respect to its taxable income prior to taking any Legacy Tax Attributes into account, and</w:t>
      </w:r>
    </w:p>
    <w:p>
      <w:pPr>
        <w:spacing w:after="0" w:line="7" w:lineRule="exact"/>
        <w:rPr>
          <w:sz w:val="20"/>
          <w:szCs w:val="20"/>
          <w:color w:val="auto"/>
        </w:rPr>
      </w:pPr>
    </w:p>
    <w:p>
      <w:pPr>
        <w:ind w:left="380" w:right="40" w:firstLine="5"/>
        <w:spacing w:after="0" w:line="273" w:lineRule="auto"/>
        <w:tabs>
          <w:tab w:leader="none" w:pos="722" w:val="left"/>
        </w:tabs>
        <w:numPr>
          <w:ilvl w:val="0"/>
          <w:numId w:val="42"/>
        </w:numPr>
        <w:rPr>
          <w:rFonts w:ascii="Arial" w:cs="Arial" w:eastAsia="Arial" w:hAnsi="Arial"/>
          <w:sz w:val="19"/>
          <w:szCs w:val="19"/>
          <w:color w:val="auto"/>
        </w:rPr>
      </w:pPr>
      <w:r>
        <w:rPr>
          <w:rFonts w:ascii="Arial" w:cs="Arial" w:eastAsia="Arial" w:hAnsi="Arial"/>
          <w:sz w:val="19"/>
          <w:szCs w:val="19"/>
          <w:color w:val="auto"/>
        </w:rPr>
        <w:t>relate directly to the use of any Legacy Tax Attributes or Tax Attributes of the same type as any Legacy Tax Attributes previously used by Valvoline. For the avoidance of doubt and notwithstanding anything herein to the contrary, Valvoline shall credit, rather than deduct, any foreign taxes reflected on Valvoline Amended Returns unless otherwise agreed by the Parties in writing. Unless otherwise agreed by the Parties in writing, Valvoline shall file each Valvoline Amended Return no later than ten Business Days after receipt of any written comments provided by Ashland Global or, if no such comments are received, no earlier than eleven Business Days and no later than fifteen Business Days after Valvoline delivers to Ashland Global such Valvoline Amended Return.</w:t>
      </w:r>
    </w:p>
    <w:p>
      <w:pPr>
        <w:spacing w:after="0" w:line="159" w:lineRule="exact"/>
        <w:rPr>
          <w:sz w:val="20"/>
          <w:szCs w:val="20"/>
          <w:color w:val="auto"/>
        </w:rPr>
      </w:pPr>
    </w:p>
    <w:p>
      <w:pPr>
        <w:ind w:left="380" w:right="40" w:firstLine="749"/>
        <w:spacing w:after="0" w:line="246" w:lineRule="auto"/>
        <w:rPr>
          <w:sz w:val="20"/>
          <w:szCs w:val="20"/>
          <w:color w:val="auto"/>
        </w:rPr>
      </w:pPr>
      <w:r>
        <w:rPr>
          <w:rFonts w:ascii="Arial" w:cs="Arial" w:eastAsia="Arial" w:hAnsi="Arial"/>
          <w:sz w:val="21"/>
          <w:szCs w:val="21"/>
          <w:color w:val="auto"/>
        </w:rPr>
        <w:t>(i)Valvoline and its Affiliates shall prepare, or cause to be prepared, all Tax Returns with respect to taxable years of Valvoline beginning on or after October 1, 2021 (“</w:t>
      </w:r>
      <w:r>
        <w:rPr>
          <w:rFonts w:ascii="Arial" w:cs="Arial" w:eastAsia="Arial" w:hAnsi="Arial"/>
          <w:sz w:val="21"/>
          <w:szCs w:val="21"/>
          <w:u w:val="single" w:color="auto"/>
          <w:color w:val="auto"/>
        </w:rPr>
        <w:t>Valvoline Post-2020 Returns</w:t>
      </w:r>
      <w:r>
        <w:rPr>
          <w:rFonts w:ascii="Arial" w:cs="Arial" w:eastAsia="Arial" w:hAnsi="Arial"/>
          <w:sz w:val="21"/>
          <w:szCs w:val="21"/>
          <w:color w:val="auto"/>
        </w:rPr>
        <w:t>”) in accordance with Section 3.02(a)(i) and shall timely file such Tax Returns (taking into account any applicable extensions). Valvoline shall provide to Ashland Global the portion of each such Valvoline Post-2020 Return and related workpapers reflecting the effect of a Legacy Tax Attribute (whether used in such year or prior year) as soon as reasonably practicable and in the case of a federal Tax Return no later than 20 days prior to the due date (including any available extensions) for filing such Tax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340995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color w:val="auto"/>
        </w:rPr>
        <w:t>4</w:t>
      </w:r>
    </w:p>
    <w:p>
      <w:pPr>
        <w:spacing w:after="0" w:line="9" w:lineRule="exact"/>
        <w:rPr>
          <w:sz w:val="20"/>
          <w:szCs w:val="20"/>
          <w:color w:val="auto"/>
        </w:rPr>
      </w:pPr>
    </w:p>
    <w:p>
      <w:pPr>
        <w:ind w:left="380" w:right="20"/>
        <w:spacing w:after="0" w:line="243" w:lineRule="auto"/>
        <w:rPr>
          <w:sz w:val="20"/>
          <w:szCs w:val="20"/>
          <w:color w:val="auto"/>
        </w:rPr>
      </w:pPr>
      <w:r>
        <w:rPr>
          <w:rFonts w:ascii="Arial" w:cs="Arial" w:eastAsia="Arial" w:hAnsi="Arial"/>
          <w:sz w:val="21"/>
          <w:szCs w:val="21"/>
          <w:color w:val="auto"/>
        </w:rPr>
        <w:t>Ashland Global shall provide Valvoline with any written comments to a Valvoline Post-2020 Return within ten Business Days of Ashland Global’s receipt thereof. Except as provided in Section 3.02(e), Valvoline shall revise each Valvoline Post-2020 Return to incorporate any reasonable written comments timely provided by Ashland Global, to the extent such comments (A) do not affect any position taken on a Valvoline Post-2020 Return with respect to its taxable income prior to taking any Legacy Tax Attributes into account, and (B) relate directly to the use of any Legacy Tax Attributes or Tax Attributes of the same type as any Legacy Tax Attributes previously used by Valvoline. For the avoidance of doubt and notwithstanding anything herein to the contrary, Valvoline shall credit, rather than deduct, any foreign taxes reflected on a Valvoline Post-2020 Return unless otherwise agreed by the Parties in writing.</w:t>
      </w:r>
    </w:p>
    <w:p>
      <w:pPr>
        <w:spacing w:after="0" w:line="184" w:lineRule="exact"/>
        <w:rPr>
          <w:sz w:val="20"/>
          <w:szCs w:val="20"/>
          <w:color w:val="auto"/>
        </w:rPr>
      </w:pPr>
    </w:p>
    <w:p>
      <w:pPr>
        <w:ind w:left="380" w:right="160" w:firstLine="749"/>
        <w:spacing w:after="0" w:line="277" w:lineRule="auto"/>
        <w:rPr>
          <w:sz w:val="20"/>
          <w:szCs w:val="20"/>
          <w:color w:val="auto"/>
        </w:rPr>
      </w:pPr>
      <w:r>
        <w:rPr>
          <w:rFonts w:ascii="Arial" w:cs="Arial" w:eastAsia="Arial" w:hAnsi="Arial"/>
          <w:sz w:val="19"/>
          <w:szCs w:val="19"/>
          <w:color w:val="auto"/>
        </w:rPr>
        <w:t>(ii)For the avoidance of doubt and notwithstanding anything herein to the contrary, all Valvoline Amended Returns and Valvoline Post-2020 returns shall be prepared and filed in accordance with this Section 3.02(a) and not in accordance with Section 2.02(b), and the review by Ashland Global of Valvoline Amended Returns and Valvoline Post-2020 Returns shall be governed by this Section 3.02(a) and not by Section 2.02(c). Except as provided in Section 3.02(e), Valvoline agrees to utilize all Legacy Tax Attributes on the Valvoline Amended Returns and the Valvoline Post-2020 Returns, except to the extent that the utilization of such Legacy Tax Attributes is limited under the Code, Regulations, or applicable state tax Law.</w:t>
      </w:r>
    </w:p>
    <w:p>
      <w:pPr>
        <w:spacing w:after="0" w:line="152" w:lineRule="exact"/>
        <w:rPr>
          <w:sz w:val="20"/>
          <w:szCs w:val="20"/>
          <w:color w:val="auto"/>
        </w:rPr>
      </w:pPr>
    </w:p>
    <w:p>
      <w:pPr>
        <w:ind w:left="380" w:right="20" w:firstLine="5"/>
        <w:spacing w:after="0" w:line="271" w:lineRule="auto"/>
        <w:tabs>
          <w:tab w:leader="none" w:pos="74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Hypothetical Tax Return Workpapers</w:t>
      </w:r>
      <w:r>
        <w:rPr>
          <w:rFonts w:ascii="Arial" w:cs="Arial" w:eastAsia="Arial" w:hAnsi="Arial"/>
          <w:sz w:val="19"/>
          <w:szCs w:val="19"/>
          <w:color w:val="auto"/>
        </w:rPr>
        <w:t>. For each taxable year of Valvoline beginning on or after October 1, 2018, Valvoline shall prepare workpapers supporting hypothetical pro forma Tax Returns that are consistent in all material respects to the Tax Returns actually filed by Valvoline for that year (including, where applicable, Valvoline Amended Returns), except that the tax liability reflected on the hypothetical pro forma workpapers shall be determined on a cumulative basis, as if all Legacy Tax Attributes had a balance of zero at the date of Deconsolidation and taking into account available Valvoline Tax Attributes not used on an applicable Valvoline Tax Return to the extent permitted under the Code, Regulations, or applicable state tax Law (“</w:t>
      </w:r>
      <w:r>
        <w:rPr>
          <w:rFonts w:ascii="Arial" w:cs="Arial" w:eastAsia="Arial" w:hAnsi="Arial"/>
          <w:sz w:val="19"/>
          <w:szCs w:val="19"/>
          <w:u w:val="single" w:color="auto"/>
          <w:color w:val="auto"/>
        </w:rPr>
        <w:t>Valvoline</w:t>
      </w:r>
      <w:r>
        <w:rPr>
          <w:rFonts w:ascii="Arial" w:cs="Arial" w:eastAsia="Arial" w:hAnsi="Arial"/>
          <w:sz w:val="19"/>
          <w:szCs w:val="19"/>
          <w:color w:val="auto"/>
        </w:rPr>
        <w:t xml:space="preserve"> </w:t>
      </w:r>
      <w:r>
        <w:rPr>
          <w:rFonts w:ascii="Arial" w:cs="Arial" w:eastAsia="Arial" w:hAnsi="Arial"/>
          <w:sz w:val="19"/>
          <w:szCs w:val="19"/>
          <w:u w:val="single" w:color="auto"/>
          <w:color w:val="auto"/>
        </w:rPr>
        <w:t>Hypothetical Tax Return Workpapers</w:t>
      </w:r>
      <w:r>
        <w:rPr>
          <w:rFonts w:ascii="Arial" w:cs="Arial" w:eastAsia="Arial" w:hAnsi="Arial"/>
          <w:sz w:val="19"/>
          <w:szCs w:val="19"/>
          <w:color w:val="auto"/>
        </w:rPr>
        <w:t>”). Valvoline shall provide to Ashland Global the Valvoline Hypothetical Tax Return Workpapers (including supporting documentation reasonably requested by Ashland) for taxable years beginning on October 1, 2018, October 1, 2019 and October 1, 2020 as soon as reasonably practicable and in any event by March 15, 2023. Valvoline shall provide to Ashland Global the Valvoline Hypothetical Tax Return Workpapers for each taxable year beginning on or after October 1, 2021 within five Business Days of filing the final Valvoline Actual Tax Return for such taxable year. The Valvoline Hypothetical Tax Return Workpapers shall include the supporting documentation prepared by Valvoline in preparation of the Valvoline Hypothetical Tax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482600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54" w:name="page55"/>
    <w:bookmarkEnd w:id="54"/>
    <w:p>
      <w:pPr>
        <w:ind w:left="10020"/>
        <w:spacing w:after="0"/>
        <w:rPr>
          <w:sz w:val="20"/>
          <w:szCs w:val="20"/>
          <w:color w:val="auto"/>
        </w:rPr>
      </w:pPr>
      <w:r>
        <w:rPr>
          <w:rFonts w:ascii="Arial" w:cs="Arial" w:eastAsia="Arial" w:hAnsi="Arial"/>
          <w:sz w:val="17"/>
          <w:szCs w:val="17"/>
          <w:color w:val="auto"/>
        </w:rPr>
        <w:t>5</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Workpapers reasonably requested by Ashland Global. Ashland Global shall provide Valvoline with any written</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9"/>
          <w:szCs w:val="19"/>
          <w:color w:val="auto"/>
        </w:rPr>
        <w:t>comments to the Valvoline Hypothetical Tax Return Workpapers within ten Business Days of Ashland Global’s</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21"/>
          <w:szCs w:val="21"/>
          <w:color w:val="auto"/>
        </w:rPr>
        <w:t>receipt thereof. Except as provided in Section 3.02(e), Valvoline shall revise each Valvoline Hypothetical</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Return Workpapers to incorporate any reasonable written comments timely provided by Ashland Global to the</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21"/>
          <w:szCs w:val="21"/>
          <w:color w:val="auto"/>
        </w:rPr>
        <w:t>extent such comments (A) do not affect any position taken on any Valvoline Hypothetical Tax Return</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Workpapers with respect to its taxable income prior to taking any Legacy Tax Attributes into account, and (B)</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9"/>
          <w:szCs w:val="19"/>
          <w:color w:val="auto"/>
        </w:rPr>
        <w:t>relate directly to the use of any Legacy Tax Attributes or Tax Attributes of the same type as any Legacy Tax</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Attributes previously used by Valvoline. For the avoidance of doubt and notwithstanding anything herein to the</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9"/>
          <w:szCs w:val="19"/>
          <w:color w:val="auto"/>
        </w:rPr>
        <w:t>contrary, Valvoline shall credit, rather than deduct, any foreign taxes reflected on a Valvoline Hypothetical Tax</w:t>
      </w:r>
    </w:p>
    <w:p>
      <w:pPr>
        <w:spacing w:after="0" w:line="2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Return Workpaper unless otherwise agreed by the Parties in writing.</w:t>
      </w:r>
    </w:p>
    <w:p>
      <w:pPr>
        <w:spacing w:after="0" w:line="188" w:lineRule="exact"/>
        <w:rPr>
          <w:sz w:val="20"/>
          <w:szCs w:val="20"/>
          <w:color w:val="auto"/>
        </w:rPr>
      </w:pPr>
    </w:p>
    <w:p>
      <w:pPr>
        <w:ind w:left="1100" w:hanging="340"/>
        <w:spacing w:after="0"/>
        <w:tabs>
          <w:tab w:leader="none" w:pos="110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Tax Reimbursement Amount</w:t>
      </w:r>
      <w:r>
        <w:rPr>
          <w:rFonts w:ascii="Arial" w:cs="Arial" w:eastAsia="Arial" w:hAnsi="Arial"/>
          <w:sz w:val="22"/>
          <w:szCs w:val="22"/>
          <w:color w:val="auto"/>
        </w:rPr>
        <w: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(i)</w:t>
      </w:r>
      <w:r>
        <w:rPr>
          <w:rFonts w:ascii="Arial" w:cs="Arial" w:eastAsia="Arial" w:hAnsi="Arial"/>
          <w:sz w:val="22"/>
          <w:szCs w:val="22"/>
          <w:u w:val="single" w:color="auto"/>
          <w:color w:val="auto"/>
        </w:rPr>
        <w:t>Calculation and Payment of Tax Reimbursement Amount</w:t>
      </w:r>
      <w:r>
        <w:rPr>
          <w:rFonts w:ascii="Arial" w:cs="Arial" w:eastAsia="Arial" w:hAnsi="Arial"/>
          <w:sz w:val="22"/>
          <w:szCs w:val="22"/>
          <w:color w:val="auto"/>
        </w:rPr>
        <w:t>.</w:t>
      </w:r>
    </w:p>
    <w:p>
      <w:pPr>
        <w:spacing w:after="0" w:line="206" w:lineRule="exact"/>
        <w:rPr>
          <w:sz w:val="20"/>
          <w:szCs w:val="20"/>
          <w:color w:val="auto"/>
        </w:rPr>
      </w:pPr>
    </w:p>
    <w:p>
      <w:pPr>
        <w:ind w:left="380" w:firstLine="749"/>
        <w:spacing w:after="0" w:line="238" w:lineRule="auto"/>
        <w:rPr>
          <w:sz w:val="20"/>
          <w:szCs w:val="20"/>
          <w:color w:val="auto"/>
        </w:rPr>
      </w:pPr>
      <w:r>
        <w:rPr>
          <w:rFonts w:ascii="Arial" w:cs="Arial" w:eastAsia="Arial" w:hAnsi="Arial"/>
          <w:sz w:val="22"/>
          <w:szCs w:val="22"/>
          <w:color w:val="auto"/>
        </w:rPr>
        <w:t>(A)The “</w:t>
      </w:r>
      <w:r>
        <w:rPr>
          <w:rFonts w:ascii="Arial" w:cs="Arial" w:eastAsia="Arial" w:hAnsi="Arial"/>
          <w:sz w:val="22"/>
          <w:szCs w:val="22"/>
          <w:u w:val="single" w:color="auto"/>
          <w:color w:val="auto"/>
        </w:rPr>
        <w:t>Tax Reimbursement Amount”</w:t>
      </w:r>
      <w:r>
        <w:rPr>
          <w:rFonts w:ascii="Arial" w:cs="Arial" w:eastAsia="Arial" w:hAnsi="Arial"/>
          <w:sz w:val="22"/>
          <w:szCs w:val="22"/>
          <w:color w:val="auto"/>
        </w:rPr>
        <w:t xml:space="preserve"> for each taxable year of Valvoline beginning on or after October 1, 2018, shall equal the excess of the aggregate tax liability shown on the Valvoline Hypothetical Tax Return Workpapers for such year over the aggregate Tax liability shown on the Valvoline Actual Tax Returns for such year (the “</w:t>
      </w:r>
      <w:r>
        <w:rPr>
          <w:rFonts w:ascii="Arial" w:cs="Arial" w:eastAsia="Arial" w:hAnsi="Arial"/>
          <w:sz w:val="22"/>
          <w:szCs w:val="22"/>
          <w:u w:val="single" w:color="auto"/>
          <w:color w:val="auto"/>
        </w:rPr>
        <w:t>Tax Reimbursement Amount</w:t>
      </w:r>
      <w:r>
        <w:rPr>
          <w:rFonts w:ascii="Arial" w:cs="Arial" w:eastAsia="Arial" w:hAnsi="Arial"/>
          <w:sz w:val="22"/>
          <w:szCs w:val="22"/>
          <w:color w:val="auto"/>
        </w:rPr>
        <w:t>”).</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(B)For each taxable year of Valvoline beginning on or after October 1, 2018, Valvoline shall pay to</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Ashland Global no later than the Payment Due Date for such year:</w:t>
      </w:r>
    </w:p>
    <w:p>
      <w:pPr>
        <w:spacing w:after="0" w:line="26" w:lineRule="exact"/>
        <w:rPr>
          <w:sz w:val="20"/>
          <w:szCs w:val="20"/>
          <w:color w:val="auto"/>
        </w:rPr>
      </w:pPr>
    </w:p>
    <w:p>
      <w:pPr>
        <w:ind w:left="1140" w:firstLine="749"/>
        <w:spacing w:after="0"/>
        <w:rPr>
          <w:sz w:val="20"/>
          <w:szCs w:val="20"/>
          <w:color w:val="auto"/>
        </w:rPr>
      </w:pPr>
      <w:r>
        <w:rPr>
          <w:rFonts w:ascii="Arial" w:cs="Arial" w:eastAsia="Arial" w:hAnsi="Arial"/>
          <w:sz w:val="22"/>
          <w:szCs w:val="22"/>
          <w:color w:val="auto"/>
        </w:rPr>
        <w:t>(1)100% of the Tax Reimbursement Amount for such year until the total payments from Valvoline to Ashland Global under this Section 3.02(c)(i)(B)(1) for all taxable years equals $10 million; and</w:t>
      </w:r>
    </w:p>
    <w:p>
      <w:pPr>
        <w:spacing w:after="0" w:line="186"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(2)Thereafter, 80% of the Tax Reimbursement Amount for such year.</w:t>
      </w:r>
    </w:p>
    <w:p>
      <w:pPr>
        <w:spacing w:after="0" w:line="206" w:lineRule="exact"/>
        <w:rPr>
          <w:sz w:val="20"/>
          <w:szCs w:val="20"/>
          <w:color w:val="auto"/>
        </w:rPr>
      </w:pPr>
    </w:p>
    <w:p>
      <w:pPr>
        <w:ind w:left="1140" w:right="40" w:hanging="6"/>
        <w:spacing w:after="0" w:line="279" w:lineRule="auto"/>
        <w:tabs>
          <w:tab w:leader="none" w:pos="1458" w:val="left"/>
        </w:tabs>
        <w:numPr>
          <w:ilvl w:val="0"/>
          <w:numId w:val="45"/>
        </w:numPr>
        <w:rPr>
          <w:rFonts w:ascii="Arial" w:cs="Arial" w:eastAsia="Arial" w:hAnsi="Arial"/>
          <w:sz w:val="19"/>
          <w:szCs w:val="19"/>
          <w:color w:val="auto"/>
        </w:rPr>
      </w:pPr>
      <w:r>
        <w:rPr>
          <w:rFonts w:ascii="Arial" w:cs="Arial" w:eastAsia="Arial" w:hAnsi="Arial"/>
          <w:sz w:val="19"/>
          <w:szCs w:val="19"/>
          <w:color w:val="auto"/>
        </w:rPr>
        <w:t>Unless otherwise agreed to in writing, the “</w:t>
      </w:r>
      <w:r>
        <w:rPr>
          <w:rFonts w:ascii="Arial" w:cs="Arial" w:eastAsia="Arial" w:hAnsi="Arial"/>
          <w:sz w:val="19"/>
          <w:szCs w:val="19"/>
          <w:u w:val="single" w:color="auto"/>
          <w:color w:val="auto"/>
        </w:rPr>
        <w:t>Payment Due Date</w:t>
      </w:r>
      <w:r>
        <w:rPr>
          <w:rFonts w:ascii="Arial" w:cs="Arial" w:eastAsia="Arial" w:hAnsi="Arial"/>
          <w:sz w:val="19"/>
          <w:szCs w:val="19"/>
          <w:color w:val="auto"/>
        </w:rPr>
        <w:t>” for a taxable year shall be (i) if Valvoline is required to file Valvoline Amended Returns for that year pursuant to Section 3.02(a)(i), the 10th Business Day after the date Valvoline has filed all Valvoline Amended Returns required to be filed for that year or (ii) if no Valvoline Amended Return is required to be filed for that year, the later of either (y) September 20th of the calendar year following the end of that taxable year or (z) 10 Business Days following the date the Valvoline Tax Return is actually filed.”</w:t>
      </w:r>
    </w:p>
    <w:p>
      <w:pPr>
        <w:spacing w:after="0" w:line="150" w:lineRule="exact"/>
        <w:rPr>
          <w:sz w:val="20"/>
          <w:szCs w:val="20"/>
          <w:color w:val="auto"/>
        </w:rPr>
      </w:pPr>
    </w:p>
    <w:p>
      <w:pPr>
        <w:ind w:left="380"/>
        <w:spacing w:after="0"/>
        <w:tabs>
          <w:tab w:leader="none" w:pos="18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Inserting new clauses (d) – (g) thereof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354330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color w:val="auto"/>
        </w:rPr>
        <w:t>6</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Schedule J</w:t>
      </w:r>
      <w:r>
        <w:rPr>
          <w:rFonts w:ascii="Arial" w:cs="Arial" w:eastAsia="Arial" w:hAnsi="Arial"/>
          <w:sz w:val="22"/>
          <w:szCs w:val="22"/>
          <w:color w:val="auto"/>
        </w:rPr>
        <w:t>. Schedule J sets forth:</w:t>
      </w:r>
    </w:p>
    <w:p>
      <w:pPr>
        <w:spacing w:after="0" w:line="188" w:lineRule="exact"/>
        <w:rPr>
          <w:sz w:val="20"/>
          <w:szCs w:val="20"/>
          <w:color w:val="auto"/>
        </w:rPr>
      </w:pPr>
    </w:p>
    <w:p>
      <w:pPr>
        <w:ind w:left="380" w:right="180" w:firstLine="754"/>
        <w:spacing w:after="0" w:line="250" w:lineRule="auto"/>
        <w:tabs>
          <w:tab w:leader="none" w:pos="1441"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unused balance of each Legacy Tax Attribute as of May 12, 2017 as provided by Ashland and agreed to by Valvoline;</w:t>
      </w:r>
    </w:p>
    <w:p>
      <w:pPr>
        <w:spacing w:after="0" w:line="174" w:lineRule="exact"/>
        <w:rPr>
          <w:rFonts w:ascii="Arial" w:cs="Arial" w:eastAsia="Arial" w:hAnsi="Arial"/>
          <w:sz w:val="22"/>
          <w:szCs w:val="22"/>
          <w:color w:val="auto"/>
        </w:rPr>
      </w:pPr>
    </w:p>
    <w:p>
      <w:pPr>
        <w:ind w:left="1460" w:hanging="326"/>
        <w:spacing w:after="0"/>
        <w:tabs>
          <w:tab w:leader="none" w:pos="14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For each taxable year ending after May 12, 2017 and on or before September 30, 2021;</w:t>
      </w:r>
    </w:p>
    <w:p>
      <w:pPr>
        <w:spacing w:after="0" w:line="206" w:lineRule="exact"/>
        <w:rPr>
          <w:sz w:val="20"/>
          <w:szCs w:val="20"/>
          <w:color w:val="auto"/>
        </w:rPr>
      </w:pPr>
    </w:p>
    <w:p>
      <w:pPr>
        <w:ind w:left="380" w:right="660" w:firstLine="754"/>
        <w:spacing w:after="0" w:line="250" w:lineRule="auto"/>
        <w:tabs>
          <w:tab w:leader="none" w:pos="1483" w:val="left"/>
        </w:tabs>
        <w:numPr>
          <w:ilvl w:val="0"/>
          <w:numId w:val="47"/>
        </w:numPr>
        <w:rPr>
          <w:rFonts w:ascii="Arial" w:cs="Arial" w:eastAsia="Arial" w:hAnsi="Arial"/>
          <w:sz w:val="22"/>
          <w:szCs w:val="22"/>
          <w:color w:val="auto"/>
        </w:rPr>
      </w:pPr>
      <w:r>
        <w:rPr>
          <w:rFonts w:ascii="Arial" w:cs="Arial" w:eastAsia="Arial" w:hAnsi="Arial"/>
          <w:sz w:val="22"/>
          <w:szCs w:val="22"/>
          <w:color w:val="auto"/>
        </w:rPr>
        <w:t>Valvoline’s good faith estimate of the unused balance of each Legacy Tax Attribute as of the beginning of such year;</w:t>
      </w:r>
    </w:p>
    <w:p>
      <w:pPr>
        <w:spacing w:after="0" w:line="174" w:lineRule="exact"/>
        <w:rPr>
          <w:rFonts w:ascii="Arial" w:cs="Arial" w:eastAsia="Arial" w:hAnsi="Arial"/>
          <w:sz w:val="22"/>
          <w:szCs w:val="22"/>
          <w:color w:val="auto"/>
        </w:rPr>
      </w:pPr>
    </w:p>
    <w:p>
      <w:pPr>
        <w:jc w:val="both"/>
        <w:ind w:left="380" w:right="20" w:firstLine="754"/>
        <w:spacing w:after="0" w:line="328" w:lineRule="auto"/>
        <w:tabs>
          <w:tab w:leader="none" w:pos="1471" w:val="left"/>
        </w:tabs>
        <w:numPr>
          <w:ilvl w:val="0"/>
          <w:numId w:val="47"/>
        </w:numPr>
        <w:rPr>
          <w:rFonts w:ascii="Arial" w:cs="Arial" w:eastAsia="Arial" w:hAnsi="Arial"/>
          <w:sz w:val="19"/>
          <w:szCs w:val="19"/>
          <w:color w:val="auto"/>
        </w:rPr>
      </w:pPr>
      <w:r>
        <w:rPr>
          <w:rFonts w:ascii="Arial" w:cs="Arial" w:eastAsia="Arial" w:hAnsi="Arial"/>
          <w:sz w:val="19"/>
          <w:szCs w:val="19"/>
          <w:color w:val="auto"/>
        </w:rPr>
        <w:t>Valvoline’s good faith estimate of the amount of each Legacy Tax Attribute that will be reflected on any Tax Return of Valvoline for such year (including, for the avoidance of doubt, a Valvoline Amended Return);</w:t>
      </w:r>
    </w:p>
    <w:p>
      <w:pPr>
        <w:spacing w:after="0" w:line="104" w:lineRule="exact"/>
        <w:rPr>
          <w:rFonts w:ascii="Arial" w:cs="Arial" w:eastAsia="Arial" w:hAnsi="Arial"/>
          <w:sz w:val="19"/>
          <w:szCs w:val="19"/>
          <w:color w:val="auto"/>
        </w:rPr>
      </w:pPr>
    </w:p>
    <w:p>
      <w:pPr>
        <w:ind w:left="380" w:right="360" w:firstLine="754"/>
        <w:spacing w:after="0" w:line="250" w:lineRule="auto"/>
        <w:tabs>
          <w:tab w:leader="none" w:pos="1471" w:val="left"/>
        </w:tabs>
        <w:numPr>
          <w:ilvl w:val="0"/>
          <w:numId w:val="47"/>
        </w:numPr>
        <w:rPr>
          <w:rFonts w:ascii="Arial" w:cs="Arial" w:eastAsia="Arial" w:hAnsi="Arial"/>
          <w:sz w:val="22"/>
          <w:szCs w:val="22"/>
          <w:color w:val="auto"/>
        </w:rPr>
      </w:pPr>
      <w:r>
        <w:rPr>
          <w:rFonts w:ascii="Arial" w:cs="Arial" w:eastAsia="Arial" w:hAnsi="Arial"/>
          <w:sz w:val="22"/>
          <w:szCs w:val="22"/>
          <w:color w:val="auto"/>
        </w:rPr>
        <w:t>Valvoline’s good faith estimate of the amount (if any) of each Legacy Tax Attribute that expired during the year; and</w:t>
      </w:r>
    </w:p>
    <w:p>
      <w:pPr>
        <w:spacing w:after="0" w:line="174" w:lineRule="exact"/>
        <w:rPr>
          <w:rFonts w:ascii="Arial" w:cs="Arial" w:eastAsia="Arial" w:hAnsi="Arial"/>
          <w:sz w:val="22"/>
          <w:szCs w:val="22"/>
          <w:color w:val="auto"/>
        </w:rPr>
      </w:pPr>
    </w:p>
    <w:p>
      <w:pPr>
        <w:ind w:left="1480" w:hanging="346"/>
        <w:spacing w:after="0"/>
        <w:tabs>
          <w:tab w:leader="none" w:pos="14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Valvoline’s good faith estimate of the balance of each Legacy Tax Attribute as of the end of such</w:t>
      </w:r>
    </w:p>
    <w:p>
      <w:pPr>
        <w:spacing w:after="0" w:line="42" w:lineRule="exact"/>
        <w:rPr>
          <w:rFonts w:ascii="Arial" w:cs="Arial" w:eastAsia="Arial" w:hAnsi="Arial"/>
          <w:sz w:val="19"/>
          <w:szCs w:val="19"/>
          <w:color w:val="auto"/>
        </w:rPr>
      </w:pPr>
    </w:p>
    <w:p>
      <w:pPr>
        <w:ind w:left="380"/>
        <w:spacing w:after="0"/>
        <w:rPr>
          <w:rFonts w:ascii="Arial" w:cs="Arial" w:eastAsia="Arial" w:hAnsi="Arial"/>
          <w:sz w:val="19"/>
          <w:szCs w:val="19"/>
          <w:color w:val="auto"/>
        </w:rPr>
      </w:pPr>
      <w:r>
        <w:rPr>
          <w:rFonts w:ascii="Arial" w:cs="Arial" w:eastAsia="Arial" w:hAnsi="Arial"/>
          <w:sz w:val="22"/>
          <w:szCs w:val="22"/>
          <w:color w:val="auto"/>
        </w:rPr>
        <w:t>year.</w:t>
      </w:r>
    </w:p>
    <w:p>
      <w:pPr>
        <w:spacing w:after="0" w:line="188" w:lineRule="exact"/>
        <w:rPr>
          <w:sz w:val="20"/>
          <w:szCs w:val="20"/>
          <w:color w:val="auto"/>
        </w:rPr>
      </w:pPr>
    </w:p>
    <w:p>
      <w:pPr>
        <w:jc w:val="both"/>
        <w:ind w:left="380" w:right="620" w:firstLine="754"/>
        <w:spacing w:after="0"/>
        <w:tabs>
          <w:tab w:leader="none" w:pos="1507" w:val="left"/>
        </w:tabs>
        <w:numPr>
          <w:ilvl w:val="0"/>
          <w:numId w:val="48"/>
        </w:numPr>
        <w:rPr>
          <w:rFonts w:ascii="Arial" w:cs="Arial" w:eastAsia="Arial" w:hAnsi="Arial"/>
          <w:sz w:val="22"/>
          <w:szCs w:val="22"/>
          <w:color w:val="auto"/>
        </w:rPr>
      </w:pPr>
      <w:r>
        <w:rPr>
          <w:rFonts w:ascii="Arial" w:cs="Arial" w:eastAsia="Arial" w:hAnsi="Arial"/>
          <w:sz w:val="22"/>
          <w:szCs w:val="22"/>
          <w:color w:val="auto"/>
        </w:rPr>
        <w:t>For taxable years of Valvoline beginning on or after October 1, 2021, Valvoline’s good faith projection of the items set forth below, taking into account all gain recognized from the sale of any equity interests of a Valvoline Affiliate during an applicable tax period:</w:t>
      </w:r>
    </w:p>
    <w:p>
      <w:pPr>
        <w:spacing w:after="0" w:line="186" w:lineRule="exact"/>
        <w:rPr>
          <w:sz w:val="20"/>
          <w:szCs w:val="20"/>
          <w:color w:val="auto"/>
        </w:rPr>
      </w:pPr>
    </w:p>
    <w:p>
      <w:pPr>
        <w:ind w:left="1480" w:hanging="346"/>
        <w:spacing w:after="0"/>
        <w:tabs>
          <w:tab w:leader="none" w:pos="14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unused balance of each Legacy Tax Attribute as of the beginning of such year;</w:t>
      </w:r>
    </w:p>
    <w:p>
      <w:pPr>
        <w:spacing w:after="0" w:line="206" w:lineRule="exact"/>
        <w:rPr>
          <w:rFonts w:ascii="Arial" w:cs="Arial" w:eastAsia="Arial" w:hAnsi="Arial"/>
          <w:sz w:val="22"/>
          <w:szCs w:val="22"/>
          <w:color w:val="auto"/>
        </w:rPr>
      </w:pPr>
    </w:p>
    <w:p>
      <w:pPr>
        <w:ind w:left="380" w:right="280" w:firstLine="754"/>
        <w:spacing w:after="0" w:line="250" w:lineRule="auto"/>
        <w:tabs>
          <w:tab w:leader="none" w:pos="1471"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amount of each Legacy Tax Attribute that will be reflected on the applicable Valvoline Post-2020 Return;</w:t>
      </w:r>
    </w:p>
    <w:p>
      <w:pPr>
        <w:spacing w:after="0" w:line="174" w:lineRule="exact"/>
        <w:rPr>
          <w:rFonts w:ascii="Arial" w:cs="Arial" w:eastAsia="Arial" w:hAnsi="Arial"/>
          <w:sz w:val="22"/>
          <w:szCs w:val="22"/>
          <w:color w:val="auto"/>
        </w:rPr>
      </w:pPr>
    </w:p>
    <w:p>
      <w:pPr>
        <w:ind w:left="1480" w:hanging="346"/>
        <w:spacing w:after="0"/>
        <w:tabs>
          <w:tab w:leader="none" w:pos="14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amount (if any) of each Legacy Tax Attribute that will expire during the year; and</w:t>
      </w:r>
    </w:p>
    <w:p>
      <w:pPr>
        <w:spacing w:after="0" w:line="206" w:lineRule="exact"/>
        <w:rPr>
          <w:rFonts w:ascii="Arial" w:cs="Arial" w:eastAsia="Arial" w:hAnsi="Arial"/>
          <w:sz w:val="22"/>
          <w:szCs w:val="22"/>
          <w:color w:val="auto"/>
        </w:rPr>
      </w:pPr>
    </w:p>
    <w:p>
      <w:pPr>
        <w:ind w:left="1480" w:hanging="346"/>
        <w:spacing w:after="0"/>
        <w:tabs>
          <w:tab w:leader="none" w:pos="14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balance of each Legacy Tax Attribute as of the end of such year.</w:t>
      </w:r>
    </w:p>
    <w:p>
      <w:pPr>
        <w:spacing w:after="0" w:line="206" w:lineRule="exact"/>
        <w:rPr>
          <w:sz w:val="20"/>
          <w:szCs w:val="20"/>
          <w:color w:val="auto"/>
        </w:rPr>
      </w:pPr>
    </w:p>
    <w:p>
      <w:pPr>
        <w:ind w:left="380" w:right="60"/>
        <w:spacing w:after="0" w:line="246" w:lineRule="auto"/>
        <w:rPr>
          <w:sz w:val="20"/>
          <w:szCs w:val="20"/>
          <w:color w:val="auto"/>
        </w:rPr>
      </w:pPr>
      <w:r>
        <w:rPr>
          <w:rFonts w:ascii="Arial" w:cs="Arial" w:eastAsia="Arial" w:hAnsi="Arial"/>
          <w:sz w:val="21"/>
          <w:szCs w:val="21"/>
          <w:color w:val="auto"/>
        </w:rPr>
        <w:t>Valvoline shall update Schedule J to reflect actual amounts for the items set forth in Section 3.02(d)(ii) above and shall provide such updated Schedule to Ashland Global as soon as reasonably practicable and in any event by the date that Valvoline files all Valvoline Amended Returns pursuant to Section 3.02(a)(ii). Each taxable year of Valvoline thereafter, Valvoline shall update Schedule J to reflect actual amounts and revised projections, as applicable, for the items set forth in Section 3.02(d)(iii) and shall provide such updated Schedule to Ashland Global as soon as reasonably practicable and in any event no later than five Business Days after the Payment Due Date for such year. Valvoline expects in good faith, as of the date of this Amendment, that: (i) for each Legacy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337820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color w:val="auto"/>
        </w:rPr>
        <w:t>7</w:t>
      </w:r>
    </w:p>
    <w:p>
      <w:pPr>
        <w:spacing w:after="0" w:line="207" w:lineRule="exact"/>
        <w:rPr>
          <w:sz w:val="20"/>
          <w:szCs w:val="20"/>
          <w:color w:val="auto"/>
        </w:rPr>
      </w:pPr>
    </w:p>
    <w:p>
      <w:pPr>
        <w:ind w:left="1500" w:right="40"/>
        <w:spacing w:after="0" w:line="236" w:lineRule="auto"/>
        <w:rPr>
          <w:sz w:val="20"/>
          <w:szCs w:val="20"/>
          <w:color w:val="auto"/>
        </w:rPr>
      </w:pPr>
      <w:r>
        <w:rPr>
          <w:rFonts w:ascii="Arial" w:cs="Arial" w:eastAsia="Arial" w:hAnsi="Arial"/>
          <w:sz w:val="22"/>
          <w:szCs w:val="22"/>
          <w:color w:val="auto"/>
        </w:rPr>
        <w:t>Attribute listed on Schedule J, Valvoline will pay Ashland Global with respect to such Legacy Tax Attribute pursuant to Section 3.02(c) in the taxable years when Valvoline estimates that such Legacy Tax Attribute will be reflected on a Tax Return of Valvoline (including a Valvoline Amended Return) under Section 3.02(d)(ii)(B) or 3.02(d)(iii)(B), as applicable; and (ii) Valvoline’s own Tax Attributes will not materially affect the timing of such payments.</w:t>
      </w:r>
    </w:p>
    <w:p>
      <w:pPr>
        <w:spacing w:after="0" w:line="187" w:lineRule="exact"/>
        <w:rPr>
          <w:sz w:val="20"/>
          <w:szCs w:val="20"/>
          <w:color w:val="auto"/>
        </w:rPr>
      </w:pPr>
    </w:p>
    <w:p>
      <w:pPr>
        <w:ind w:left="1800" w:hanging="295"/>
        <w:spacing w:after="0"/>
        <w:tabs>
          <w:tab w:leader="none" w:pos="18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Cooperation and Dispute Resolution</w:t>
      </w:r>
      <w:r>
        <w:rPr>
          <w:rFonts w:ascii="Arial" w:cs="Arial" w:eastAsia="Arial" w:hAnsi="Arial"/>
          <w:sz w:val="22"/>
          <w:szCs w:val="22"/>
          <w:color w:val="auto"/>
        </w:rPr>
        <w:t>.</w:t>
      </w:r>
    </w:p>
    <w:p>
      <w:pPr>
        <w:spacing w:after="0" w:line="206" w:lineRule="exact"/>
        <w:rPr>
          <w:sz w:val="20"/>
          <w:szCs w:val="20"/>
          <w:color w:val="auto"/>
        </w:rPr>
      </w:pPr>
    </w:p>
    <w:p>
      <w:pPr>
        <w:ind w:left="760" w:right="460" w:firstLine="749"/>
        <w:spacing w:after="0" w:line="250" w:lineRule="auto"/>
        <w:rPr>
          <w:sz w:val="20"/>
          <w:szCs w:val="20"/>
          <w:color w:val="auto"/>
        </w:rPr>
      </w:pPr>
      <w:r>
        <w:rPr>
          <w:rFonts w:ascii="Arial" w:cs="Arial" w:eastAsia="Arial" w:hAnsi="Arial"/>
          <w:sz w:val="22"/>
          <w:szCs w:val="22"/>
          <w:color w:val="auto"/>
        </w:rPr>
        <w:t>(iii)Valvoline agrees to share any calculations, workpapers or relevant Tax Returns reasonably requested by Ashland Global in connection with matters related to this Section 3.02.</w:t>
      </w:r>
    </w:p>
    <w:p>
      <w:pPr>
        <w:spacing w:after="0" w:line="175" w:lineRule="exact"/>
        <w:rPr>
          <w:sz w:val="20"/>
          <w:szCs w:val="20"/>
          <w:color w:val="auto"/>
        </w:rPr>
      </w:pPr>
    </w:p>
    <w:p>
      <w:pPr>
        <w:ind w:left="760" w:right="300" w:firstLine="749"/>
        <w:spacing w:after="0" w:line="276" w:lineRule="auto"/>
        <w:rPr>
          <w:sz w:val="20"/>
          <w:szCs w:val="20"/>
          <w:color w:val="auto"/>
        </w:rPr>
      </w:pPr>
      <w:r>
        <w:rPr>
          <w:rFonts w:ascii="Arial" w:cs="Arial" w:eastAsia="Arial" w:hAnsi="Arial"/>
          <w:sz w:val="19"/>
          <w:szCs w:val="19"/>
          <w:color w:val="auto"/>
        </w:rPr>
        <w:t>(iv)If Valvoline wishes to take a position on a Valvoline Actual Tax Return or the Valvoline Hypothetical Tax Return Workpapers that is inconsistent with one or more comments provided by Ashland Global pursuant to Section</w:t>
      </w:r>
    </w:p>
    <w:p>
      <w:pPr>
        <w:spacing w:after="0" w:line="1" w:lineRule="exact"/>
        <w:rPr>
          <w:sz w:val="20"/>
          <w:szCs w:val="20"/>
          <w:color w:val="auto"/>
        </w:rPr>
      </w:pPr>
    </w:p>
    <w:p>
      <w:pPr>
        <w:ind w:left="760" w:right="20"/>
        <w:spacing w:after="0" w:line="243" w:lineRule="auto"/>
        <w:rPr>
          <w:sz w:val="20"/>
          <w:szCs w:val="20"/>
          <w:color w:val="auto"/>
        </w:rPr>
      </w:pPr>
      <w:r>
        <w:rPr>
          <w:rFonts w:ascii="Arial" w:cs="Arial" w:eastAsia="Arial" w:hAnsi="Arial"/>
          <w:sz w:val="21"/>
          <w:szCs w:val="21"/>
          <w:color w:val="auto"/>
        </w:rPr>
        <w:t>3.02(a) or Section 3.02(b), Valvoline may do so if (A) Valvoline obtains an opinion from a Tax Advisor that there is no substantial authority for Ashland Global’s position and that the position Valvoline wishes to take is supported by a “more likely than not” standard; or (B) the revisions do not affect any position taken on a Valvoline Tax Return or the Valvoline Hypothetical Tax Return Workpapers with respect to its taxable income prior to taking any Legacy Tax Attributes into account and relate directly to the use of any Legacy Tax Attributes or Tax Attributes of the same type as any Legacy Tax Attributes previously used by Valvoline. The parties shall attempt in good faith to resolve any issues or disputes related to this Section 3.02. Notwithstanding anything herein to the contrary, any dispute related to the review of Ashland Global of Valvoline Tax Returns or the Valvoline Hypothetical Tax Return Workpapers shall be governed by this Section 3.02(e) and not Section 2.07.</w:t>
      </w:r>
    </w:p>
    <w:p>
      <w:pPr>
        <w:spacing w:after="0" w:line="184" w:lineRule="exact"/>
        <w:rPr>
          <w:sz w:val="20"/>
          <w:szCs w:val="20"/>
          <w:color w:val="auto"/>
        </w:rPr>
      </w:pPr>
    </w:p>
    <w:p>
      <w:pPr>
        <w:ind w:right="240" w:firstLine="1505"/>
        <w:spacing w:after="0" w:line="236" w:lineRule="auto"/>
        <w:tabs>
          <w:tab w:leader="none" w:pos="1767"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Reimbursement by Ashland Global</w:t>
      </w:r>
      <w:r>
        <w:rPr>
          <w:rFonts w:ascii="Arial" w:cs="Arial" w:eastAsia="Arial" w:hAnsi="Arial"/>
          <w:sz w:val="22"/>
          <w:szCs w:val="22"/>
          <w:color w:val="auto"/>
        </w:rPr>
        <w:t xml:space="preserve">. Ashland Global shall reimburse Valvoline for any reasonable and necessary out of pocket expenses paid to a third party to prepare and file any Valvoline Amended Return to the extent those expenses are directly related to claiming a Legacy Tax Attribute thereon, </w:t>
      </w:r>
      <w:r>
        <w:rPr>
          <w:rFonts w:ascii="Arial" w:cs="Arial" w:eastAsia="Arial" w:hAnsi="Arial"/>
          <w:sz w:val="22"/>
          <w:szCs w:val="22"/>
          <w:i w:val="1"/>
          <w:iCs w:val="1"/>
          <w:u w:val="single" w:color="auto"/>
          <w:color w:val="auto"/>
        </w:rPr>
        <w:t>provided</w:t>
      </w:r>
      <w:r>
        <w:rPr>
          <w:rFonts w:ascii="Arial" w:cs="Arial" w:eastAsia="Arial" w:hAnsi="Arial"/>
          <w:sz w:val="22"/>
          <w:szCs w:val="22"/>
          <w:color w:val="auto"/>
        </w:rPr>
        <w:t>, that any such expenses must be approved in writing by Ashland Global (such approval not to be unreasonably withheld) and that such reimbursement shall not exceed $300,000 in the aggregate.</w:t>
      </w:r>
    </w:p>
    <w:p>
      <w:pPr>
        <w:spacing w:after="0" w:line="187" w:lineRule="exact"/>
        <w:rPr>
          <w:rFonts w:ascii="Arial" w:cs="Arial" w:eastAsia="Arial" w:hAnsi="Arial"/>
          <w:sz w:val="22"/>
          <w:szCs w:val="22"/>
          <w:color w:val="auto"/>
        </w:rPr>
      </w:pPr>
    </w:p>
    <w:p>
      <w:pPr>
        <w:ind w:left="1820" w:hanging="315"/>
        <w:spacing w:after="0"/>
        <w:tabs>
          <w:tab w:leader="none" w:pos="182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Recalculation of Tax Reimbursement Payment</w:t>
      </w:r>
      <w:r>
        <w:rPr>
          <w:rFonts w:ascii="Arial" w:cs="Arial" w:eastAsia="Arial" w:hAnsi="Arial"/>
          <w:sz w:val="22"/>
          <w:szCs w:val="22"/>
          <w:color w:val="auto"/>
        </w:rPr>
        <w:t>.</w:t>
      </w:r>
    </w:p>
    <w:p>
      <w:pPr>
        <w:spacing w:after="0" w:line="206" w:lineRule="exact"/>
        <w:rPr>
          <w:sz w:val="20"/>
          <w:szCs w:val="20"/>
          <w:color w:val="auto"/>
        </w:rPr>
      </w:pPr>
    </w:p>
    <w:p>
      <w:pPr>
        <w:ind w:right="220" w:firstLine="1505"/>
        <w:spacing w:after="0" w:line="235" w:lineRule="auto"/>
        <w:tabs>
          <w:tab w:leader="none" w:pos="1755" w:val="left"/>
        </w:tabs>
        <w:numPr>
          <w:ilvl w:val="0"/>
          <w:numId w:val="52"/>
        </w:numPr>
        <w:rPr>
          <w:rFonts w:ascii="Arial" w:cs="Arial" w:eastAsia="Arial" w:hAnsi="Arial"/>
          <w:sz w:val="22"/>
          <w:szCs w:val="22"/>
          <w:color w:val="auto"/>
        </w:rPr>
      </w:pPr>
      <w:r>
        <w:rPr>
          <w:rFonts w:ascii="Arial" w:cs="Arial" w:eastAsia="Arial" w:hAnsi="Arial"/>
          <w:sz w:val="22"/>
          <w:szCs w:val="22"/>
          <w:color w:val="auto"/>
        </w:rPr>
        <w:t>If (x) the aggregate amount of tax shown on the Valvoline Actual Tax Returns for a taxable year is changed after such returns are filed and (y) the effect of such change is that the total payments that would be due from Valvoline to Ashland Global under Section 3.02(c) for all relevant taxable years taking into account such change (the “</w:t>
      </w:r>
      <w:r>
        <w:rPr>
          <w:rFonts w:ascii="Arial" w:cs="Arial" w:eastAsia="Arial" w:hAnsi="Arial"/>
          <w:sz w:val="22"/>
          <w:szCs w:val="22"/>
          <w:u w:val="single" w:color="auto"/>
          <w:color w:val="auto"/>
        </w:rPr>
        <w:t>Recalculated Tax</w:t>
      </w:r>
      <w:r>
        <w:rPr>
          <w:rFonts w:ascii="Arial" w:cs="Arial" w:eastAsia="Arial" w:hAnsi="Arial"/>
          <w:sz w:val="22"/>
          <w:szCs w:val="22"/>
          <w:color w:val="auto"/>
        </w:rPr>
        <w:t xml:space="preserve"> </w:t>
      </w:r>
      <w:r>
        <w:rPr>
          <w:rFonts w:ascii="Arial" w:cs="Arial" w:eastAsia="Arial" w:hAnsi="Arial"/>
          <w:sz w:val="22"/>
          <w:szCs w:val="22"/>
          <w:u w:val="single" w:color="auto"/>
          <w:color w:val="auto"/>
        </w:rPr>
        <w:t>Reimbursement Payment</w:t>
      </w:r>
      <w:r>
        <w:rPr>
          <w:rFonts w:ascii="Arial" w:cs="Arial" w:eastAsia="Arial" w:hAnsi="Arial"/>
          <w:sz w:val="22"/>
          <w:szCs w:val="22"/>
          <w:color w:val="auto"/>
        </w:rPr>
        <w:t>”) is greater or less than the aggregate amount actually paid by Valvoline to Ashland Global for those taxable years under Section 3.02(c), then Ashland Global shall pay to Valvoline, or Valvoline shall pay to Ashland Global, the amount determined in paragraph (ii)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color w:val="auto"/>
        </w:rPr>
        <w:t>8</w:t>
      </w:r>
    </w:p>
    <w:p>
      <w:pPr>
        <w:spacing w:after="0" w:line="9" w:lineRule="exact"/>
        <w:rPr>
          <w:sz w:val="20"/>
          <w:szCs w:val="20"/>
          <w:color w:val="auto"/>
        </w:rPr>
      </w:pPr>
    </w:p>
    <w:p>
      <w:pPr>
        <w:ind w:firstLine="1505"/>
        <w:spacing w:after="0" w:line="232" w:lineRule="auto"/>
        <w:tabs>
          <w:tab w:leader="none" w:pos="1815"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the aggregate Recalculated Tax Reimbursement Payments for all relevant taxable years exceeds the aggregate amount actually paid by Valvoline to Ashland Global for those taxable years under Section 3.02(c) (as previously recalculated pursuant to this Section 3.02(g), if applicable) for all such relevant taxable years, Valvoline shall pay such excess to Ashland Global. If the aggregate amount actually paid by Valvoline to Ashland Global under Section 3.02(c) (as recalculated pursuant to this Section 3.02(g), if applicable) for all relevant taxable years exceeds the Recalculated Tax Reimbursement Payments for all relevant taxable years, Ashland Global shall pay such excess to Valvoline. Such payments shall be made promptly after the determination that the aggregate amount of tax shown on the Valvoline Actual Tax Returns for a taxable year is changed.”</w:t>
      </w:r>
    </w:p>
    <w:p>
      <w:pPr>
        <w:spacing w:after="0" w:line="186"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 xml:space="preserve">The following is added as a new </w:t>
      </w:r>
      <w:r>
        <w:rPr>
          <w:rFonts w:ascii="Arial" w:cs="Arial" w:eastAsia="Arial" w:hAnsi="Arial"/>
          <w:sz w:val="22"/>
          <w:szCs w:val="22"/>
          <w:u w:val="single" w:color="auto"/>
          <w:color w:val="auto"/>
        </w:rPr>
        <w:t>Section 3.03</w:t>
      </w:r>
      <w:r>
        <w:rPr>
          <w:rFonts w:ascii="Arial" w:cs="Arial" w:eastAsia="Arial" w:hAnsi="Arial"/>
          <w:sz w:val="22"/>
          <w:szCs w:val="22"/>
          <w:color w:val="auto"/>
        </w:rPr>
        <w:t xml:space="preserve"> of the Tax Matters Agreement:</w:t>
      </w:r>
    </w:p>
    <w:p>
      <w:pPr>
        <w:spacing w:after="0" w:line="206" w:lineRule="exact"/>
        <w:rPr>
          <w:sz w:val="20"/>
          <w:szCs w:val="20"/>
          <w:color w:val="auto"/>
        </w:rPr>
      </w:pPr>
    </w:p>
    <w:p>
      <w:pPr>
        <w:ind w:left="2260" w:right="40"/>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Tax Proceedings</w:t>
      </w:r>
      <w:r>
        <w:rPr>
          <w:rFonts w:ascii="Arial" w:cs="Arial" w:eastAsia="Arial" w:hAnsi="Arial"/>
          <w:sz w:val="21"/>
          <w:szCs w:val="21"/>
          <w:color w:val="auto"/>
        </w:rPr>
        <w:t>. If in the course of any audit or examination of any Tax Return filed by Valvoline (a “Specified Tax Proceeding”) Valvoline receives notice (including, for the avoidance of doubt, the receipt of any Information Document Request or similar inquiry) that a Taxing Authority is examining the validity of a Legacy Tax Attribute claimed by Valvoline on an Actual Tax Return (including any amendment), then Valvoline shall notify Ashland Global as soon as practicable following the receipt of such notice (but in no event later than ten Business Days following the date of the receipt of such notice or, if earlier, 5 Business Days before the due date for any response to an Information Document Request or similar inquiry ). Notwithstanding anything herein to the contrary, Ashland Global will control, at its expense, only the portion of any Specified Tax Proceeding that relates to the validity of a Legacy Tax Attribute, and Valvoline will not take any action with respect to such Specified Tax Proceeding without the prior written consent of Ashland Global, including pursuing or foregoing any administrative appeals, proceedings, hearings and conferences with any Taxing Authority with respect thereto or settling such Specified Tax Proceeding. Notwithstanding anything herein to the contrary, this Section 3.03, and not Section 6.01(a), shall govern Specified Tax Proceedings.”</w:t>
      </w:r>
    </w:p>
    <w:p>
      <w:pPr>
        <w:spacing w:after="0" w:line="220"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of the Tax Matters Agreement is amended by deleting “and” at the end of clause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 thereof and inserting the following as new clauses (e) and (f) thereof:</w:t>
      </w:r>
    </w:p>
    <w:p>
      <w:pPr>
        <w:spacing w:after="0" w:line="188" w:lineRule="exact"/>
        <w:rPr>
          <w:sz w:val="20"/>
          <w:szCs w:val="20"/>
          <w:color w:val="auto"/>
        </w:rPr>
      </w:pPr>
    </w:p>
    <w:p>
      <w:pPr>
        <w:jc w:val="both"/>
        <w:ind w:left="1500" w:right="520"/>
        <w:spacing w:after="0"/>
        <w:rPr>
          <w:sz w:val="20"/>
          <w:szCs w:val="20"/>
          <w:color w:val="auto"/>
        </w:rPr>
      </w:pPr>
      <w:r>
        <w:rPr>
          <w:rFonts w:ascii="Arial" w:cs="Arial" w:eastAsia="Arial" w:hAnsi="Arial"/>
          <w:sz w:val="22"/>
          <w:szCs w:val="22"/>
          <w:color w:val="auto"/>
        </w:rPr>
        <w:t>“(e) any penalties, interest or additions to Tax incurred by Valvoline as a result of a Determination that the balance of any Legacy Tax Attribute is less than the balance of such Legacy Tax Attribute as of the date of Deconsolidation, as reflected on Schedule J;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color w:val="auto"/>
        </w:rPr>
        <w:t>9</w:t>
      </w:r>
    </w:p>
    <w:p>
      <w:pPr>
        <w:spacing w:after="0" w:line="9" w:lineRule="exact"/>
        <w:rPr>
          <w:sz w:val="20"/>
          <w:szCs w:val="20"/>
          <w:color w:val="auto"/>
        </w:rPr>
      </w:pPr>
    </w:p>
    <w:p>
      <w:pPr>
        <w:ind w:left="1500" w:right="160" w:firstLine="5"/>
        <w:spacing w:after="0" w:line="308" w:lineRule="auto"/>
        <w:tabs>
          <w:tab w:leader="none" w:pos="177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 reasonable out-of-pocket costs incurred by Valvoline to defend the validity of any Legacy Tax Attributes during a Specified Tax Proceeding pursuant to Section 3.03 and as reasonably agreed to by Ashland Global.”</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0" w:type="dxa"/>
            <w:vAlign w:val="bottom"/>
          </w:tcPr>
          <w:p>
            <w:pPr>
              <w:ind w:left="1500"/>
              <w:spacing w:after="0"/>
              <w:rPr>
                <w:sz w:val="20"/>
                <w:szCs w:val="20"/>
                <w:color w:val="auto"/>
              </w:rPr>
            </w:pPr>
            <w:r>
              <w:rPr>
                <w:rFonts w:ascii="Arial" w:cs="Arial" w:eastAsia="Arial" w:hAnsi="Arial"/>
                <w:sz w:val="22"/>
                <w:szCs w:val="22"/>
                <w:color w:val="auto"/>
              </w:rPr>
              <w:t>(g)</w:t>
            </w:r>
          </w:p>
        </w:tc>
        <w:tc>
          <w:tcPr>
            <w:tcW w:w="8700" w:type="dxa"/>
            <w:vAlign w:val="bottom"/>
            <w:gridSpan w:val="3"/>
          </w:tcPr>
          <w:p>
            <w:pPr>
              <w:ind w:left="1000"/>
              <w:spacing w:after="0"/>
              <w:rPr>
                <w:sz w:val="20"/>
                <w:szCs w:val="20"/>
                <w:color w:val="auto"/>
              </w:rPr>
            </w:pPr>
            <w:r>
              <w:rPr>
                <w:rFonts w:ascii="Arial" w:cs="Arial" w:eastAsia="Arial" w:hAnsi="Arial"/>
                <w:sz w:val="22"/>
                <w:szCs w:val="22"/>
                <w:color w:val="auto"/>
                <w:w w:val="90"/>
              </w:rPr>
              <w:t>The first clause of Section 6.01(a)(i) of the Tax Matters Agreement (immediately prior to</w:t>
            </w:r>
          </w:p>
        </w:tc>
      </w:tr>
      <w:tr>
        <w:trPr>
          <w:trHeight w:val="273"/>
        </w:trPr>
        <w:tc>
          <w:tcPr>
            <w:tcW w:w="4560" w:type="dxa"/>
            <w:vAlign w:val="bottom"/>
            <w:gridSpan w:val="2"/>
          </w:tcPr>
          <w:p>
            <w:pPr>
              <w:spacing w:after="0"/>
              <w:rPr>
                <w:sz w:val="20"/>
                <w:szCs w:val="20"/>
                <w:color w:val="auto"/>
              </w:rPr>
            </w:pPr>
            <w:r>
              <w:rPr>
                <w:rFonts w:ascii="Arial" w:cs="Arial" w:eastAsia="Arial" w:hAnsi="Arial"/>
                <w:sz w:val="22"/>
                <w:szCs w:val="22"/>
                <w:color w:val="auto"/>
                <w:w w:val="95"/>
              </w:rPr>
              <w:t>clause (i) thereof) is amended to read as follows:</w:t>
            </w:r>
          </w:p>
        </w:tc>
        <w:tc>
          <w:tcPr>
            <w:tcW w:w="1580" w:type="dxa"/>
            <w:vAlign w:val="bottom"/>
            <w:tcBorders>
              <w:top w:val="single" w:sz="8" w:color="auto"/>
            </w:tcBorders>
          </w:tcPr>
          <w:p>
            <w:pPr>
              <w:spacing w:after="0"/>
              <w:rPr>
                <w:sz w:val="23"/>
                <w:szCs w:val="23"/>
                <w:color w:val="auto"/>
              </w:rPr>
            </w:pPr>
          </w:p>
        </w:tc>
        <w:tc>
          <w:tcPr>
            <w:tcW w:w="4560" w:type="dxa"/>
            <w:vAlign w:val="bottom"/>
          </w:tcPr>
          <w:p>
            <w:pPr>
              <w:spacing w:after="0"/>
              <w:rPr>
                <w:sz w:val="23"/>
                <w:szCs w:val="23"/>
                <w:color w:val="auto"/>
              </w:rPr>
            </w:pPr>
          </w:p>
        </w:tc>
      </w:tr>
      <w:tr>
        <w:trPr>
          <w:trHeight w:val="459"/>
        </w:trPr>
        <w:tc>
          <w:tcPr>
            <w:tcW w:w="2000" w:type="dxa"/>
            <w:vAlign w:val="bottom"/>
          </w:tcPr>
          <w:p>
            <w:pPr>
              <w:spacing w:after="0"/>
              <w:rPr>
                <w:sz w:val="24"/>
                <w:szCs w:val="24"/>
                <w:color w:val="auto"/>
              </w:rPr>
            </w:pPr>
          </w:p>
        </w:tc>
        <w:tc>
          <w:tcPr>
            <w:tcW w:w="8700" w:type="dxa"/>
            <w:vAlign w:val="bottom"/>
            <w:gridSpan w:val="3"/>
          </w:tcPr>
          <w:p>
            <w:pPr>
              <w:ind w:left="260"/>
              <w:spacing w:after="0"/>
              <w:rPr>
                <w:sz w:val="20"/>
                <w:szCs w:val="20"/>
                <w:color w:val="auto"/>
              </w:rPr>
            </w:pPr>
            <w:r>
              <w:rPr>
                <w:rFonts w:ascii="Arial" w:cs="Arial" w:eastAsia="Arial" w:hAnsi="Arial"/>
                <w:sz w:val="22"/>
                <w:szCs w:val="22"/>
                <w:color w:val="auto"/>
              </w:rPr>
              <w:t>“Subject to Section 3.03 and Section 6.01(b)”</w:t>
            </w:r>
          </w:p>
        </w:tc>
      </w:tr>
      <w:tr>
        <w:trPr>
          <w:trHeight w:val="459"/>
        </w:trPr>
        <w:tc>
          <w:tcPr>
            <w:tcW w:w="2000" w:type="dxa"/>
            <w:vAlign w:val="bottom"/>
          </w:tcPr>
          <w:p>
            <w:pPr>
              <w:ind w:left="1500"/>
              <w:spacing w:after="0"/>
              <w:rPr>
                <w:sz w:val="20"/>
                <w:szCs w:val="20"/>
                <w:color w:val="auto"/>
              </w:rPr>
            </w:pPr>
            <w:r>
              <w:rPr>
                <w:rFonts w:ascii="Arial" w:cs="Arial" w:eastAsia="Arial" w:hAnsi="Arial"/>
                <w:sz w:val="22"/>
                <w:szCs w:val="22"/>
                <w:color w:val="auto"/>
              </w:rPr>
              <w:t>(h)</w:t>
            </w:r>
          </w:p>
        </w:tc>
        <w:tc>
          <w:tcPr>
            <w:tcW w:w="8700" w:type="dxa"/>
            <w:vAlign w:val="bottom"/>
            <w:gridSpan w:val="3"/>
          </w:tcPr>
          <w:p>
            <w:pPr>
              <w:ind w:left="1000"/>
              <w:spacing w:after="0"/>
              <w:rPr>
                <w:sz w:val="20"/>
                <w:szCs w:val="20"/>
                <w:color w:val="auto"/>
              </w:rPr>
            </w:pPr>
            <w:r>
              <w:rPr>
                <w:rFonts w:ascii="Arial" w:cs="Arial" w:eastAsia="Arial" w:hAnsi="Arial"/>
                <w:sz w:val="22"/>
                <w:szCs w:val="22"/>
                <w:color w:val="auto"/>
                <w:w w:val="97"/>
              </w:rPr>
              <w:t>Schedule I hereto is inserted as a new Schedule I to the Tax Matters Agreement.</w:t>
            </w:r>
          </w:p>
        </w:tc>
      </w:tr>
      <w:tr>
        <w:trPr>
          <w:trHeight w:val="459"/>
        </w:trPr>
        <w:tc>
          <w:tcPr>
            <w:tcW w:w="2000" w:type="dxa"/>
            <w:vAlign w:val="bottom"/>
          </w:tcPr>
          <w:p>
            <w:pPr>
              <w:ind w:left="1500"/>
              <w:spacing w:after="0"/>
              <w:rPr>
                <w:sz w:val="20"/>
                <w:szCs w:val="20"/>
                <w:color w:val="auto"/>
              </w:rPr>
            </w:pPr>
            <w:r>
              <w:rPr>
                <w:rFonts w:ascii="Arial" w:cs="Arial" w:eastAsia="Arial" w:hAnsi="Arial"/>
                <w:sz w:val="22"/>
                <w:szCs w:val="22"/>
                <w:color w:val="auto"/>
              </w:rPr>
              <w:t>(i)</w:t>
            </w:r>
          </w:p>
        </w:tc>
        <w:tc>
          <w:tcPr>
            <w:tcW w:w="8700" w:type="dxa"/>
            <w:vAlign w:val="bottom"/>
            <w:gridSpan w:val="3"/>
          </w:tcPr>
          <w:p>
            <w:pPr>
              <w:ind w:left="1000"/>
              <w:spacing w:after="0"/>
              <w:rPr>
                <w:sz w:val="20"/>
                <w:szCs w:val="20"/>
                <w:color w:val="auto"/>
              </w:rPr>
            </w:pPr>
            <w:r>
              <w:rPr>
                <w:rFonts w:ascii="Arial" w:cs="Arial" w:eastAsia="Arial" w:hAnsi="Arial"/>
                <w:sz w:val="22"/>
                <w:szCs w:val="22"/>
                <w:color w:val="auto"/>
                <w:w w:val="96"/>
              </w:rPr>
              <w:t>Schedule J hereto is inserted as a new Schedule J to the Tax Matters Agreement.</w:t>
            </w:r>
          </w:p>
        </w:tc>
      </w:tr>
    </w:tbl>
    <w:p>
      <w:pPr>
        <w:spacing w:after="0" w:line="185" w:lineRule="exact"/>
        <w:rPr>
          <w:sz w:val="20"/>
          <w:szCs w:val="20"/>
          <w:color w:val="auto"/>
        </w:rPr>
      </w:pPr>
    </w:p>
    <w:p>
      <w:pPr>
        <w:ind w:right="180" w:firstLine="1497"/>
        <w:spacing w:after="0" w:line="250"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Effectiveness.</w:t>
      </w:r>
      <w:r>
        <w:rPr>
          <w:rFonts w:ascii="Arial" w:cs="Arial" w:eastAsia="Arial" w:hAnsi="Arial"/>
          <w:sz w:val="22"/>
          <w:szCs w:val="22"/>
          <w:color w:val="auto"/>
        </w:rPr>
        <w:t xml:space="preserve"> This Amendment shall become effective as of the date first above written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w:t>
      </w:r>
    </w:p>
    <w:p>
      <w:pPr>
        <w:spacing w:after="0" w:line="175" w:lineRule="exact"/>
        <w:rPr>
          <w:sz w:val="20"/>
          <w:szCs w:val="20"/>
          <w:color w:val="auto"/>
        </w:rPr>
      </w:pPr>
    </w:p>
    <w:p>
      <w:pPr>
        <w:ind w:right="40" w:firstLine="1497"/>
        <w:spacing w:after="0" w:line="238"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Effects on the Tax Matters Agreement</w:t>
      </w:r>
      <w:r>
        <w:rPr>
          <w:rFonts w:ascii="Arial" w:cs="Arial" w:eastAsia="Arial" w:hAnsi="Arial"/>
          <w:sz w:val="22"/>
          <w:szCs w:val="22"/>
          <w:color w:val="auto"/>
        </w:rPr>
        <w:t>: If, and to the extent, the provisions of this Amendment conflict with any other provision of the Tax Matters Agreement, the provisions of this Amendment shall govern and control. Except as expressly modified by this Amendment, the Tax Matters Agreement shall remain in full force and effect in accordance with its terms.</w:t>
      </w:r>
    </w:p>
    <w:p>
      <w:pPr>
        <w:spacing w:after="0" w:line="185" w:lineRule="exact"/>
        <w:rPr>
          <w:sz w:val="20"/>
          <w:szCs w:val="20"/>
          <w:color w:val="auto"/>
        </w:rPr>
      </w:pPr>
    </w:p>
    <w:p>
      <w:pPr>
        <w:ind w:right="140" w:firstLine="1497"/>
        <w:spacing w:after="0" w:line="250"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Governing Law; Jurisdiction; Waiver of Jury Trial.</w:t>
      </w:r>
      <w:r>
        <w:rPr>
          <w:rFonts w:ascii="Arial" w:cs="Arial" w:eastAsia="Arial" w:hAnsi="Arial"/>
          <w:sz w:val="22"/>
          <w:szCs w:val="22"/>
          <w:color w:val="auto"/>
        </w:rPr>
        <w:t xml:space="preserve"> The provisions of Sections 8.06, and 8.17 of the Tax Matters Agreement are hereby incorporated by reference herein, </w:t>
      </w:r>
      <w:r>
        <w:rPr>
          <w:rFonts w:ascii="Arial" w:cs="Arial" w:eastAsia="Arial" w:hAnsi="Arial"/>
          <w:sz w:val="22"/>
          <w:szCs w:val="22"/>
          <w:u w:val="single" w:color="auto"/>
          <w:color w:val="auto"/>
        </w:rPr>
        <w:t>mutatis mutandis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color w:val="auto"/>
        </w:rPr>
        <w:t>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I</w:t>
      </w:r>
    </w:p>
    <w:p>
      <w:pPr>
        <w:spacing w:after="0" w:line="213" w:lineRule="exact"/>
        <w:rPr>
          <w:sz w:val="20"/>
          <w:szCs w:val="20"/>
          <w:color w:val="auto"/>
        </w:rPr>
      </w:pPr>
    </w:p>
    <w:tbl>
      <w:tblPr>
        <w:tblLayout w:type="fixed"/>
        <w:tblInd w:w="130" w:type="dxa"/>
        <w:tblCellMar>
          <w:top w:w="0" w:type="dxa"/>
          <w:left w:w="0" w:type="dxa"/>
          <w:bottom w:w="0" w:type="dxa"/>
          <w:right w:w="0" w:type="dxa"/>
        </w:tblCellMar>
      </w:tblPr>
      <w:tr>
        <w:trPr>
          <w:trHeight w:val="330"/>
        </w:trPr>
        <w:tc>
          <w:tcPr>
            <w:tcW w:w="22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Federal</w:t>
            </w:r>
          </w:p>
        </w:tc>
        <w:tc>
          <w:tcPr>
            <w:tcW w:w="18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47"/>
        </w:trPr>
        <w:tc>
          <w:tcPr>
            <w:tcW w:w="2260" w:type="dxa"/>
            <w:vAlign w:val="bottom"/>
            <w:tcBorders>
              <w:left w:val="single" w:sz="8" w:color="auto"/>
              <w:bottom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Alabama</w:t>
            </w:r>
          </w:p>
        </w:tc>
        <w:tc>
          <w:tcPr>
            <w:tcW w:w="1880" w:type="dxa"/>
            <w:vAlign w:val="bottom"/>
            <w:tcBorders>
              <w:bottom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FY19-FY21</w:t>
            </w:r>
          </w:p>
        </w:tc>
      </w:tr>
      <w:tr>
        <w:trPr>
          <w:trHeight w:val="263"/>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Alaska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64"/>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Arizona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w:t>
            </w:r>
          </w:p>
        </w:tc>
      </w:tr>
      <w:tr>
        <w:trPr>
          <w:trHeight w:val="263"/>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Arkansas</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FY19-FY20</w:t>
            </w:r>
          </w:p>
        </w:tc>
      </w:tr>
      <w:tr>
        <w:trPr>
          <w:trHeight w:val="289"/>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Colorado</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FY19-FY20</w:t>
            </w:r>
          </w:p>
        </w:tc>
      </w:tr>
      <w:tr>
        <w:trPr>
          <w:trHeight w:val="265"/>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Connecticut</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89"/>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Delaware</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91"/>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Florida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w:t>
            </w:r>
          </w:p>
        </w:tc>
      </w:tr>
      <w:tr>
        <w:trPr>
          <w:trHeight w:val="290"/>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Georgia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91"/>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Idaho</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w:t>
            </w:r>
          </w:p>
        </w:tc>
      </w:tr>
      <w:tr>
        <w:trPr>
          <w:trHeight w:val="265"/>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Illinois</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63"/>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Indiana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FY19-FY20</w:t>
            </w:r>
          </w:p>
        </w:tc>
      </w:tr>
      <w:tr>
        <w:trPr>
          <w:trHeight w:val="289"/>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Iowa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65"/>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Kansas</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FY19-FY20</w:t>
            </w:r>
          </w:p>
        </w:tc>
      </w:tr>
      <w:tr>
        <w:trPr>
          <w:trHeight w:val="289"/>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Kentucky</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90"/>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Louisiana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65"/>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Maryland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63"/>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Massachusetts</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w:t>
            </w:r>
          </w:p>
        </w:tc>
      </w:tr>
      <w:tr>
        <w:trPr>
          <w:trHeight w:val="289"/>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Michigan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w:t>
            </w:r>
          </w:p>
        </w:tc>
      </w:tr>
      <w:tr>
        <w:trPr>
          <w:trHeight w:val="290"/>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Mississippi</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90"/>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Missouri</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90"/>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Nebraska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65"/>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New Mexico</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63"/>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New York</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89"/>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North Carolina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65"/>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North Dakota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89"/>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Oklahoma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65"/>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Pennsylvania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63"/>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Rhode Island</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FY19-FY20</w:t>
            </w:r>
          </w:p>
        </w:tc>
      </w:tr>
      <w:tr>
        <w:trPr>
          <w:trHeight w:val="289"/>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South Carolina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65"/>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Virginia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89"/>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West Virginia</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r>
        <w:trPr>
          <w:trHeight w:val="290"/>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Wisconsin</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FY19-FY21</w:t>
            </w:r>
          </w:p>
        </w:tc>
      </w:tr>
    </w:tbl>
    <w:p>
      <w:pPr>
        <w:spacing w:after="0" w:line="222" w:lineRule="exact"/>
        <w:rPr>
          <w:sz w:val="20"/>
          <w:szCs w:val="20"/>
          <w:color w:val="auto"/>
        </w:rPr>
      </w:pPr>
    </w:p>
    <w:p>
      <w:pPr>
        <w:ind w:right="1040"/>
        <w:spacing w:after="0" w:line="250" w:lineRule="auto"/>
        <w:rPr>
          <w:sz w:val="20"/>
          <w:szCs w:val="20"/>
          <w:color w:val="auto"/>
        </w:rPr>
      </w:pPr>
      <w:r>
        <w:rPr>
          <w:rFonts w:ascii="Arial" w:cs="Arial" w:eastAsia="Arial" w:hAnsi="Arial"/>
          <w:sz w:val="22"/>
          <w:szCs w:val="22"/>
          <w:color w:val="auto"/>
        </w:rPr>
        <w:t>Note: To the extent there are open, ongoing audits/notices in any of the above states, will work with auditor to include adjustments in that process if possible; otherwise amended returns will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color w:val="auto"/>
        </w:rPr>
        <w:t>11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J</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shd w:val="clear" w:color="auto" w:fill="000000"/>
          </w:tcPr>
          <w:p>
            <w:pPr>
              <w:spacing w:after="0"/>
              <w:rPr>
                <w:sz w:val="12"/>
                <w:szCs w:val="12"/>
                <w:color w:val="auto"/>
              </w:rPr>
            </w:pPr>
          </w:p>
        </w:tc>
        <w:tc>
          <w:tcPr>
            <w:tcW w:w="740" w:type="dxa"/>
            <w:vAlign w:val="bottom"/>
            <w:tcBorders>
              <w:right w:val="single" w:sz="8" w:color="auto"/>
            </w:tcBorders>
            <w:vMerge w:val="restart"/>
            <w:shd w:val="clear" w:color="auto" w:fill="000000"/>
          </w:tcPr>
          <w:p>
            <w:pPr>
              <w:jc w:val="right"/>
              <w:ind w:right="178"/>
              <w:spacing w:after="0"/>
              <w:rPr>
                <w:sz w:val="20"/>
                <w:szCs w:val="20"/>
                <w:color w:val="auto"/>
              </w:rPr>
            </w:pPr>
            <w:r>
              <w:rPr>
                <w:rFonts w:ascii="Arial" w:cs="Arial" w:eastAsia="Arial" w:hAnsi="Arial"/>
                <w:sz w:val="7"/>
                <w:szCs w:val="7"/>
                <w:color w:val="FFFFFF"/>
              </w:rPr>
              <w:t>5/12/2017</w:t>
            </w:r>
          </w:p>
        </w:tc>
        <w:tc>
          <w:tcPr>
            <w:tcW w:w="540" w:type="dxa"/>
            <w:vAlign w:val="bottom"/>
            <w:tcBorders>
              <w:right w:val="single" w:sz="8" w:color="auto"/>
            </w:tcBorders>
            <w:shd w:val="clear" w:color="auto" w:fill="000000"/>
          </w:tcPr>
          <w:p>
            <w:pPr>
              <w:spacing w:after="0"/>
              <w:rPr>
                <w:sz w:val="12"/>
                <w:szCs w:val="12"/>
                <w:color w:val="auto"/>
              </w:rPr>
            </w:pPr>
          </w:p>
        </w:tc>
        <w:tc>
          <w:tcPr>
            <w:tcW w:w="600" w:type="dxa"/>
            <w:vAlign w:val="bottom"/>
            <w:tcBorders>
              <w:right w:val="single" w:sz="8" w:color="auto"/>
            </w:tcBorders>
            <w:shd w:val="clear" w:color="auto" w:fill="000000"/>
          </w:tcPr>
          <w:p>
            <w:pPr>
              <w:jc w:val="right"/>
              <w:ind w:right="18"/>
              <w:spacing w:after="0"/>
              <w:rPr>
                <w:sz w:val="20"/>
                <w:szCs w:val="20"/>
                <w:color w:val="auto"/>
              </w:rPr>
            </w:pPr>
            <w:r>
              <w:rPr>
                <w:rFonts w:ascii="Arial" w:cs="Arial" w:eastAsia="Arial" w:hAnsi="Arial"/>
                <w:sz w:val="7"/>
                <w:szCs w:val="7"/>
                <w:color w:val="FFFFFF"/>
                <w:w w:val="99"/>
              </w:rPr>
              <w:t>Tax Year Ending</w:t>
            </w:r>
          </w:p>
        </w:tc>
        <w:tc>
          <w:tcPr>
            <w:tcW w:w="740" w:type="dxa"/>
            <w:vAlign w:val="bottom"/>
            <w:tcBorders>
              <w:right w:val="single" w:sz="8" w:color="auto"/>
            </w:tcBorders>
            <w:shd w:val="clear" w:color="auto" w:fill="000000"/>
          </w:tcPr>
          <w:p>
            <w:pPr>
              <w:spacing w:after="0"/>
              <w:rPr>
                <w:sz w:val="12"/>
                <w:szCs w:val="12"/>
                <w:color w:val="auto"/>
              </w:rPr>
            </w:pPr>
          </w:p>
        </w:tc>
        <w:tc>
          <w:tcPr>
            <w:tcW w:w="740" w:type="dxa"/>
            <w:vAlign w:val="bottom"/>
            <w:tcBorders>
              <w:right w:val="single" w:sz="8" w:color="auto"/>
            </w:tcBorders>
            <w:shd w:val="clear" w:color="auto" w:fill="000000"/>
          </w:tcPr>
          <w:p>
            <w:pPr>
              <w:spacing w:after="0"/>
              <w:rPr>
                <w:sz w:val="12"/>
                <w:szCs w:val="12"/>
                <w:color w:val="auto"/>
              </w:rPr>
            </w:pPr>
          </w:p>
        </w:tc>
        <w:tc>
          <w:tcPr>
            <w:tcW w:w="1180" w:type="dxa"/>
            <w:vAlign w:val="bottom"/>
            <w:tcBorders>
              <w:right w:val="single" w:sz="8" w:color="auto"/>
            </w:tcBorders>
            <w:gridSpan w:val="2"/>
            <w:shd w:val="clear" w:color="auto" w:fill="000000"/>
          </w:tcPr>
          <w:p>
            <w:pPr>
              <w:jc w:val="right"/>
              <w:ind w:right="317"/>
              <w:spacing w:after="0"/>
              <w:rPr>
                <w:sz w:val="20"/>
                <w:szCs w:val="20"/>
                <w:color w:val="auto"/>
              </w:rPr>
            </w:pPr>
            <w:r>
              <w:rPr>
                <w:rFonts w:ascii="Arial" w:cs="Arial" w:eastAsia="Arial" w:hAnsi="Arial"/>
                <w:sz w:val="7"/>
                <w:szCs w:val="7"/>
                <w:color w:val="FFFFFF"/>
              </w:rPr>
              <w:t>Tax Year Ending</w:t>
            </w:r>
          </w:p>
        </w:tc>
        <w:tc>
          <w:tcPr>
            <w:tcW w:w="720" w:type="dxa"/>
            <w:vAlign w:val="bottom"/>
            <w:tcBorders>
              <w:right w:val="single" w:sz="8" w:color="auto"/>
            </w:tcBorders>
            <w:shd w:val="clear" w:color="auto" w:fill="000000"/>
          </w:tcPr>
          <w:p>
            <w:pPr>
              <w:spacing w:after="0"/>
              <w:rPr>
                <w:sz w:val="12"/>
                <w:szCs w:val="12"/>
                <w:color w:val="auto"/>
              </w:rPr>
            </w:pPr>
          </w:p>
        </w:tc>
        <w:tc>
          <w:tcPr>
            <w:tcW w:w="740" w:type="dxa"/>
            <w:vAlign w:val="bottom"/>
            <w:tcBorders>
              <w:right w:val="single" w:sz="8" w:color="auto"/>
            </w:tcBorders>
            <w:shd w:val="clear" w:color="auto" w:fill="000000"/>
          </w:tcPr>
          <w:p>
            <w:pPr>
              <w:spacing w:after="0"/>
              <w:rPr>
                <w:sz w:val="12"/>
                <w:szCs w:val="12"/>
                <w:color w:val="auto"/>
              </w:rPr>
            </w:pPr>
          </w:p>
        </w:tc>
        <w:tc>
          <w:tcPr>
            <w:tcW w:w="1220" w:type="dxa"/>
            <w:vAlign w:val="bottom"/>
            <w:tcBorders>
              <w:right w:val="single" w:sz="8" w:color="auto"/>
            </w:tcBorders>
            <w:gridSpan w:val="2"/>
            <w:shd w:val="clear" w:color="auto" w:fill="000000"/>
          </w:tcPr>
          <w:p>
            <w:pPr>
              <w:jc w:val="right"/>
              <w:ind w:right="337"/>
              <w:spacing w:after="0"/>
              <w:rPr>
                <w:sz w:val="20"/>
                <w:szCs w:val="20"/>
                <w:color w:val="auto"/>
              </w:rPr>
            </w:pPr>
            <w:r>
              <w:rPr>
                <w:rFonts w:ascii="Arial" w:cs="Arial" w:eastAsia="Arial" w:hAnsi="Arial"/>
                <w:sz w:val="7"/>
                <w:szCs w:val="7"/>
                <w:color w:val="FFFFFF"/>
              </w:rPr>
              <w:t>Tax Year Ending</w:t>
            </w:r>
          </w:p>
        </w:tc>
        <w:tc>
          <w:tcPr>
            <w:tcW w:w="740" w:type="dxa"/>
            <w:vAlign w:val="bottom"/>
            <w:tcBorders>
              <w:right w:val="single" w:sz="8" w:color="auto"/>
            </w:tcBorders>
            <w:shd w:val="clear" w:color="auto" w:fill="000000"/>
          </w:tcPr>
          <w:p>
            <w:pPr>
              <w:spacing w:after="0"/>
              <w:rPr>
                <w:sz w:val="12"/>
                <w:szCs w:val="12"/>
                <w:color w:val="auto"/>
              </w:rPr>
            </w:pPr>
          </w:p>
        </w:tc>
        <w:tc>
          <w:tcPr>
            <w:tcW w:w="720" w:type="dxa"/>
            <w:vAlign w:val="bottom"/>
            <w:tcBorders>
              <w:right w:val="single" w:sz="8" w:color="auto"/>
            </w:tcBorders>
            <w:shd w:val="clear" w:color="auto" w:fill="000000"/>
          </w:tcPr>
          <w:p>
            <w:pPr>
              <w:spacing w:after="0"/>
              <w:rPr>
                <w:sz w:val="12"/>
                <w:szCs w:val="12"/>
                <w:color w:val="auto"/>
              </w:rPr>
            </w:pPr>
          </w:p>
        </w:tc>
        <w:tc>
          <w:tcPr>
            <w:tcW w:w="980" w:type="dxa"/>
            <w:vAlign w:val="bottom"/>
            <w:gridSpan w:val="2"/>
            <w:shd w:val="clear" w:color="auto" w:fill="000000"/>
          </w:tcPr>
          <w:p>
            <w:pPr>
              <w:jc w:val="center"/>
              <w:ind w:left="178"/>
              <w:spacing w:after="0"/>
              <w:rPr>
                <w:sz w:val="20"/>
                <w:szCs w:val="20"/>
                <w:color w:val="auto"/>
              </w:rPr>
            </w:pPr>
            <w:r>
              <w:rPr>
                <w:rFonts w:ascii="Arial" w:cs="Arial" w:eastAsia="Arial" w:hAnsi="Arial"/>
                <w:sz w:val="7"/>
                <w:szCs w:val="7"/>
                <w:color w:val="FFFFFF"/>
                <w:w w:val="91"/>
              </w:rPr>
              <w:t>Tax Year Ending</w:t>
            </w:r>
          </w:p>
        </w:tc>
        <w:tc>
          <w:tcPr>
            <w:tcW w:w="200" w:type="dxa"/>
            <w:vAlign w:val="bottom"/>
            <w:tcBorders>
              <w:right w:val="single" w:sz="8" w:color="auto"/>
            </w:tcBorders>
            <w:shd w:val="clear" w:color="auto" w:fill="000000"/>
          </w:tcPr>
          <w:p>
            <w:pPr>
              <w:spacing w:after="0"/>
              <w:rPr>
                <w:sz w:val="12"/>
                <w:szCs w:val="12"/>
                <w:color w:val="auto"/>
              </w:rPr>
            </w:pPr>
          </w:p>
        </w:tc>
        <w:tc>
          <w:tcPr>
            <w:tcW w:w="720" w:type="dxa"/>
            <w:vAlign w:val="bottom"/>
            <w:tcBorders>
              <w:right w:val="single" w:sz="8" w:color="auto"/>
            </w:tcBorders>
            <w:shd w:val="clear" w:color="auto" w:fill="000000"/>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6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shd w:val="clear" w:color="auto" w:fill="000000"/>
          </w:tcPr>
          <w:p>
            <w:pPr>
              <w:spacing w:after="0"/>
              <w:rPr>
                <w:sz w:val="7"/>
                <w:szCs w:val="7"/>
                <w:color w:val="auto"/>
              </w:rPr>
            </w:pPr>
          </w:p>
        </w:tc>
        <w:tc>
          <w:tcPr>
            <w:tcW w:w="740" w:type="dxa"/>
            <w:vAlign w:val="bottom"/>
            <w:tcBorders>
              <w:right w:val="single" w:sz="8" w:color="auto"/>
            </w:tcBorders>
            <w:vMerge w:val="continue"/>
            <w:shd w:val="clear" w:color="auto" w:fill="000000"/>
          </w:tcPr>
          <w:p>
            <w:pPr>
              <w:spacing w:after="0"/>
              <w:rPr>
                <w:sz w:val="7"/>
                <w:szCs w:val="7"/>
                <w:color w:val="auto"/>
              </w:rPr>
            </w:pPr>
          </w:p>
        </w:tc>
        <w:tc>
          <w:tcPr>
            <w:tcW w:w="540" w:type="dxa"/>
            <w:vAlign w:val="bottom"/>
            <w:tcBorders>
              <w:right w:val="single" w:sz="8" w:color="auto"/>
            </w:tcBorders>
            <w:shd w:val="clear" w:color="auto" w:fill="000000"/>
          </w:tcPr>
          <w:p>
            <w:pPr>
              <w:spacing w:after="0"/>
              <w:rPr>
                <w:sz w:val="7"/>
                <w:szCs w:val="7"/>
                <w:color w:val="auto"/>
              </w:rPr>
            </w:pPr>
          </w:p>
        </w:tc>
        <w:tc>
          <w:tcPr>
            <w:tcW w:w="600" w:type="dxa"/>
            <w:vAlign w:val="bottom"/>
            <w:tcBorders>
              <w:right w:val="single" w:sz="8" w:color="auto"/>
            </w:tcBorders>
            <w:vMerge w:val="restart"/>
            <w:shd w:val="clear" w:color="auto" w:fill="000000"/>
          </w:tcPr>
          <w:p>
            <w:pPr>
              <w:jc w:val="right"/>
              <w:ind w:right="118"/>
              <w:spacing w:after="0"/>
              <w:rPr>
                <w:sz w:val="20"/>
                <w:szCs w:val="20"/>
                <w:color w:val="auto"/>
              </w:rPr>
            </w:pPr>
            <w:r>
              <w:rPr>
                <w:rFonts w:ascii="Arial" w:cs="Arial" w:eastAsia="Arial" w:hAnsi="Arial"/>
                <w:sz w:val="7"/>
                <w:szCs w:val="7"/>
                <w:color w:val="FFFFFF"/>
              </w:rPr>
              <w:t>9/30/2018</w:t>
            </w:r>
          </w:p>
        </w:tc>
        <w:tc>
          <w:tcPr>
            <w:tcW w:w="740" w:type="dxa"/>
            <w:vAlign w:val="bottom"/>
            <w:tcBorders>
              <w:right w:val="single" w:sz="8" w:color="auto"/>
            </w:tcBorders>
            <w:shd w:val="clear" w:color="auto" w:fill="000000"/>
          </w:tcPr>
          <w:p>
            <w:pPr>
              <w:spacing w:after="0"/>
              <w:rPr>
                <w:sz w:val="7"/>
                <w:szCs w:val="7"/>
                <w:color w:val="auto"/>
              </w:rPr>
            </w:pPr>
          </w:p>
        </w:tc>
        <w:tc>
          <w:tcPr>
            <w:tcW w:w="740" w:type="dxa"/>
            <w:vAlign w:val="bottom"/>
            <w:tcBorders>
              <w:right w:val="single" w:sz="8" w:color="auto"/>
            </w:tcBorders>
            <w:shd w:val="clear" w:color="auto" w:fill="000000"/>
          </w:tcPr>
          <w:p>
            <w:pPr>
              <w:spacing w:after="0"/>
              <w:rPr>
                <w:sz w:val="7"/>
                <w:szCs w:val="7"/>
                <w:color w:val="auto"/>
              </w:rPr>
            </w:pPr>
          </w:p>
        </w:tc>
        <w:tc>
          <w:tcPr>
            <w:tcW w:w="1180" w:type="dxa"/>
            <w:vAlign w:val="bottom"/>
            <w:tcBorders>
              <w:right w:val="single" w:sz="8" w:color="auto"/>
            </w:tcBorders>
            <w:gridSpan w:val="2"/>
            <w:vMerge w:val="restart"/>
            <w:shd w:val="clear" w:color="auto" w:fill="000000"/>
          </w:tcPr>
          <w:p>
            <w:pPr>
              <w:jc w:val="right"/>
              <w:ind w:right="417"/>
              <w:spacing w:after="0"/>
              <w:rPr>
                <w:sz w:val="20"/>
                <w:szCs w:val="20"/>
                <w:color w:val="auto"/>
              </w:rPr>
            </w:pPr>
            <w:r>
              <w:rPr>
                <w:rFonts w:ascii="Arial" w:cs="Arial" w:eastAsia="Arial" w:hAnsi="Arial"/>
                <w:sz w:val="7"/>
                <w:szCs w:val="7"/>
                <w:color w:val="FFFFFF"/>
              </w:rPr>
              <w:t>9/30/2019</w:t>
            </w:r>
          </w:p>
        </w:tc>
        <w:tc>
          <w:tcPr>
            <w:tcW w:w="720" w:type="dxa"/>
            <w:vAlign w:val="bottom"/>
            <w:tcBorders>
              <w:right w:val="single" w:sz="8" w:color="auto"/>
            </w:tcBorders>
            <w:shd w:val="clear" w:color="auto" w:fill="000000"/>
          </w:tcPr>
          <w:p>
            <w:pPr>
              <w:spacing w:after="0"/>
              <w:rPr>
                <w:sz w:val="7"/>
                <w:szCs w:val="7"/>
                <w:color w:val="auto"/>
              </w:rPr>
            </w:pPr>
          </w:p>
        </w:tc>
        <w:tc>
          <w:tcPr>
            <w:tcW w:w="740" w:type="dxa"/>
            <w:vAlign w:val="bottom"/>
            <w:tcBorders>
              <w:right w:val="single" w:sz="8" w:color="auto"/>
            </w:tcBorders>
            <w:shd w:val="clear" w:color="auto" w:fill="000000"/>
          </w:tcPr>
          <w:p>
            <w:pPr>
              <w:spacing w:after="0"/>
              <w:rPr>
                <w:sz w:val="7"/>
                <w:szCs w:val="7"/>
                <w:color w:val="auto"/>
              </w:rPr>
            </w:pPr>
          </w:p>
        </w:tc>
        <w:tc>
          <w:tcPr>
            <w:tcW w:w="640" w:type="dxa"/>
            <w:vAlign w:val="bottom"/>
            <w:tcBorders>
              <w:right w:val="single" w:sz="8" w:color="auto"/>
            </w:tcBorders>
            <w:vMerge w:val="restart"/>
            <w:shd w:val="clear" w:color="auto" w:fill="000000"/>
          </w:tcPr>
          <w:p>
            <w:pPr>
              <w:jc w:val="right"/>
              <w:ind w:right="138"/>
              <w:spacing w:after="0"/>
              <w:rPr>
                <w:sz w:val="20"/>
                <w:szCs w:val="20"/>
                <w:color w:val="auto"/>
              </w:rPr>
            </w:pPr>
            <w:r>
              <w:rPr>
                <w:rFonts w:ascii="Arial" w:cs="Arial" w:eastAsia="Arial" w:hAnsi="Arial"/>
                <w:sz w:val="7"/>
                <w:szCs w:val="7"/>
                <w:color w:val="FFFFFF"/>
              </w:rPr>
              <w:t>9/30/2020</w:t>
            </w:r>
          </w:p>
        </w:tc>
        <w:tc>
          <w:tcPr>
            <w:tcW w:w="580" w:type="dxa"/>
            <w:vAlign w:val="bottom"/>
            <w:tcBorders>
              <w:right w:val="single" w:sz="8" w:color="auto"/>
            </w:tcBorders>
            <w:shd w:val="clear" w:color="auto" w:fill="000000"/>
          </w:tcPr>
          <w:p>
            <w:pPr>
              <w:spacing w:after="0"/>
              <w:rPr>
                <w:sz w:val="7"/>
                <w:szCs w:val="7"/>
                <w:color w:val="auto"/>
              </w:rPr>
            </w:pPr>
          </w:p>
        </w:tc>
        <w:tc>
          <w:tcPr>
            <w:tcW w:w="740" w:type="dxa"/>
            <w:vAlign w:val="bottom"/>
            <w:tcBorders>
              <w:right w:val="single" w:sz="8" w:color="auto"/>
            </w:tcBorders>
            <w:shd w:val="clear" w:color="auto" w:fill="000000"/>
          </w:tcPr>
          <w:p>
            <w:pPr>
              <w:spacing w:after="0"/>
              <w:rPr>
                <w:sz w:val="7"/>
                <w:szCs w:val="7"/>
                <w:color w:val="auto"/>
              </w:rPr>
            </w:pPr>
          </w:p>
        </w:tc>
        <w:tc>
          <w:tcPr>
            <w:tcW w:w="720" w:type="dxa"/>
            <w:vAlign w:val="bottom"/>
            <w:tcBorders>
              <w:right w:val="single" w:sz="8" w:color="auto"/>
            </w:tcBorders>
            <w:shd w:val="clear" w:color="auto" w:fill="000000"/>
          </w:tcPr>
          <w:p>
            <w:pPr>
              <w:spacing w:after="0"/>
              <w:rPr>
                <w:sz w:val="7"/>
                <w:szCs w:val="7"/>
                <w:color w:val="auto"/>
              </w:rPr>
            </w:pPr>
          </w:p>
        </w:tc>
        <w:tc>
          <w:tcPr>
            <w:tcW w:w="980" w:type="dxa"/>
            <w:vAlign w:val="bottom"/>
            <w:gridSpan w:val="2"/>
            <w:vMerge w:val="restart"/>
            <w:shd w:val="clear" w:color="auto" w:fill="000000"/>
          </w:tcPr>
          <w:p>
            <w:pPr>
              <w:jc w:val="right"/>
              <w:ind w:right="204"/>
              <w:spacing w:after="0"/>
              <w:rPr>
                <w:sz w:val="20"/>
                <w:szCs w:val="20"/>
                <w:color w:val="auto"/>
              </w:rPr>
            </w:pPr>
            <w:r>
              <w:rPr>
                <w:rFonts w:ascii="Arial" w:cs="Arial" w:eastAsia="Arial" w:hAnsi="Arial"/>
                <w:sz w:val="7"/>
                <w:szCs w:val="7"/>
                <w:color w:val="FFFFFF"/>
              </w:rPr>
              <w:t>9/30/2021</w:t>
            </w:r>
          </w:p>
        </w:tc>
        <w:tc>
          <w:tcPr>
            <w:tcW w:w="200" w:type="dxa"/>
            <w:vAlign w:val="bottom"/>
            <w:tcBorders>
              <w:right w:val="single" w:sz="8" w:color="auto"/>
            </w:tcBorders>
            <w:shd w:val="clear" w:color="auto" w:fill="000000"/>
          </w:tcPr>
          <w:p>
            <w:pPr>
              <w:spacing w:after="0"/>
              <w:rPr>
                <w:sz w:val="7"/>
                <w:szCs w:val="7"/>
                <w:color w:val="auto"/>
              </w:rPr>
            </w:pPr>
          </w:p>
        </w:tc>
        <w:tc>
          <w:tcPr>
            <w:tcW w:w="720" w:type="dxa"/>
            <w:vAlign w:val="bottom"/>
            <w:tcBorders>
              <w:right w:val="single" w:sz="8" w:color="auto"/>
            </w:tcBorders>
            <w:shd w:val="clear" w:color="auto" w:fill="000000"/>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0" w:type="dxa"/>
            <w:vAlign w:val="bottom"/>
            <w:tcBorders>
              <w:right w:val="single" w:sz="8" w:color="auto"/>
            </w:tcBorders>
          </w:tcPr>
          <w:p>
            <w:pPr>
              <w:spacing w:after="0"/>
              <w:rPr>
                <w:sz w:val="9"/>
                <w:szCs w:val="9"/>
                <w:color w:val="auto"/>
              </w:rPr>
            </w:pPr>
          </w:p>
        </w:tc>
        <w:tc>
          <w:tcPr>
            <w:tcW w:w="500" w:type="dxa"/>
            <w:vAlign w:val="bottom"/>
            <w:tcBorders>
              <w:bottom w:val="single" w:sz="8" w:color="auto"/>
              <w:right w:val="single" w:sz="8" w:color="auto"/>
            </w:tcBorders>
            <w:shd w:val="clear" w:color="auto" w:fill="000000"/>
          </w:tcPr>
          <w:p>
            <w:pPr>
              <w:spacing w:after="0"/>
              <w:rPr>
                <w:sz w:val="9"/>
                <w:szCs w:val="9"/>
                <w:color w:val="auto"/>
              </w:rPr>
            </w:pPr>
          </w:p>
        </w:tc>
        <w:tc>
          <w:tcPr>
            <w:tcW w:w="740" w:type="dxa"/>
            <w:vAlign w:val="bottom"/>
            <w:tcBorders>
              <w:bottom w:val="single" w:sz="8" w:color="auto"/>
              <w:right w:val="single" w:sz="8" w:color="auto"/>
            </w:tcBorders>
            <w:shd w:val="clear" w:color="auto" w:fill="000000"/>
          </w:tcPr>
          <w:p>
            <w:pPr>
              <w:spacing w:after="0"/>
              <w:rPr>
                <w:sz w:val="9"/>
                <w:szCs w:val="9"/>
                <w:color w:val="auto"/>
              </w:rPr>
            </w:pPr>
          </w:p>
        </w:tc>
        <w:tc>
          <w:tcPr>
            <w:tcW w:w="540" w:type="dxa"/>
            <w:vAlign w:val="bottom"/>
            <w:tcBorders>
              <w:bottom w:val="single" w:sz="8" w:color="auto"/>
              <w:right w:val="single" w:sz="8" w:color="auto"/>
            </w:tcBorders>
            <w:shd w:val="clear" w:color="auto" w:fill="000000"/>
          </w:tcPr>
          <w:p>
            <w:pPr>
              <w:spacing w:after="0"/>
              <w:rPr>
                <w:sz w:val="9"/>
                <w:szCs w:val="9"/>
                <w:color w:val="auto"/>
              </w:rPr>
            </w:pPr>
          </w:p>
        </w:tc>
        <w:tc>
          <w:tcPr>
            <w:tcW w:w="600" w:type="dxa"/>
            <w:vAlign w:val="bottom"/>
            <w:tcBorders>
              <w:bottom w:val="single" w:sz="8" w:color="auto"/>
              <w:right w:val="single" w:sz="8" w:color="auto"/>
            </w:tcBorders>
            <w:vMerge w:val="continue"/>
            <w:shd w:val="clear" w:color="auto" w:fill="000000"/>
          </w:tcPr>
          <w:p>
            <w:pPr>
              <w:spacing w:after="0"/>
              <w:rPr>
                <w:sz w:val="9"/>
                <w:szCs w:val="9"/>
                <w:color w:val="auto"/>
              </w:rPr>
            </w:pPr>
          </w:p>
        </w:tc>
        <w:tc>
          <w:tcPr>
            <w:tcW w:w="740" w:type="dxa"/>
            <w:vAlign w:val="bottom"/>
            <w:tcBorders>
              <w:bottom w:val="single" w:sz="8" w:color="auto"/>
              <w:right w:val="single" w:sz="8" w:color="auto"/>
            </w:tcBorders>
            <w:shd w:val="clear" w:color="auto" w:fill="000000"/>
          </w:tcPr>
          <w:p>
            <w:pPr>
              <w:spacing w:after="0"/>
              <w:rPr>
                <w:sz w:val="9"/>
                <w:szCs w:val="9"/>
                <w:color w:val="auto"/>
              </w:rPr>
            </w:pPr>
          </w:p>
        </w:tc>
        <w:tc>
          <w:tcPr>
            <w:tcW w:w="740" w:type="dxa"/>
            <w:vAlign w:val="bottom"/>
            <w:tcBorders>
              <w:bottom w:val="single" w:sz="8" w:color="auto"/>
              <w:right w:val="single" w:sz="8" w:color="auto"/>
            </w:tcBorders>
            <w:shd w:val="clear" w:color="auto" w:fill="000000"/>
          </w:tcPr>
          <w:p>
            <w:pPr>
              <w:spacing w:after="0"/>
              <w:rPr>
                <w:sz w:val="9"/>
                <w:szCs w:val="9"/>
                <w:color w:val="auto"/>
              </w:rPr>
            </w:pPr>
          </w:p>
        </w:tc>
        <w:tc>
          <w:tcPr>
            <w:tcW w:w="1180" w:type="dxa"/>
            <w:vAlign w:val="bottom"/>
            <w:tcBorders>
              <w:bottom w:val="single" w:sz="8" w:color="auto"/>
              <w:right w:val="single" w:sz="8" w:color="auto"/>
            </w:tcBorders>
            <w:gridSpan w:val="2"/>
            <w:vMerge w:val="continue"/>
            <w:shd w:val="clear" w:color="auto" w:fill="000000"/>
          </w:tcPr>
          <w:p>
            <w:pPr>
              <w:spacing w:after="0"/>
              <w:rPr>
                <w:sz w:val="9"/>
                <w:szCs w:val="9"/>
                <w:color w:val="auto"/>
              </w:rPr>
            </w:pPr>
          </w:p>
        </w:tc>
        <w:tc>
          <w:tcPr>
            <w:tcW w:w="720" w:type="dxa"/>
            <w:vAlign w:val="bottom"/>
            <w:tcBorders>
              <w:bottom w:val="single" w:sz="8" w:color="auto"/>
              <w:right w:val="single" w:sz="8" w:color="auto"/>
            </w:tcBorders>
            <w:shd w:val="clear" w:color="auto" w:fill="000000"/>
          </w:tcPr>
          <w:p>
            <w:pPr>
              <w:spacing w:after="0"/>
              <w:rPr>
                <w:sz w:val="9"/>
                <w:szCs w:val="9"/>
                <w:color w:val="auto"/>
              </w:rPr>
            </w:pPr>
          </w:p>
        </w:tc>
        <w:tc>
          <w:tcPr>
            <w:tcW w:w="740" w:type="dxa"/>
            <w:vAlign w:val="bottom"/>
            <w:tcBorders>
              <w:bottom w:val="single" w:sz="8" w:color="auto"/>
              <w:right w:val="single" w:sz="8" w:color="auto"/>
            </w:tcBorders>
            <w:shd w:val="clear" w:color="auto" w:fill="000000"/>
          </w:tcPr>
          <w:p>
            <w:pPr>
              <w:spacing w:after="0"/>
              <w:rPr>
                <w:sz w:val="9"/>
                <w:szCs w:val="9"/>
                <w:color w:val="auto"/>
              </w:rPr>
            </w:pPr>
          </w:p>
        </w:tc>
        <w:tc>
          <w:tcPr>
            <w:tcW w:w="640" w:type="dxa"/>
            <w:vAlign w:val="bottom"/>
            <w:tcBorders>
              <w:bottom w:val="single" w:sz="8" w:color="auto"/>
              <w:right w:val="single" w:sz="8" w:color="auto"/>
            </w:tcBorders>
            <w:vMerge w:val="continue"/>
            <w:shd w:val="clear" w:color="auto" w:fill="000000"/>
          </w:tcPr>
          <w:p>
            <w:pPr>
              <w:spacing w:after="0"/>
              <w:rPr>
                <w:sz w:val="9"/>
                <w:szCs w:val="9"/>
                <w:color w:val="auto"/>
              </w:rPr>
            </w:pPr>
          </w:p>
        </w:tc>
        <w:tc>
          <w:tcPr>
            <w:tcW w:w="580" w:type="dxa"/>
            <w:vAlign w:val="bottom"/>
            <w:tcBorders>
              <w:bottom w:val="single" w:sz="8" w:color="auto"/>
              <w:right w:val="single" w:sz="8" w:color="auto"/>
            </w:tcBorders>
            <w:shd w:val="clear" w:color="auto" w:fill="000000"/>
          </w:tcPr>
          <w:p>
            <w:pPr>
              <w:spacing w:after="0"/>
              <w:rPr>
                <w:sz w:val="9"/>
                <w:szCs w:val="9"/>
                <w:color w:val="auto"/>
              </w:rPr>
            </w:pPr>
          </w:p>
        </w:tc>
        <w:tc>
          <w:tcPr>
            <w:tcW w:w="740" w:type="dxa"/>
            <w:vAlign w:val="bottom"/>
            <w:tcBorders>
              <w:bottom w:val="single" w:sz="8" w:color="auto"/>
              <w:right w:val="single" w:sz="8" w:color="auto"/>
            </w:tcBorders>
            <w:shd w:val="clear" w:color="auto" w:fill="000000"/>
          </w:tcPr>
          <w:p>
            <w:pPr>
              <w:spacing w:after="0"/>
              <w:rPr>
                <w:sz w:val="9"/>
                <w:szCs w:val="9"/>
                <w:color w:val="auto"/>
              </w:rPr>
            </w:pPr>
          </w:p>
        </w:tc>
        <w:tc>
          <w:tcPr>
            <w:tcW w:w="720" w:type="dxa"/>
            <w:vAlign w:val="bottom"/>
            <w:tcBorders>
              <w:bottom w:val="single" w:sz="8" w:color="auto"/>
              <w:right w:val="single" w:sz="8" w:color="auto"/>
            </w:tcBorders>
            <w:shd w:val="clear" w:color="auto" w:fill="000000"/>
          </w:tcPr>
          <w:p>
            <w:pPr>
              <w:spacing w:after="0"/>
              <w:rPr>
                <w:sz w:val="9"/>
                <w:szCs w:val="9"/>
                <w:color w:val="auto"/>
              </w:rPr>
            </w:pPr>
          </w:p>
        </w:tc>
        <w:tc>
          <w:tcPr>
            <w:tcW w:w="980" w:type="dxa"/>
            <w:vAlign w:val="bottom"/>
            <w:tcBorders>
              <w:bottom w:val="single" w:sz="8" w:color="auto"/>
            </w:tcBorders>
            <w:gridSpan w:val="2"/>
            <w:vMerge w:val="continue"/>
            <w:shd w:val="clear" w:color="auto" w:fill="000000"/>
          </w:tcPr>
          <w:p>
            <w:pPr>
              <w:spacing w:after="0"/>
              <w:rPr>
                <w:sz w:val="9"/>
                <w:szCs w:val="9"/>
                <w:color w:val="auto"/>
              </w:rPr>
            </w:pPr>
          </w:p>
        </w:tc>
        <w:tc>
          <w:tcPr>
            <w:tcW w:w="200" w:type="dxa"/>
            <w:vAlign w:val="bottom"/>
            <w:tcBorders>
              <w:bottom w:val="single" w:sz="8" w:color="auto"/>
              <w:right w:val="single" w:sz="8" w:color="auto"/>
            </w:tcBorders>
            <w:shd w:val="clear" w:color="auto" w:fill="000000"/>
          </w:tcPr>
          <w:p>
            <w:pPr>
              <w:spacing w:after="0"/>
              <w:rPr>
                <w:sz w:val="9"/>
                <w:szCs w:val="9"/>
                <w:color w:val="auto"/>
              </w:rPr>
            </w:pPr>
          </w:p>
        </w:tc>
        <w:tc>
          <w:tcPr>
            <w:tcW w:w="720" w:type="dxa"/>
            <w:vAlign w:val="bottom"/>
            <w:tcBorders>
              <w:bottom w:val="single" w:sz="8" w:color="auto"/>
              <w:right w:val="single" w:sz="8" w:color="auto"/>
            </w:tcBorders>
            <w:shd w:val="clear" w:color="auto" w:fill="000000"/>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7"/>
                <w:szCs w:val="7"/>
                <w:color w:val="FFFFFF"/>
                <w:w w:val="93"/>
              </w:rPr>
              <w:t>LTA</w:t>
            </w:r>
          </w:p>
        </w:tc>
        <w:tc>
          <w:tcPr>
            <w:tcW w:w="7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7"/>
                <w:szCs w:val="7"/>
                <w:b w:val="1"/>
                <w:bCs w:val="1"/>
                <w:color w:val="auto"/>
                <w:w w:val="89"/>
              </w:rPr>
              <w:t>Estimated unused</w:t>
            </w:r>
          </w:p>
        </w:tc>
        <w:tc>
          <w:tcPr>
            <w:tcW w:w="540" w:type="dxa"/>
            <w:vAlign w:val="bottom"/>
            <w:tcBorders>
              <w:right w:val="single" w:sz="8" w:color="auto"/>
            </w:tcBorders>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95"/>
              </w:rPr>
              <w:t>Estimated</w:t>
            </w:r>
          </w:p>
        </w:tc>
        <w:tc>
          <w:tcPr>
            <w:tcW w:w="600" w:type="dxa"/>
            <w:vAlign w:val="bottom"/>
            <w:tcBorders>
              <w:right w:val="single" w:sz="8" w:color="auto"/>
            </w:tcBorders>
            <w:vMerge w:val="restart"/>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89"/>
              </w:rPr>
              <w:t>Estimated</w:t>
            </w:r>
          </w:p>
        </w:tc>
        <w:tc>
          <w:tcPr>
            <w:tcW w:w="740" w:type="dxa"/>
            <w:vAlign w:val="bottom"/>
            <w:tcBorders>
              <w:right w:val="single" w:sz="8" w:color="auto"/>
            </w:tcBorders>
            <w:shd w:val="clear" w:color="auto" w:fill="D9D9D9"/>
          </w:tcPr>
          <w:p>
            <w:pPr>
              <w:spacing w:after="0"/>
              <w:rPr>
                <w:sz w:val="7"/>
                <w:szCs w:val="7"/>
                <w:color w:val="auto"/>
              </w:rPr>
            </w:pPr>
          </w:p>
        </w:tc>
        <w:tc>
          <w:tcPr>
            <w:tcW w:w="740" w:type="dxa"/>
            <w:vAlign w:val="bottom"/>
            <w:tcBorders>
              <w:right w:val="single" w:sz="8" w:color="auto"/>
            </w:tcBorders>
            <w:vMerge w:val="restart"/>
            <w:shd w:val="clear" w:color="auto" w:fill="D9D9D9"/>
          </w:tcPr>
          <w:p>
            <w:pPr>
              <w:jc w:val="center"/>
              <w:ind w:right="57"/>
              <w:spacing w:after="0"/>
              <w:rPr>
                <w:sz w:val="20"/>
                <w:szCs w:val="20"/>
                <w:color w:val="auto"/>
              </w:rPr>
            </w:pPr>
            <w:r>
              <w:rPr>
                <w:rFonts w:ascii="Arial" w:cs="Arial" w:eastAsia="Arial" w:hAnsi="Arial"/>
                <w:sz w:val="7"/>
                <w:szCs w:val="7"/>
                <w:b w:val="1"/>
                <w:bCs w:val="1"/>
                <w:color w:val="auto"/>
                <w:w w:val="92"/>
              </w:rPr>
              <w:t>Estimated unused</w:t>
            </w:r>
          </w:p>
        </w:tc>
        <w:tc>
          <w:tcPr>
            <w:tcW w:w="660" w:type="dxa"/>
            <w:vAlign w:val="bottom"/>
            <w:tcBorders>
              <w:right w:val="single" w:sz="8" w:color="auto"/>
            </w:tcBorders>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95"/>
              </w:rPr>
              <w:t>Estimated</w:t>
            </w:r>
          </w:p>
        </w:tc>
        <w:tc>
          <w:tcPr>
            <w:tcW w:w="520" w:type="dxa"/>
            <w:vAlign w:val="bottom"/>
            <w:tcBorders>
              <w:right w:val="single" w:sz="8" w:color="auto"/>
            </w:tcBorders>
            <w:vMerge w:val="restart"/>
            <w:shd w:val="clear" w:color="auto" w:fill="D9D9D9"/>
          </w:tcPr>
          <w:p>
            <w:pPr>
              <w:jc w:val="center"/>
              <w:ind w:right="77"/>
              <w:spacing w:after="0"/>
              <w:rPr>
                <w:sz w:val="20"/>
                <w:szCs w:val="20"/>
                <w:color w:val="auto"/>
              </w:rPr>
            </w:pPr>
            <w:r>
              <w:rPr>
                <w:rFonts w:ascii="Arial" w:cs="Arial" w:eastAsia="Arial" w:hAnsi="Arial"/>
                <w:sz w:val="7"/>
                <w:szCs w:val="7"/>
                <w:b w:val="1"/>
                <w:bCs w:val="1"/>
                <w:color w:val="auto"/>
                <w:w w:val="95"/>
              </w:rPr>
              <w:t>Estimated</w:t>
            </w:r>
          </w:p>
        </w:tc>
        <w:tc>
          <w:tcPr>
            <w:tcW w:w="720" w:type="dxa"/>
            <w:vAlign w:val="bottom"/>
            <w:tcBorders>
              <w:right w:val="single" w:sz="8" w:color="auto"/>
            </w:tcBorders>
            <w:shd w:val="clear" w:color="auto" w:fill="D9D9D9"/>
          </w:tcPr>
          <w:p>
            <w:pPr>
              <w:spacing w:after="0"/>
              <w:rPr>
                <w:sz w:val="7"/>
                <w:szCs w:val="7"/>
                <w:color w:val="auto"/>
              </w:rPr>
            </w:pPr>
          </w:p>
        </w:tc>
        <w:tc>
          <w:tcPr>
            <w:tcW w:w="740" w:type="dxa"/>
            <w:vAlign w:val="bottom"/>
            <w:tcBorders>
              <w:right w:val="single" w:sz="8" w:color="auto"/>
            </w:tcBorders>
            <w:vMerge w:val="restart"/>
            <w:shd w:val="clear" w:color="auto" w:fill="D9D9D9"/>
          </w:tcPr>
          <w:p>
            <w:pPr>
              <w:jc w:val="center"/>
              <w:ind w:right="57"/>
              <w:spacing w:after="0"/>
              <w:rPr>
                <w:sz w:val="20"/>
                <w:szCs w:val="20"/>
                <w:color w:val="auto"/>
              </w:rPr>
            </w:pPr>
            <w:r>
              <w:rPr>
                <w:rFonts w:ascii="Arial" w:cs="Arial" w:eastAsia="Arial" w:hAnsi="Arial"/>
                <w:sz w:val="7"/>
                <w:szCs w:val="7"/>
                <w:b w:val="1"/>
                <w:bCs w:val="1"/>
                <w:color w:val="auto"/>
                <w:w w:val="92"/>
              </w:rPr>
              <w:t>Estimated unused</w:t>
            </w:r>
          </w:p>
        </w:tc>
        <w:tc>
          <w:tcPr>
            <w:tcW w:w="640" w:type="dxa"/>
            <w:vAlign w:val="bottom"/>
            <w:tcBorders>
              <w:right w:val="single" w:sz="8" w:color="auto"/>
            </w:tcBorders>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89"/>
              </w:rPr>
              <w:t>Estimated</w:t>
            </w:r>
          </w:p>
        </w:tc>
        <w:tc>
          <w:tcPr>
            <w:tcW w:w="580" w:type="dxa"/>
            <w:vAlign w:val="bottom"/>
            <w:tcBorders>
              <w:right w:val="single" w:sz="8" w:color="auto"/>
            </w:tcBorders>
            <w:vMerge w:val="restart"/>
            <w:shd w:val="clear" w:color="auto" w:fill="D9D9D9"/>
          </w:tcPr>
          <w:p>
            <w:pPr>
              <w:jc w:val="center"/>
              <w:ind w:right="57"/>
              <w:spacing w:after="0"/>
              <w:rPr>
                <w:sz w:val="20"/>
                <w:szCs w:val="20"/>
                <w:color w:val="auto"/>
              </w:rPr>
            </w:pPr>
            <w:r>
              <w:rPr>
                <w:rFonts w:ascii="Arial" w:cs="Arial" w:eastAsia="Arial" w:hAnsi="Arial"/>
                <w:sz w:val="7"/>
                <w:szCs w:val="7"/>
                <w:b w:val="1"/>
                <w:bCs w:val="1"/>
                <w:color w:val="auto"/>
                <w:w w:val="95"/>
              </w:rPr>
              <w:t>Estimated</w:t>
            </w:r>
          </w:p>
        </w:tc>
        <w:tc>
          <w:tcPr>
            <w:tcW w:w="740" w:type="dxa"/>
            <w:vAlign w:val="bottom"/>
            <w:tcBorders>
              <w:right w:val="single" w:sz="8" w:color="auto"/>
            </w:tcBorders>
            <w:shd w:val="clear" w:color="auto" w:fill="D9D9D9"/>
          </w:tcPr>
          <w:p>
            <w:pPr>
              <w:spacing w:after="0"/>
              <w:rPr>
                <w:sz w:val="7"/>
                <w:szCs w:val="7"/>
                <w:color w:val="auto"/>
              </w:rPr>
            </w:pPr>
          </w:p>
        </w:tc>
        <w:tc>
          <w:tcPr>
            <w:tcW w:w="720" w:type="dxa"/>
            <w:vAlign w:val="bottom"/>
            <w:tcBorders>
              <w:right w:val="single" w:sz="8" w:color="auto"/>
            </w:tcBorders>
            <w:vMerge w:val="restart"/>
            <w:shd w:val="clear" w:color="auto" w:fill="D9D9D9"/>
          </w:tcPr>
          <w:p>
            <w:pPr>
              <w:jc w:val="center"/>
              <w:ind w:right="57"/>
              <w:spacing w:after="0"/>
              <w:rPr>
                <w:sz w:val="20"/>
                <w:szCs w:val="20"/>
                <w:color w:val="auto"/>
              </w:rPr>
            </w:pPr>
            <w:r>
              <w:rPr>
                <w:rFonts w:ascii="Arial" w:cs="Arial" w:eastAsia="Arial" w:hAnsi="Arial"/>
                <w:sz w:val="7"/>
                <w:szCs w:val="7"/>
                <w:b w:val="1"/>
                <w:bCs w:val="1"/>
                <w:color w:val="auto"/>
                <w:w w:val="89"/>
              </w:rPr>
              <w:t>Estimated unused</w:t>
            </w:r>
          </w:p>
        </w:tc>
        <w:tc>
          <w:tcPr>
            <w:tcW w:w="640" w:type="dxa"/>
            <w:vAlign w:val="bottom"/>
            <w:tcBorders>
              <w:right w:val="single" w:sz="8" w:color="auto"/>
            </w:tcBorders>
            <w:shd w:val="clear" w:color="auto" w:fill="D9D9D9"/>
          </w:tcPr>
          <w:p>
            <w:pPr>
              <w:jc w:val="center"/>
              <w:ind w:right="38"/>
              <w:spacing w:after="0"/>
              <w:rPr>
                <w:sz w:val="20"/>
                <w:szCs w:val="20"/>
                <w:color w:val="auto"/>
              </w:rPr>
            </w:pPr>
            <w:r>
              <w:rPr>
                <w:rFonts w:ascii="Arial" w:cs="Arial" w:eastAsia="Arial" w:hAnsi="Arial"/>
                <w:sz w:val="7"/>
                <w:szCs w:val="7"/>
                <w:b w:val="1"/>
                <w:bCs w:val="1"/>
                <w:color w:val="auto"/>
                <w:w w:val="95"/>
              </w:rPr>
              <w:t>Estimated</w:t>
            </w:r>
          </w:p>
        </w:tc>
        <w:tc>
          <w:tcPr>
            <w:tcW w:w="540" w:type="dxa"/>
            <w:vAlign w:val="bottom"/>
            <w:tcBorders>
              <w:right w:val="single" w:sz="8" w:color="auto"/>
            </w:tcBorders>
            <w:gridSpan w:val="2"/>
            <w:vMerge w:val="restart"/>
            <w:shd w:val="clear" w:color="auto" w:fill="D9D9D9"/>
          </w:tcPr>
          <w:p>
            <w:pPr>
              <w:jc w:val="center"/>
              <w:ind w:right="55"/>
              <w:spacing w:after="0"/>
              <w:rPr>
                <w:sz w:val="20"/>
                <w:szCs w:val="20"/>
                <w:color w:val="auto"/>
              </w:rPr>
            </w:pPr>
            <w:r>
              <w:rPr>
                <w:rFonts w:ascii="Arial" w:cs="Arial" w:eastAsia="Arial" w:hAnsi="Arial"/>
                <w:sz w:val="7"/>
                <w:szCs w:val="7"/>
                <w:b w:val="1"/>
                <w:bCs w:val="1"/>
                <w:color w:val="auto"/>
                <w:w w:val="95"/>
              </w:rPr>
              <w:t>Estimated</w:t>
            </w:r>
          </w:p>
        </w:tc>
        <w:tc>
          <w:tcPr>
            <w:tcW w:w="720" w:type="dxa"/>
            <w:vAlign w:val="bottom"/>
            <w:tcBorders>
              <w:right w:val="single" w:sz="8" w:color="auto"/>
            </w:tcBorders>
            <w:shd w:val="clear" w:color="auto" w:fill="D9D9D9"/>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6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shd w:val="clear" w:color="auto" w:fill="000000"/>
          </w:tcPr>
          <w:p>
            <w:pPr>
              <w:spacing w:after="0"/>
              <w:rPr>
                <w:sz w:val="3"/>
                <w:szCs w:val="3"/>
                <w:color w:val="auto"/>
              </w:rPr>
            </w:pP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540" w:type="dxa"/>
            <w:vAlign w:val="bottom"/>
            <w:tcBorders>
              <w:right w:val="single" w:sz="8" w:color="auto"/>
            </w:tcBorders>
            <w:vMerge w:val="restart"/>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90"/>
              </w:rPr>
              <w:t>amount to be</w:t>
            </w:r>
          </w:p>
        </w:tc>
        <w:tc>
          <w:tcPr>
            <w:tcW w:w="600" w:type="dxa"/>
            <w:vAlign w:val="bottom"/>
            <w:tcBorders>
              <w:right w:val="single" w:sz="8" w:color="auto"/>
            </w:tcBorders>
            <w:vMerge w:val="continue"/>
            <w:shd w:val="clear" w:color="auto" w:fill="D9D9D9"/>
          </w:tcPr>
          <w:p>
            <w:pPr>
              <w:spacing w:after="0"/>
              <w:rPr>
                <w:sz w:val="3"/>
                <w:szCs w:val="3"/>
                <w:color w:val="auto"/>
              </w:rPr>
            </w:pPr>
          </w:p>
        </w:tc>
        <w:tc>
          <w:tcPr>
            <w:tcW w:w="740" w:type="dxa"/>
            <w:vAlign w:val="bottom"/>
            <w:tcBorders>
              <w:right w:val="single" w:sz="8" w:color="auto"/>
            </w:tcBorders>
            <w:vMerge w:val="restart"/>
            <w:shd w:val="clear" w:color="auto" w:fill="D9D9D9"/>
          </w:tcPr>
          <w:p>
            <w:pPr>
              <w:jc w:val="right"/>
              <w:ind w:right="117"/>
              <w:spacing w:after="0"/>
              <w:rPr>
                <w:sz w:val="20"/>
                <w:szCs w:val="20"/>
                <w:color w:val="auto"/>
              </w:rPr>
            </w:pPr>
            <w:r>
              <w:rPr>
                <w:rFonts w:ascii="Arial" w:cs="Arial" w:eastAsia="Arial" w:hAnsi="Arial"/>
                <w:sz w:val="7"/>
                <w:szCs w:val="7"/>
                <w:b w:val="1"/>
                <w:bCs w:val="1"/>
                <w:color w:val="auto"/>
                <w:w w:val="95"/>
              </w:rPr>
              <w:t>Estimated ending</w:t>
            </w: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660" w:type="dxa"/>
            <w:vAlign w:val="bottom"/>
            <w:tcBorders>
              <w:right w:val="single" w:sz="8" w:color="auto"/>
            </w:tcBorders>
            <w:vMerge w:val="restart"/>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90"/>
              </w:rPr>
              <w:t>amount to be</w:t>
            </w:r>
          </w:p>
        </w:tc>
        <w:tc>
          <w:tcPr>
            <w:tcW w:w="520" w:type="dxa"/>
            <w:vAlign w:val="bottom"/>
            <w:tcBorders>
              <w:right w:val="single" w:sz="8" w:color="auto"/>
            </w:tcBorders>
            <w:vMerge w:val="continue"/>
            <w:shd w:val="clear" w:color="auto" w:fill="D9D9D9"/>
          </w:tcPr>
          <w:p>
            <w:pPr>
              <w:spacing w:after="0"/>
              <w:rPr>
                <w:sz w:val="3"/>
                <w:szCs w:val="3"/>
                <w:color w:val="auto"/>
              </w:rPr>
            </w:pPr>
          </w:p>
        </w:tc>
        <w:tc>
          <w:tcPr>
            <w:tcW w:w="720" w:type="dxa"/>
            <w:vAlign w:val="bottom"/>
            <w:tcBorders>
              <w:right w:val="single" w:sz="8" w:color="auto"/>
            </w:tcBorders>
            <w:vMerge w:val="restart"/>
            <w:shd w:val="clear" w:color="auto" w:fill="D9D9D9"/>
          </w:tcPr>
          <w:p>
            <w:pPr>
              <w:jc w:val="right"/>
              <w:ind w:right="97"/>
              <w:spacing w:after="0"/>
              <w:rPr>
                <w:sz w:val="20"/>
                <w:szCs w:val="20"/>
                <w:color w:val="auto"/>
              </w:rPr>
            </w:pPr>
            <w:r>
              <w:rPr>
                <w:rFonts w:ascii="Arial" w:cs="Arial" w:eastAsia="Arial" w:hAnsi="Arial"/>
                <w:sz w:val="7"/>
                <w:szCs w:val="7"/>
                <w:b w:val="1"/>
                <w:bCs w:val="1"/>
                <w:color w:val="auto"/>
                <w:w w:val="95"/>
              </w:rPr>
              <w:t>Estimated ending</w:t>
            </w: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640" w:type="dxa"/>
            <w:vAlign w:val="bottom"/>
            <w:tcBorders>
              <w:right w:val="single" w:sz="8" w:color="auto"/>
            </w:tcBorders>
            <w:vMerge w:val="restart"/>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95"/>
              </w:rPr>
              <w:t>amount to be</w:t>
            </w:r>
          </w:p>
        </w:tc>
        <w:tc>
          <w:tcPr>
            <w:tcW w:w="580" w:type="dxa"/>
            <w:vAlign w:val="bottom"/>
            <w:tcBorders>
              <w:right w:val="single" w:sz="8" w:color="auto"/>
            </w:tcBorders>
            <w:vMerge w:val="continue"/>
            <w:shd w:val="clear" w:color="auto" w:fill="D9D9D9"/>
          </w:tcPr>
          <w:p>
            <w:pPr>
              <w:spacing w:after="0"/>
              <w:rPr>
                <w:sz w:val="3"/>
                <w:szCs w:val="3"/>
                <w:color w:val="auto"/>
              </w:rPr>
            </w:pPr>
          </w:p>
        </w:tc>
        <w:tc>
          <w:tcPr>
            <w:tcW w:w="740" w:type="dxa"/>
            <w:vAlign w:val="bottom"/>
            <w:tcBorders>
              <w:right w:val="single" w:sz="8" w:color="auto"/>
            </w:tcBorders>
            <w:vMerge w:val="restart"/>
            <w:shd w:val="clear" w:color="auto" w:fill="D9D9D9"/>
          </w:tcPr>
          <w:p>
            <w:pPr>
              <w:jc w:val="right"/>
              <w:ind w:right="117"/>
              <w:spacing w:after="0"/>
              <w:rPr>
                <w:sz w:val="20"/>
                <w:szCs w:val="20"/>
                <w:color w:val="auto"/>
              </w:rPr>
            </w:pPr>
            <w:r>
              <w:rPr>
                <w:rFonts w:ascii="Arial" w:cs="Arial" w:eastAsia="Arial" w:hAnsi="Arial"/>
                <w:sz w:val="7"/>
                <w:szCs w:val="7"/>
                <w:b w:val="1"/>
                <w:bCs w:val="1"/>
                <w:color w:val="auto"/>
                <w:w w:val="95"/>
              </w:rPr>
              <w:t>Estimated ending</w:t>
            </w:r>
          </w:p>
        </w:tc>
        <w:tc>
          <w:tcPr>
            <w:tcW w:w="720" w:type="dxa"/>
            <w:vAlign w:val="bottom"/>
            <w:tcBorders>
              <w:right w:val="single" w:sz="8" w:color="auto"/>
            </w:tcBorders>
            <w:vMerge w:val="continue"/>
            <w:shd w:val="clear" w:color="auto" w:fill="D9D9D9"/>
          </w:tcPr>
          <w:p>
            <w:pPr>
              <w:spacing w:after="0"/>
              <w:rPr>
                <w:sz w:val="3"/>
                <w:szCs w:val="3"/>
                <w:color w:val="auto"/>
              </w:rPr>
            </w:pPr>
          </w:p>
        </w:tc>
        <w:tc>
          <w:tcPr>
            <w:tcW w:w="640" w:type="dxa"/>
            <w:vAlign w:val="bottom"/>
            <w:tcBorders>
              <w:right w:val="single" w:sz="8" w:color="auto"/>
            </w:tcBorders>
            <w:vMerge w:val="restart"/>
            <w:shd w:val="clear" w:color="auto" w:fill="D9D9D9"/>
          </w:tcPr>
          <w:p>
            <w:pPr>
              <w:jc w:val="center"/>
              <w:ind w:right="38"/>
              <w:spacing w:after="0"/>
              <w:rPr>
                <w:sz w:val="20"/>
                <w:szCs w:val="20"/>
                <w:color w:val="auto"/>
              </w:rPr>
            </w:pPr>
            <w:r>
              <w:rPr>
                <w:rFonts w:ascii="Arial" w:cs="Arial" w:eastAsia="Arial" w:hAnsi="Arial"/>
                <w:sz w:val="7"/>
                <w:szCs w:val="7"/>
                <w:b w:val="1"/>
                <w:bCs w:val="1"/>
                <w:color w:val="auto"/>
                <w:w w:val="90"/>
              </w:rPr>
              <w:t>amount to be</w:t>
            </w:r>
          </w:p>
        </w:tc>
        <w:tc>
          <w:tcPr>
            <w:tcW w:w="540" w:type="dxa"/>
            <w:vAlign w:val="bottom"/>
            <w:tcBorders>
              <w:right w:val="single" w:sz="8" w:color="auto"/>
            </w:tcBorders>
            <w:gridSpan w:val="2"/>
            <w:vMerge w:val="continue"/>
            <w:shd w:val="clear" w:color="auto" w:fill="D9D9D9"/>
          </w:tcPr>
          <w:p>
            <w:pPr>
              <w:spacing w:after="0"/>
              <w:rPr>
                <w:sz w:val="3"/>
                <w:szCs w:val="3"/>
                <w:color w:val="auto"/>
              </w:rPr>
            </w:pPr>
          </w:p>
        </w:tc>
        <w:tc>
          <w:tcPr>
            <w:tcW w:w="720" w:type="dxa"/>
            <w:vAlign w:val="bottom"/>
            <w:tcBorders>
              <w:right w:val="single" w:sz="8" w:color="auto"/>
            </w:tcBorders>
            <w:vMerge w:val="restart"/>
            <w:shd w:val="clear" w:color="auto" w:fill="D9D9D9"/>
          </w:tcPr>
          <w:p>
            <w:pPr>
              <w:jc w:val="right"/>
              <w:ind w:right="97"/>
              <w:spacing w:after="0"/>
              <w:rPr>
                <w:sz w:val="20"/>
                <w:szCs w:val="20"/>
                <w:color w:val="auto"/>
              </w:rPr>
            </w:pPr>
            <w:r>
              <w:rPr>
                <w:rFonts w:ascii="Arial" w:cs="Arial" w:eastAsia="Arial" w:hAnsi="Arial"/>
                <w:sz w:val="7"/>
                <w:szCs w:val="7"/>
                <w:b w:val="1"/>
                <w:bCs w:val="1"/>
                <w:color w:val="auto"/>
                <w:w w:val="95"/>
              </w:rPr>
              <w:t>Estimated ending</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6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shd w:val="clear" w:color="auto" w:fill="000000"/>
          </w:tcPr>
          <w:p>
            <w:pPr>
              <w:spacing w:after="0"/>
              <w:rPr>
                <w:sz w:val="3"/>
                <w:szCs w:val="3"/>
                <w:color w:val="auto"/>
              </w:rPr>
            </w:pPr>
          </w:p>
        </w:tc>
        <w:tc>
          <w:tcPr>
            <w:tcW w:w="7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7"/>
                <w:szCs w:val="7"/>
                <w:b w:val="1"/>
                <w:bCs w:val="1"/>
                <w:color w:val="auto"/>
                <w:w w:val="91"/>
              </w:rPr>
              <w:t>balance at beginning</w:t>
            </w:r>
          </w:p>
        </w:tc>
        <w:tc>
          <w:tcPr>
            <w:tcW w:w="540" w:type="dxa"/>
            <w:vAlign w:val="bottom"/>
            <w:tcBorders>
              <w:right w:val="single" w:sz="8" w:color="auto"/>
            </w:tcBorders>
            <w:vMerge w:val="continue"/>
            <w:shd w:val="clear" w:color="auto" w:fill="D9D9D9"/>
          </w:tcPr>
          <w:p>
            <w:pPr>
              <w:spacing w:after="0"/>
              <w:rPr>
                <w:sz w:val="3"/>
                <w:szCs w:val="3"/>
                <w:color w:val="auto"/>
              </w:rPr>
            </w:pPr>
          </w:p>
        </w:tc>
        <w:tc>
          <w:tcPr>
            <w:tcW w:w="600" w:type="dxa"/>
            <w:vAlign w:val="bottom"/>
            <w:tcBorders>
              <w:right w:val="single" w:sz="8" w:color="auto"/>
            </w:tcBorders>
            <w:vMerge w:val="restart"/>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86"/>
              </w:rPr>
              <w:t>amount</w:t>
            </w: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740" w:type="dxa"/>
            <w:vAlign w:val="bottom"/>
            <w:tcBorders>
              <w:right w:val="single" w:sz="8" w:color="auto"/>
            </w:tcBorders>
            <w:vMerge w:val="restart"/>
            <w:shd w:val="clear" w:color="auto" w:fill="D9D9D9"/>
          </w:tcPr>
          <w:p>
            <w:pPr>
              <w:jc w:val="center"/>
              <w:ind w:right="57"/>
              <w:spacing w:after="0"/>
              <w:rPr>
                <w:sz w:val="20"/>
                <w:szCs w:val="20"/>
                <w:color w:val="auto"/>
              </w:rPr>
            </w:pPr>
            <w:r>
              <w:rPr>
                <w:rFonts w:ascii="Arial" w:cs="Arial" w:eastAsia="Arial" w:hAnsi="Arial"/>
                <w:sz w:val="7"/>
                <w:szCs w:val="7"/>
                <w:b w:val="1"/>
                <w:bCs w:val="1"/>
                <w:color w:val="auto"/>
                <w:w w:val="93"/>
              </w:rPr>
              <w:t>balance at</w:t>
            </w:r>
          </w:p>
        </w:tc>
        <w:tc>
          <w:tcPr>
            <w:tcW w:w="660" w:type="dxa"/>
            <w:vAlign w:val="bottom"/>
            <w:tcBorders>
              <w:right w:val="single" w:sz="8" w:color="auto"/>
            </w:tcBorders>
            <w:vMerge w:val="continue"/>
            <w:shd w:val="clear" w:color="auto" w:fill="D9D9D9"/>
          </w:tcPr>
          <w:p>
            <w:pPr>
              <w:spacing w:after="0"/>
              <w:rPr>
                <w:sz w:val="3"/>
                <w:szCs w:val="3"/>
                <w:color w:val="auto"/>
              </w:rPr>
            </w:pPr>
          </w:p>
        </w:tc>
        <w:tc>
          <w:tcPr>
            <w:tcW w:w="520" w:type="dxa"/>
            <w:vAlign w:val="bottom"/>
            <w:tcBorders>
              <w:right w:val="single" w:sz="8" w:color="auto"/>
            </w:tcBorders>
            <w:vMerge w:val="restart"/>
            <w:shd w:val="clear" w:color="auto" w:fill="D9D9D9"/>
          </w:tcPr>
          <w:p>
            <w:pPr>
              <w:jc w:val="center"/>
              <w:ind w:right="77"/>
              <w:spacing w:after="0"/>
              <w:rPr>
                <w:sz w:val="20"/>
                <w:szCs w:val="20"/>
                <w:color w:val="auto"/>
              </w:rPr>
            </w:pPr>
            <w:r>
              <w:rPr>
                <w:rFonts w:ascii="Arial" w:cs="Arial" w:eastAsia="Arial" w:hAnsi="Arial"/>
                <w:sz w:val="7"/>
                <w:szCs w:val="7"/>
                <w:b w:val="1"/>
                <w:bCs w:val="1"/>
                <w:color w:val="auto"/>
                <w:w w:val="94"/>
              </w:rPr>
              <w:t>amount</w:t>
            </w:r>
          </w:p>
        </w:tc>
        <w:tc>
          <w:tcPr>
            <w:tcW w:w="720" w:type="dxa"/>
            <w:vAlign w:val="bottom"/>
            <w:tcBorders>
              <w:right w:val="single" w:sz="8" w:color="auto"/>
            </w:tcBorders>
            <w:vMerge w:val="continue"/>
            <w:shd w:val="clear" w:color="auto" w:fill="D9D9D9"/>
          </w:tcPr>
          <w:p>
            <w:pPr>
              <w:spacing w:after="0"/>
              <w:rPr>
                <w:sz w:val="3"/>
                <w:szCs w:val="3"/>
                <w:color w:val="auto"/>
              </w:rPr>
            </w:pPr>
          </w:p>
        </w:tc>
        <w:tc>
          <w:tcPr>
            <w:tcW w:w="740" w:type="dxa"/>
            <w:vAlign w:val="bottom"/>
            <w:tcBorders>
              <w:right w:val="single" w:sz="8" w:color="auto"/>
            </w:tcBorders>
            <w:vMerge w:val="restart"/>
            <w:shd w:val="clear" w:color="auto" w:fill="D9D9D9"/>
          </w:tcPr>
          <w:p>
            <w:pPr>
              <w:jc w:val="center"/>
              <w:ind w:right="57"/>
              <w:spacing w:after="0"/>
              <w:rPr>
                <w:sz w:val="20"/>
                <w:szCs w:val="20"/>
                <w:color w:val="auto"/>
              </w:rPr>
            </w:pPr>
            <w:r>
              <w:rPr>
                <w:rFonts w:ascii="Arial" w:cs="Arial" w:eastAsia="Arial" w:hAnsi="Arial"/>
                <w:sz w:val="7"/>
                <w:szCs w:val="7"/>
                <w:b w:val="1"/>
                <w:bCs w:val="1"/>
                <w:color w:val="auto"/>
                <w:w w:val="93"/>
              </w:rPr>
              <w:t>balance at</w:t>
            </w:r>
          </w:p>
        </w:tc>
        <w:tc>
          <w:tcPr>
            <w:tcW w:w="640" w:type="dxa"/>
            <w:vAlign w:val="bottom"/>
            <w:tcBorders>
              <w:right w:val="single" w:sz="8" w:color="auto"/>
            </w:tcBorders>
            <w:vMerge w:val="continue"/>
            <w:shd w:val="clear" w:color="auto" w:fill="D9D9D9"/>
          </w:tcPr>
          <w:p>
            <w:pPr>
              <w:spacing w:after="0"/>
              <w:rPr>
                <w:sz w:val="3"/>
                <w:szCs w:val="3"/>
                <w:color w:val="auto"/>
              </w:rPr>
            </w:pPr>
          </w:p>
        </w:tc>
        <w:tc>
          <w:tcPr>
            <w:tcW w:w="580" w:type="dxa"/>
            <w:vAlign w:val="bottom"/>
            <w:tcBorders>
              <w:right w:val="single" w:sz="8" w:color="auto"/>
            </w:tcBorders>
            <w:vMerge w:val="restart"/>
            <w:shd w:val="clear" w:color="auto" w:fill="D9D9D9"/>
          </w:tcPr>
          <w:p>
            <w:pPr>
              <w:jc w:val="center"/>
              <w:ind w:right="57"/>
              <w:spacing w:after="0"/>
              <w:rPr>
                <w:sz w:val="20"/>
                <w:szCs w:val="20"/>
                <w:color w:val="auto"/>
              </w:rPr>
            </w:pPr>
            <w:r>
              <w:rPr>
                <w:rFonts w:ascii="Arial" w:cs="Arial" w:eastAsia="Arial" w:hAnsi="Arial"/>
                <w:sz w:val="7"/>
                <w:szCs w:val="7"/>
                <w:b w:val="1"/>
                <w:bCs w:val="1"/>
                <w:color w:val="auto"/>
                <w:w w:val="94"/>
              </w:rPr>
              <w:t>amount</w:t>
            </w: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720" w:type="dxa"/>
            <w:vAlign w:val="bottom"/>
            <w:tcBorders>
              <w:right w:val="single" w:sz="8" w:color="auto"/>
            </w:tcBorders>
            <w:vMerge w:val="restart"/>
            <w:shd w:val="clear" w:color="auto" w:fill="D9D9D9"/>
          </w:tcPr>
          <w:p>
            <w:pPr>
              <w:jc w:val="center"/>
              <w:ind w:right="57"/>
              <w:spacing w:after="0"/>
              <w:rPr>
                <w:sz w:val="20"/>
                <w:szCs w:val="20"/>
                <w:color w:val="auto"/>
              </w:rPr>
            </w:pPr>
            <w:r>
              <w:rPr>
                <w:rFonts w:ascii="Arial" w:cs="Arial" w:eastAsia="Arial" w:hAnsi="Arial"/>
                <w:sz w:val="7"/>
                <w:szCs w:val="7"/>
                <w:b w:val="1"/>
                <w:bCs w:val="1"/>
                <w:color w:val="auto"/>
                <w:w w:val="87"/>
              </w:rPr>
              <w:t>balance at</w:t>
            </w:r>
          </w:p>
        </w:tc>
        <w:tc>
          <w:tcPr>
            <w:tcW w:w="640" w:type="dxa"/>
            <w:vAlign w:val="bottom"/>
            <w:tcBorders>
              <w:right w:val="single" w:sz="8" w:color="auto"/>
            </w:tcBorders>
            <w:vMerge w:val="continue"/>
            <w:shd w:val="clear" w:color="auto" w:fill="D9D9D9"/>
          </w:tcPr>
          <w:p>
            <w:pPr>
              <w:spacing w:after="0"/>
              <w:rPr>
                <w:sz w:val="3"/>
                <w:szCs w:val="3"/>
                <w:color w:val="auto"/>
              </w:rPr>
            </w:pPr>
          </w:p>
        </w:tc>
        <w:tc>
          <w:tcPr>
            <w:tcW w:w="340" w:type="dxa"/>
            <w:vAlign w:val="bottom"/>
            <w:vMerge w:val="restart"/>
            <w:shd w:val="clear" w:color="auto" w:fill="D9D9D9"/>
          </w:tcPr>
          <w:p>
            <w:pPr>
              <w:jc w:val="center"/>
              <w:ind w:left="64"/>
              <w:spacing w:after="0"/>
              <w:rPr>
                <w:sz w:val="20"/>
                <w:szCs w:val="20"/>
                <w:color w:val="auto"/>
              </w:rPr>
            </w:pPr>
            <w:r>
              <w:rPr>
                <w:rFonts w:ascii="Arial" w:cs="Arial" w:eastAsia="Arial" w:hAnsi="Arial"/>
                <w:sz w:val="7"/>
                <w:szCs w:val="7"/>
                <w:b w:val="1"/>
                <w:bCs w:val="1"/>
                <w:color w:val="auto"/>
                <w:w w:val="94"/>
              </w:rPr>
              <w:t>amount</w:t>
            </w:r>
          </w:p>
        </w:tc>
        <w:tc>
          <w:tcPr>
            <w:tcW w:w="200" w:type="dxa"/>
            <w:vAlign w:val="bottom"/>
            <w:tcBorders>
              <w:right w:val="single" w:sz="8" w:color="auto"/>
            </w:tcBorders>
            <w:shd w:val="clear" w:color="auto" w:fill="D9D9D9"/>
          </w:tcPr>
          <w:p>
            <w:pPr>
              <w:spacing w:after="0"/>
              <w:rPr>
                <w:sz w:val="3"/>
                <w:szCs w:val="3"/>
                <w:color w:val="auto"/>
              </w:rPr>
            </w:pPr>
          </w:p>
        </w:tc>
        <w:tc>
          <w:tcPr>
            <w:tcW w:w="720" w:type="dxa"/>
            <w:vAlign w:val="bottom"/>
            <w:tcBorders>
              <w:right w:val="single" w:sz="8" w:color="auto"/>
            </w:tcBorders>
            <w:vMerge w:val="continue"/>
            <w:shd w:val="clear" w:color="auto" w:fill="D9D9D9"/>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7"/>
                <w:szCs w:val="7"/>
                <w:color w:val="FFFFFF"/>
                <w:w w:val="96"/>
              </w:rPr>
              <w:t>Description</w:t>
            </w: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540" w:type="dxa"/>
            <w:vAlign w:val="bottom"/>
            <w:tcBorders>
              <w:right w:val="single" w:sz="8" w:color="auto"/>
            </w:tcBorders>
            <w:vMerge w:val="restart"/>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90"/>
              </w:rPr>
              <w:t>reflected on</w:t>
            </w:r>
          </w:p>
        </w:tc>
        <w:tc>
          <w:tcPr>
            <w:tcW w:w="600" w:type="dxa"/>
            <w:vAlign w:val="bottom"/>
            <w:tcBorders>
              <w:right w:val="single" w:sz="8" w:color="auto"/>
            </w:tcBorders>
            <w:vMerge w:val="continue"/>
            <w:shd w:val="clear" w:color="auto" w:fill="D9D9D9"/>
          </w:tcPr>
          <w:p>
            <w:pPr>
              <w:spacing w:after="0"/>
              <w:rPr>
                <w:sz w:val="3"/>
                <w:szCs w:val="3"/>
                <w:color w:val="auto"/>
              </w:rPr>
            </w:pPr>
          </w:p>
        </w:tc>
        <w:tc>
          <w:tcPr>
            <w:tcW w:w="740" w:type="dxa"/>
            <w:vAlign w:val="bottom"/>
            <w:tcBorders>
              <w:right w:val="single" w:sz="8" w:color="auto"/>
            </w:tcBorders>
            <w:vMerge w:val="restart"/>
            <w:shd w:val="clear" w:color="auto" w:fill="D9D9D9"/>
          </w:tcPr>
          <w:p>
            <w:pPr>
              <w:jc w:val="right"/>
              <w:ind w:right="257"/>
              <w:spacing w:after="0"/>
              <w:rPr>
                <w:sz w:val="20"/>
                <w:szCs w:val="20"/>
                <w:color w:val="auto"/>
              </w:rPr>
            </w:pPr>
            <w:r>
              <w:rPr>
                <w:rFonts w:ascii="Arial" w:cs="Arial" w:eastAsia="Arial" w:hAnsi="Arial"/>
                <w:sz w:val="7"/>
                <w:szCs w:val="7"/>
                <w:b w:val="1"/>
                <w:bCs w:val="1"/>
                <w:color w:val="auto"/>
              </w:rPr>
              <w:t>balance</w:t>
            </w: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660" w:type="dxa"/>
            <w:vAlign w:val="bottom"/>
            <w:tcBorders>
              <w:right w:val="single" w:sz="8" w:color="auto"/>
            </w:tcBorders>
            <w:vMerge w:val="restart"/>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89"/>
              </w:rPr>
              <w:t>reflected on Tax</w:t>
            </w:r>
          </w:p>
        </w:tc>
        <w:tc>
          <w:tcPr>
            <w:tcW w:w="520" w:type="dxa"/>
            <w:vAlign w:val="bottom"/>
            <w:tcBorders>
              <w:right w:val="single" w:sz="8" w:color="auto"/>
            </w:tcBorders>
            <w:vMerge w:val="continue"/>
            <w:shd w:val="clear" w:color="auto" w:fill="D9D9D9"/>
          </w:tcPr>
          <w:p>
            <w:pPr>
              <w:spacing w:after="0"/>
              <w:rPr>
                <w:sz w:val="3"/>
                <w:szCs w:val="3"/>
                <w:color w:val="auto"/>
              </w:rPr>
            </w:pPr>
          </w:p>
        </w:tc>
        <w:tc>
          <w:tcPr>
            <w:tcW w:w="720" w:type="dxa"/>
            <w:vAlign w:val="bottom"/>
            <w:tcBorders>
              <w:right w:val="single" w:sz="8" w:color="auto"/>
            </w:tcBorders>
            <w:vMerge w:val="restart"/>
            <w:shd w:val="clear" w:color="auto" w:fill="D9D9D9"/>
          </w:tcPr>
          <w:p>
            <w:pPr>
              <w:jc w:val="right"/>
              <w:ind w:right="237"/>
              <w:spacing w:after="0"/>
              <w:rPr>
                <w:sz w:val="20"/>
                <w:szCs w:val="20"/>
                <w:color w:val="auto"/>
              </w:rPr>
            </w:pPr>
            <w:r>
              <w:rPr>
                <w:rFonts w:ascii="Arial" w:cs="Arial" w:eastAsia="Arial" w:hAnsi="Arial"/>
                <w:sz w:val="7"/>
                <w:szCs w:val="7"/>
                <w:b w:val="1"/>
                <w:bCs w:val="1"/>
                <w:color w:val="auto"/>
              </w:rPr>
              <w:t>balance</w:t>
            </w: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640" w:type="dxa"/>
            <w:vAlign w:val="bottom"/>
            <w:tcBorders>
              <w:right w:val="single" w:sz="8" w:color="auto"/>
            </w:tcBorders>
            <w:vMerge w:val="restart"/>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93"/>
              </w:rPr>
              <w:t>reflected on Tax</w:t>
            </w:r>
          </w:p>
        </w:tc>
        <w:tc>
          <w:tcPr>
            <w:tcW w:w="580" w:type="dxa"/>
            <w:vAlign w:val="bottom"/>
            <w:tcBorders>
              <w:right w:val="single" w:sz="8" w:color="auto"/>
            </w:tcBorders>
            <w:vMerge w:val="continue"/>
            <w:shd w:val="clear" w:color="auto" w:fill="D9D9D9"/>
          </w:tcPr>
          <w:p>
            <w:pPr>
              <w:spacing w:after="0"/>
              <w:rPr>
                <w:sz w:val="3"/>
                <w:szCs w:val="3"/>
                <w:color w:val="auto"/>
              </w:rPr>
            </w:pPr>
          </w:p>
        </w:tc>
        <w:tc>
          <w:tcPr>
            <w:tcW w:w="740" w:type="dxa"/>
            <w:vAlign w:val="bottom"/>
            <w:tcBorders>
              <w:right w:val="single" w:sz="8" w:color="auto"/>
            </w:tcBorders>
            <w:vMerge w:val="restart"/>
            <w:shd w:val="clear" w:color="auto" w:fill="D9D9D9"/>
          </w:tcPr>
          <w:p>
            <w:pPr>
              <w:jc w:val="right"/>
              <w:ind w:right="257"/>
              <w:spacing w:after="0"/>
              <w:rPr>
                <w:sz w:val="20"/>
                <w:szCs w:val="20"/>
                <w:color w:val="auto"/>
              </w:rPr>
            </w:pPr>
            <w:r>
              <w:rPr>
                <w:rFonts w:ascii="Arial" w:cs="Arial" w:eastAsia="Arial" w:hAnsi="Arial"/>
                <w:sz w:val="7"/>
                <w:szCs w:val="7"/>
                <w:b w:val="1"/>
                <w:bCs w:val="1"/>
                <w:color w:val="auto"/>
              </w:rPr>
              <w:t>balance</w:t>
            </w:r>
          </w:p>
        </w:tc>
        <w:tc>
          <w:tcPr>
            <w:tcW w:w="720" w:type="dxa"/>
            <w:vAlign w:val="bottom"/>
            <w:tcBorders>
              <w:right w:val="single" w:sz="8" w:color="auto"/>
            </w:tcBorders>
            <w:vMerge w:val="continue"/>
            <w:shd w:val="clear" w:color="auto" w:fill="D9D9D9"/>
          </w:tcPr>
          <w:p>
            <w:pPr>
              <w:spacing w:after="0"/>
              <w:rPr>
                <w:sz w:val="3"/>
                <w:szCs w:val="3"/>
                <w:color w:val="auto"/>
              </w:rPr>
            </w:pPr>
          </w:p>
        </w:tc>
        <w:tc>
          <w:tcPr>
            <w:tcW w:w="640" w:type="dxa"/>
            <w:vAlign w:val="bottom"/>
            <w:tcBorders>
              <w:right w:val="single" w:sz="8" w:color="auto"/>
            </w:tcBorders>
            <w:vMerge w:val="restart"/>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93"/>
              </w:rPr>
              <w:t>reflected on Tax</w:t>
            </w:r>
          </w:p>
        </w:tc>
        <w:tc>
          <w:tcPr>
            <w:tcW w:w="340" w:type="dxa"/>
            <w:vAlign w:val="bottom"/>
            <w:vMerge w:val="continue"/>
            <w:shd w:val="clear" w:color="auto" w:fill="D9D9D9"/>
          </w:tcPr>
          <w:p>
            <w:pPr>
              <w:spacing w:after="0"/>
              <w:rPr>
                <w:sz w:val="3"/>
                <w:szCs w:val="3"/>
                <w:color w:val="auto"/>
              </w:rPr>
            </w:pPr>
          </w:p>
        </w:tc>
        <w:tc>
          <w:tcPr>
            <w:tcW w:w="200" w:type="dxa"/>
            <w:vAlign w:val="bottom"/>
            <w:tcBorders>
              <w:right w:val="single" w:sz="8" w:color="auto"/>
            </w:tcBorders>
            <w:shd w:val="clear" w:color="auto" w:fill="D9D9D9"/>
          </w:tcPr>
          <w:p>
            <w:pPr>
              <w:spacing w:after="0"/>
              <w:rPr>
                <w:sz w:val="3"/>
                <w:szCs w:val="3"/>
                <w:color w:val="auto"/>
              </w:rPr>
            </w:pPr>
          </w:p>
        </w:tc>
        <w:tc>
          <w:tcPr>
            <w:tcW w:w="720" w:type="dxa"/>
            <w:vAlign w:val="bottom"/>
            <w:tcBorders>
              <w:right w:val="single" w:sz="8" w:color="auto"/>
            </w:tcBorders>
            <w:vMerge w:val="restart"/>
            <w:shd w:val="clear" w:color="auto" w:fill="D9D9D9"/>
          </w:tcPr>
          <w:p>
            <w:pPr>
              <w:jc w:val="right"/>
              <w:ind w:right="237"/>
              <w:spacing w:after="0"/>
              <w:rPr>
                <w:sz w:val="20"/>
                <w:szCs w:val="20"/>
                <w:color w:val="auto"/>
              </w:rPr>
            </w:pPr>
            <w:r>
              <w:rPr>
                <w:rFonts w:ascii="Arial" w:cs="Arial" w:eastAsia="Arial" w:hAnsi="Arial"/>
                <w:sz w:val="7"/>
                <w:szCs w:val="7"/>
                <w:b w:val="1"/>
                <w:bCs w:val="1"/>
                <w:color w:val="auto"/>
              </w:rPr>
              <w:t>balance</w:t>
            </w: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vMerge w:val="continue"/>
            <w:shd w:val="clear" w:color="auto" w:fill="000000"/>
          </w:tcPr>
          <w:p>
            <w:pPr>
              <w:spacing w:after="0"/>
              <w:rPr>
                <w:sz w:val="3"/>
                <w:szCs w:val="3"/>
                <w:color w:val="auto"/>
              </w:rPr>
            </w:pPr>
          </w:p>
        </w:tc>
        <w:tc>
          <w:tcPr>
            <w:tcW w:w="7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7"/>
                <w:szCs w:val="7"/>
                <w:b w:val="1"/>
                <w:bCs w:val="1"/>
                <w:color w:val="auto"/>
                <w:w w:val="95"/>
              </w:rPr>
              <w:t>of year</w:t>
            </w:r>
          </w:p>
        </w:tc>
        <w:tc>
          <w:tcPr>
            <w:tcW w:w="540" w:type="dxa"/>
            <w:vAlign w:val="bottom"/>
            <w:tcBorders>
              <w:right w:val="single" w:sz="8" w:color="auto"/>
            </w:tcBorders>
            <w:vMerge w:val="continue"/>
            <w:shd w:val="clear" w:color="auto" w:fill="D9D9D9"/>
          </w:tcPr>
          <w:p>
            <w:pPr>
              <w:spacing w:after="0"/>
              <w:rPr>
                <w:sz w:val="3"/>
                <w:szCs w:val="3"/>
                <w:color w:val="auto"/>
              </w:rPr>
            </w:pPr>
          </w:p>
        </w:tc>
        <w:tc>
          <w:tcPr>
            <w:tcW w:w="600" w:type="dxa"/>
            <w:vAlign w:val="bottom"/>
            <w:tcBorders>
              <w:right w:val="single" w:sz="8" w:color="auto"/>
            </w:tcBorders>
            <w:vMerge w:val="restart"/>
            <w:shd w:val="clear" w:color="auto" w:fill="D9D9D9"/>
          </w:tcPr>
          <w:p>
            <w:pPr>
              <w:jc w:val="center"/>
              <w:ind w:right="38"/>
              <w:spacing w:after="0"/>
              <w:rPr>
                <w:sz w:val="20"/>
                <w:szCs w:val="20"/>
                <w:color w:val="auto"/>
              </w:rPr>
            </w:pPr>
            <w:r>
              <w:rPr>
                <w:rFonts w:ascii="Arial" w:cs="Arial" w:eastAsia="Arial" w:hAnsi="Arial"/>
                <w:sz w:val="7"/>
                <w:szCs w:val="7"/>
                <w:b w:val="1"/>
                <w:bCs w:val="1"/>
                <w:color w:val="auto"/>
                <w:w w:val="96"/>
              </w:rPr>
              <w:t>expired</w:t>
            </w: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740" w:type="dxa"/>
            <w:vAlign w:val="bottom"/>
            <w:tcBorders>
              <w:right w:val="single" w:sz="8" w:color="auto"/>
            </w:tcBorders>
            <w:vMerge w:val="restart"/>
            <w:shd w:val="clear" w:color="auto" w:fill="D9D9D9"/>
          </w:tcPr>
          <w:p>
            <w:pPr>
              <w:jc w:val="center"/>
              <w:ind w:right="37"/>
              <w:spacing w:after="0"/>
              <w:rPr>
                <w:sz w:val="20"/>
                <w:szCs w:val="20"/>
                <w:color w:val="auto"/>
              </w:rPr>
            </w:pPr>
            <w:r>
              <w:rPr>
                <w:rFonts w:ascii="Arial" w:cs="Arial" w:eastAsia="Arial" w:hAnsi="Arial"/>
                <w:sz w:val="7"/>
                <w:szCs w:val="7"/>
                <w:b w:val="1"/>
                <w:bCs w:val="1"/>
                <w:color w:val="auto"/>
                <w:w w:val="92"/>
              </w:rPr>
              <w:t>beginning of year</w:t>
            </w:r>
          </w:p>
        </w:tc>
        <w:tc>
          <w:tcPr>
            <w:tcW w:w="660" w:type="dxa"/>
            <w:vAlign w:val="bottom"/>
            <w:tcBorders>
              <w:right w:val="single" w:sz="8" w:color="auto"/>
            </w:tcBorders>
            <w:vMerge w:val="continue"/>
            <w:shd w:val="clear" w:color="auto" w:fill="D9D9D9"/>
          </w:tcPr>
          <w:p>
            <w:pPr>
              <w:spacing w:after="0"/>
              <w:rPr>
                <w:sz w:val="3"/>
                <w:szCs w:val="3"/>
                <w:color w:val="auto"/>
              </w:rPr>
            </w:pPr>
          </w:p>
        </w:tc>
        <w:tc>
          <w:tcPr>
            <w:tcW w:w="520" w:type="dxa"/>
            <w:vAlign w:val="bottom"/>
            <w:tcBorders>
              <w:right w:val="single" w:sz="8" w:color="auto"/>
            </w:tcBorders>
            <w:vMerge w:val="restart"/>
            <w:shd w:val="clear" w:color="auto" w:fill="D9D9D9"/>
          </w:tcPr>
          <w:p>
            <w:pPr>
              <w:jc w:val="center"/>
              <w:ind w:right="57"/>
              <w:spacing w:after="0"/>
              <w:rPr>
                <w:sz w:val="20"/>
                <w:szCs w:val="20"/>
                <w:color w:val="auto"/>
              </w:rPr>
            </w:pPr>
            <w:r>
              <w:rPr>
                <w:rFonts w:ascii="Arial" w:cs="Arial" w:eastAsia="Arial" w:hAnsi="Arial"/>
                <w:sz w:val="7"/>
                <w:szCs w:val="7"/>
                <w:b w:val="1"/>
                <w:bCs w:val="1"/>
                <w:color w:val="auto"/>
                <w:w w:val="88"/>
              </w:rPr>
              <w:t>expired</w:t>
            </w:r>
          </w:p>
        </w:tc>
        <w:tc>
          <w:tcPr>
            <w:tcW w:w="720" w:type="dxa"/>
            <w:vAlign w:val="bottom"/>
            <w:tcBorders>
              <w:right w:val="single" w:sz="8" w:color="auto"/>
            </w:tcBorders>
            <w:vMerge w:val="continue"/>
            <w:shd w:val="clear" w:color="auto" w:fill="D9D9D9"/>
          </w:tcPr>
          <w:p>
            <w:pPr>
              <w:spacing w:after="0"/>
              <w:rPr>
                <w:sz w:val="3"/>
                <w:szCs w:val="3"/>
                <w:color w:val="auto"/>
              </w:rPr>
            </w:pPr>
          </w:p>
        </w:tc>
        <w:tc>
          <w:tcPr>
            <w:tcW w:w="740" w:type="dxa"/>
            <w:vAlign w:val="bottom"/>
            <w:tcBorders>
              <w:right w:val="single" w:sz="8" w:color="auto"/>
            </w:tcBorders>
            <w:vMerge w:val="restart"/>
            <w:shd w:val="clear" w:color="auto" w:fill="D9D9D9"/>
          </w:tcPr>
          <w:p>
            <w:pPr>
              <w:jc w:val="center"/>
              <w:ind w:right="37"/>
              <w:spacing w:after="0"/>
              <w:rPr>
                <w:sz w:val="20"/>
                <w:szCs w:val="20"/>
                <w:color w:val="auto"/>
              </w:rPr>
            </w:pPr>
            <w:r>
              <w:rPr>
                <w:rFonts w:ascii="Arial" w:cs="Arial" w:eastAsia="Arial" w:hAnsi="Arial"/>
                <w:sz w:val="7"/>
                <w:szCs w:val="7"/>
                <w:b w:val="1"/>
                <w:bCs w:val="1"/>
                <w:color w:val="auto"/>
                <w:w w:val="92"/>
              </w:rPr>
              <w:t>beginning of year</w:t>
            </w:r>
          </w:p>
        </w:tc>
        <w:tc>
          <w:tcPr>
            <w:tcW w:w="640" w:type="dxa"/>
            <w:vAlign w:val="bottom"/>
            <w:tcBorders>
              <w:right w:val="single" w:sz="8" w:color="auto"/>
            </w:tcBorders>
            <w:vMerge w:val="continue"/>
            <w:shd w:val="clear" w:color="auto" w:fill="D9D9D9"/>
          </w:tcPr>
          <w:p>
            <w:pPr>
              <w:spacing w:after="0"/>
              <w:rPr>
                <w:sz w:val="3"/>
                <w:szCs w:val="3"/>
                <w:color w:val="auto"/>
              </w:rPr>
            </w:pPr>
          </w:p>
        </w:tc>
        <w:tc>
          <w:tcPr>
            <w:tcW w:w="580" w:type="dxa"/>
            <w:vAlign w:val="bottom"/>
            <w:tcBorders>
              <w:right w:val="single" w:sz="8" w:color="auto"/>
            </w:tcBorders>
            <w:vMerge w:val="restart"/>
            <w:shd w:val="clear" w:color="auto" w:fill="D9D9D9"/>
          </w:tcPr>
          <w:p>
            <w:pPr>
              <w:jc w:val="center"/>
              <w:ind w:right="37"/>
              <w:spacing w:after="0"/>
              <w:rPr>
                <w:sz w:val="20"/>
                <w:szCs w:val="20"/>
                <w:color w:val="auto"/>
              </w:rPr>
            </w:pPr>
            <w:r>
              <w:rPr>
                <w:rFonts w:ascii="Arial" w:cs="Arial" w:eastAsia="Arial" w:hAnsi="Arial"/>
                <w:sz w:val="7"/>
                <w:szCs w:val="7"/>
                <w:b w:val="1"/>
                <w:bCs w:val="1"/>
                <w:color w:val="auto"/>
                <w:w w:val="88"/>
              </w:rPr>
              <w:t>expired</w:t>
            </w: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720" w:type="dxa"/>
            <w:vAlign w:val="bottom"/>
            <w:tcBorders>
              <w:right w:val="single" w:sz="8" w:color="auto"/>
            </w:tcBorders>
            <w:vMerge w:val="restart"/>
            <w:shd w:val="clear" w:color="auto" w:fill="D9D9D9"/>
          </w:tcPr>
          <w:p>
            <w:pPr>
              <w:jc w:val="center"/>
              <w:ind w:right="57"/>
              <w:spacing w:after="0"/>
              <w:rPr>
                <w:sz w:val="20"/>
                <w:szCs w:val="20"/>
                <w:color w:val="auto"/>
              </w:rPr>
            </w:pPr>
            <w:r>
              <w:rPr>
                <w:rFonts w:ascii="Arial" w:cs="Arial" w:eastAsia="Arial" w:hAnsi="Arial"/>
                <w:sz w:val="7"/>
                <w:szCs w:val="7"/>
                <w:b w:val="1"/>
                <w:bCs w:val="1"/>
                <w:color w:val="auto"/>
                <w:w w:val="92"/>
              </w:rPr>
              <w:t>beginning of year</w:t>
            </w:r>
          </w:p>
        </w:tc>
        <w:tc>
          <w:tcPr>
            <w:tcW w:w="640" w:type="dxa"/>
            <w:vAlign w:val="bottom"/>
            <w:tcBorders>
              <w:right w:val="single" w:sz="8" w:color="auto"/>
            </w:tcBorders>
            <w:vMerge w:val="continue"/>
            <w:shd w:val="clear" w:color="auto" w:fill="D9D9D9"/>
          </w:tcPr>
          <w:p>
            <w:pPr>
              <w:spacing w:after="0"/>
              <w:rPr>
                <w:sz w:val="3"/>
                <w:szCs w:val="3"/>
                <w:color w:val="auto"/>
              </w:rPr>
            </w:pPr>
          </w:p>
        </w:tc>
        <w:tc>
          <w:tcPr>
            <w:tcW w:w="340" w:type="dxa"/>
            <w:vAlign w:val="bottom"/>
            <w:vMerge w:val="restart"/>
            <w:shd w:val="clear" w:color="auto" w:fill="D9D9D9"/>
          </w:tcPr>
          <w:p>
            <w:pPr>
              <w:jc w:val="center"/>
              <w:ind w:left="84"/>
              <w:spacing w:after="0"/>
              <w:rPr>
                <w:sz w:val="20"/>
                <w:szCs w:val="20"/>
                <w:color w:val="auto"/>
              </w:rPr>
            </w:pPr>
            <w:r>
              <w:rPr>
                <w:rFonts w:ascii="Arial" w:cs="Arial" w:eastAsia="Arial" w:hAnsi="Arial"/>
                <w:sz w:val="7"/>
                <w:szCs w:val="7"/>
                <w:b w:val="1"/>
                <w:bCs w:val="1"/>
                <w:color w:val="auto"/>
                <w:w w:val="88"/>
              </w:rPr>
              <w:t>expired</w:t>
            </w:r>
          </w:p>
        </w:tc>
        <w:tc>
          <w:tcPr>
            <w:tcW w:w="200" w:type="dxa"/>
            <w:vAlign w:val="bottom"/>
            <w:tcBorders>
              <w:right w:val="single" w:sz="8" w:color="auto"/>
            </w:tcBorders>
            <w:shd w:val="clear" w:color="auto" w:fill="D9D9D9"/>
          </w:tcPr>
          <w:p>
            <w:pPr>
              <w:spacing w:after="0"/>
              <w:rPr>
                <w:sz w:val="3"/>
                <w:szCs w:val="3"/>
                <w:color w:val="auto"/>
              </w:rPr>
            </w:pPr>
          </w:p>
        </w:tc>
        <w:tc>
          <w:tcPr>
            <w:tcW w:w="720" w:type="dxa"/>
            <w:vAlign w:val="bottom"/>
            <w:tcBorders>
              <w:right w:val="single" w:sz="8" w:color="auto"/>
            </w:tcBorders>
            <w:vMerge w:val="continue"/>
            <w:shd w:val="clear" w:color="auto" w:fill="D9D9D9"/>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60" w:type="dxa"/>
            <w:vAlign w:val="bottom"/>
            <w:tcBorders>
              <w:right w:val="single" w:sz="8" w:color="auto"/>
            </w:tcBorders>
          </w:tcPr>
          <w:p>
            <w:pPr>
              <w:spacing w:after="0"/>
              <w:rPr>
                <w:sz w:val="9"/>
                <w:szCs w:val="9"/>
                <w:color w:val="auto"/>
              </w:rPr>
            </w:pPr>
          </w:p>
        </w:tc>
        <w:tc>
          <w:tcPr>
            <w:tcW w:w="500" w:type="dxa"/>
            <w:vAlign w:val="bottom"/>
            <w:tcBorders>
              <w:bottom w:val="single" w:sz="8" w:color="auto"/>
              <w:right w:val="single" w:sz="8" w:color="auto"/>
            </w:tcBorders>
            <w:shd w:val="clear" w:color="auto" w:fill="000000"/>
          </w:tcPr>
          <w:p>
            <w:pPr>
              <w:spacing w:after="0"/>
              <w:rPr>
                <w:sz w:val="9"/>
                <w:szCs w:val="9"/>
                <w:color w:val="auto"/>
              </w:rPr>
            </w:pPr>
          </w:p>
        </w:tc>
        <w:tc>
          <w:tcPr>
            <w:tcW w:w="74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540" w:type="dxa"/>
            <w:vAlign w:val="bottom"/>
            <w:tcBorders>
              <w:bottom w:val="single" w:sz="8" w:color="D9D9D9"/>
              <w:right w:val="single" w:sz="8" w:color="auto"/>
            </w:tcBorders>
            <w:shd w:val="clear" w:color="auto" w:fill="D9D9D9"/>
          </w:tcPr>
          <w:p>
            <w:pPr>
              <w:jc w:val="center"/>
              <w:ind w:right="38"/>
              <w:spacing w:after="0"/>
              <w:rPr>
                <w:sz w:val="20"/>
                <w:szCs w:val="20"/>
                <w:color w:val="auto"/>
              </w:rPr>
            </w:pPr>
            <w:r>
              <w:rPr>
                <w:rFonts w:ascii="Arial" w:cs="Arial" w:eastAsia="Arial" w:hAnsi="Arial"/>
                <w:sz w:val="7"/>
                <w:szCs w:val="7"/>
                <w:b w:val="1"/>
                <w:bCs w:val="1"/>
                <w:color w:val="auto"/>
                <w:w w:val="93"/>
              </w:rPr>
              <w:t>Tax Returns</w:t>
            </w:r>
          </w:p>
        </w:tc>
        <w:tc>
          <w:tcPr>
            <w:tcW w:w="60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740" w:type="dxa"/>
            <w:vAlign w:val="bottom"/>
            <w:tcBorders>
              <w:bottom w:val="single" w:sz="8" w:color="D9D9D9"/>
              <w:right w:val="single" w:sz="8" w:color="auto"/>
            </w:tcBorders>
            <w:shd w:val="clear" w:color="auto" w:fill="D9D9D9"/>
          </w:tcPr>
          <w:p>
            <w:pPr>
              <w:spacing w:after="0"/>
              <w:rPr>
                <w:sz w:val="9"/>
                <w:szCs w:val="9"/>
                <w:color w:val="auto"/>
              </w:rPr>
            </w:pPr>
          </w:p>
        </w:tc>
        <w:tc>
          <w:tcPr>
            <w:tcW w:w="74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660" w:type="dxa"/>
            <w:vAlign w:val="bottom"/>
            <w:tcBorders>
              <w:bottom w:val="single" w:sz="8" w:color="D9D9D9"/>
              <w:right w:val="single" w:sz="8" w:color="auto"/>
            </w:tcBorders>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90"/>
              </w:rPr>
              <w:t>Returns</w:t>
            </w:r>
          </w:p>
        </w:tc>
        <w:tc>
          <w:tcPr>
            <w:tcW w:w="52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720" w:type="dxa"/>
            <w:vAlign w:val="bottom"/>
            <w:tcBorders>
              <w:bottom w:val="single" w:sz="8" w:color="D9D9D9"/>
              <w:right w:val="single" w:sz="8" w:color="auto"/>
            </w:tcBorders>
            <w:shd w:val="clear" w:color="auto" w:fill="D9D9D9"/>
          </w:tcPr>
          <w:p>
            <w:pPr>
              <w:spacing w:after="0"/>
              <w:rPr>
                <w:sz w:val="9"/>
                <w:szCs w:val="9"/>
                <w:color w:val="auto"/>
              </w:rPr>
            </w:pPr>
          </w:p>
        </w:tc>
        <w:tc>
          <w:tcPr>
            <w:tcW w:w="74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640" w:type="dxa"/>
            <w:vAlign w:val="bottom"/>
            <w:tcBorders>
              <w:bottom w:val="single" w:sz="8" w:color="D9D9D9"/>
              <w:right w:val="single" w:sz="8" w:color="auto"/>
            </w:tcBorders>
            <w:shd w:val="clear" w:color="auto" w:fill="D9D9D9"/>
          </w:tcPr>
          <w:p>
            <w:pPr>
              <w:jc w:val="center"/>
              <w:ind w:right="38"/>
              <w:spacing w:after="0"/>
              <w:rPr>
                <w:sz w:val="20"/>
                <w:szCs w:val="20"/>
                <w:color w:val="auto"/>
              </w:rPr>
            </w:pPr>
            <w:r>
              <w:rPr>
                <w:rFonts w:ascii="Arial" w:cs="Arial" w:eastAsia="Arial" w:hAnsi="Arial"/>
                <w:sz w:val="7"/>
                <w:szCs w:val="7"/>
                <w:b w:val="1"/>
                <w:bCs w:val="1"/>
                <w:color w:val="auto"/>
                <w:w w:val="90"/>
              </w:rPr>
              <w:t>Returns</w:t>
            </w:r>
          </w:p>
        </w:tc>
        <w:tc>
          <w:tcPr>
            <w:tcW w:w="58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740" w:type="dxa"/>
            <w:vAlign w:val="bottom"/>
            <w:tcBorders>
              <w:bottom w:val="single" w:sz="8" w:color="D9D9D9"/>
              <w:right w:val="single" w:sz="8" w:color="auto"/>
            </w:tcBorders>
            <w:shd w:val="clear" w:color="auto" w:fill="D9D9D9"/>
          </w:tcPr>
          <w:p>
            <w:pPr>
              <w:spacing w:after="0"/>
              <w:rPr>
                <w:sz w:val="9"/>
                <w:szCs w:val="9"/>
                <w:color w:val="auto"/>
              </w:rPr>
            </w:pPr>
          </w:p>
        </w:tc>
        <w:tc>
          <w:tcPr>
            <w:tcW w:w="72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640" w:type="dxa"/>
            <w:vAlign w:val="bottom"/>
            <w:tcBorders>
              <w:bottom w:val="single" w:sz="8" w:color="D9D9D9"/>
              <w:right w:val="single" w:sz="8" w:color="auto"/>
            </w:tcBorders>
            <w:shd w:val="clear" w:color="auto" w:fill="D9D9D9"/>
          </w:tcPr>
          <w:p>
            <w:pPr>
              <w:jc w:val="center"/>
              <w:ind w:right="38"/>
              <w:spacing w:after="0"/>
              <w:rPr>
                <w:sz w:val="20"/>
                <w:szCs w:val="20"/>
                <w:color w:val="auto"/>
              </w:rPr>
            </w:pPr>
            <w:r>
              <w:rPr>
                <w:rFonts w:ascii="Arial" w:cs="Arial" w:eastAsia="Arial" w:hAnsi="Arial"/>
                <w:sz w:val="7"/>
                <w:szCs w:val="7"/>
                <w:b w:val="1"/>
                <w:bCs w:val="1"/>
                <w:color w:val="auto"/>
                <w:w w:val="90"/>
              </w:rPr>
              <w:t>Returns</w:t>
            </w:r>
          </w:p>
        </w:tc>
        <w:tc>
          <w:tcPr>
            <w:tcW w:w="340" w:type="dxa"/>
            <w:vAlign w:val="bottom"/>
            <w:tcBorders>
              <w:bottom w:val="single" w:sz="8" w:color="D9D9D9"/>
            </w:tcBorders>
            <w:vMerge w:val="continue"/>
            <w:shd w:val="clear" w:color="auto" w:fill="D9D9D9"/>
          </w:tcPr>
          <w:p>
            <w:pPr>
              <w:spacing w:after="0"/>
              <w:rPr>
                <w:sz w:val="9"/>
                <w:szCs w:val="9"/>
                <w:color w:val="auto"/>
              </w:rPr>
            </w:pPr>
          </w:p>
        </w:tc>
        <w:tc>
          <w:tcPr>
            <w:tcW w:w="200" w:type="dxa"/>
            <w:vAlign w:val="bottom"/>
            <w:tcBorders>
              <w:bottom w:val="single" w:sz="8" w:color="D9D9D9"/>
              <w:right w:val="single" w:sz="8" w:color="auto"/>
            </w:tcBorders>
            <w:shd w:val="clear" w:color="auto" w:fill="D9D9D9"/>
          </w:tcPr>
          <w:p>
            <w:pPr>
              <w:spacing w:after="0"/>
              <w:rPr>
                <w:sz w:val="9"/>
                <w:szCs w:val="9"/>
                <w:color w:val="auto"/>
              </w:rPr>
            </w:pPr>
          </w:p>
        </w:tc>
        <w:tc>
          <w:tcPr>
            <w:tcW w:w="720" w:type="dxa"/>
            <w:vAlign w:val="bottom"/>
            <w:tcBorders>
              <w:bottom w:val="single" w:sz="8" w:color="D9D9D9"/>
              <w:right w:val="single" w:sz="8" w:color="auto"/>
            </w:tcBorders>
            <w:shd w:val="clear" w:color="auto" w:fill="D9D9D9"/>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0" w:type="dxa"/>
            <w:vAlign w:val="bottom"/>
            <w:tcBorders>
              <w:right w:val="single" w:sz="8" w:color="auto"/>
            </w:tcBorders>
          </w:tcPr>
          <w:p>
            <w:pPr>
              <w:spacing w:after="0"/>
              <w:rPr>
                <w:sz w:val="8"/>
                <w:szCs w:val="8"/>
                <w:color w:val="auto"/>
              </w:rPr>
            </w:pPr>
          </w:p>
        </w:tc>
        <w:tc>
          <w:tcPr>
            <w:tcW w:w="500" w:type="dxa"/>
            <w:vAlign w:val="bottom"/>
            <w:tcBorders>
              <w:top w:val="single" w:sz="8" w:color="auto"/>
              <w:right w:val="single" w:sz="8" w:color="auto"/>
            </w:tcBorders>
          </w:tcPr>
          <w:p>
            <w:pPr>
              <w:jc w:val="center"/>
              <w:spacing w:after="0" w:line="101" w:lineRule="exact"/>
              <w:rPr>
                <w:sz w:val="20"/>
                <w:szCs w:val="20"/>
                <w:color w:val="auto"/>
              </w:rPr>
            </w:pPr>
            <w:r>
              <w:rPr>
                <w:rFonts w:ascii="Arial" w:cs="Arial" w:eastAsia="Arial" w:hAnsi="Arial"/>
                <w:sz w:val="9"/>
                <w:szCs w:val="9"/>
                <w:color w:val="auto"/>
                <w:w w:val="91"/>
              </w:rPr>
              <w:t>Federal</w:t>
            </w:r>
          </w:p>
        </w:tc>
        <w:tc>
          <w:tcPr>
            <w:tcW w:w="740" w:type="dxa"/>
            <w:vAlign w:val="bottom"/>
            <w:tcBorders>
              <w:top w:val="single" w:sz="8" w:color="auto"/>
              <w:right w:val="single" w:sz="8" w:color="auto"/>
            </w:tcBorders>
          </w:tcPr>
          <w:p>
            <w:pPr>
              <w:spacing w:after="0"/>
              <w:rPr>
                <w:sz w:val="8"/>
                <w:szCs w:val="8"/>
                <w:color w:val="auto"/>
              </w:rPr>
            </w:pPr>
          </w:p>
        </w:tc>
        <w:tc>
          <w:tcPr>
            <w:tcW w:w="540" w:type="dxa"/>
            <w:vAlign w:val="bottom"/>
            <w:tcBorders>
              <w:top w:val="single" w:sz="8" w:color="auto"/>
              <w:right w:val="single" w:sz="8" w:color="auto"/>
            </w:tcBorders>
          </w:tcPr>
          <w:p>
            <w:pPr>
              <w:spacing w:after="0"/>
              <w:rPr>
                <w:sz w:val="8"/>
                <w:szCs w:val="8"/>
                <w:color w:val="auto"/>
              </w:rPr>
            </w:pPr>
          </w:p>
        </w:tc>
        <w:tc>
          <w:tcPr>
            <w:tcW w:w="600" w:type="dxa"/>
            <w:vAlign w:val="bottom"/>
            <w:tcBorders>
              <w:top w:val="single" w:sz="8" w:color="auto"/>
              <w:right w:val="single" w:sz="8" w:color="auto"/>
            </w:tcBorders>
          </w:tcPr>
          <w:p>
            <w:pPr>
              <w:spacing w:after="0"/>
              <w:rPr>
                <w:sz w:val="8"/>
                <w:szCs w:val="8"/>
                <w:color w:val="auto"/>
              </w:rPr>
            </w:pPr>
          </w:p>
        </w:tc>
        <w:tc>
          <w:tcPr>
            <w:tcW w:w="740" w:type="dxa"/>
            <w:vAlign w:val="bottom"/>
            <w:tcBorders>
              <w:top w:val="single" w:sz="8" w:color="auto"/>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$3,723,479</w:t>
            </w:r>
          </w:p>
        </w:tc>
        <w:tc>
          <w:tcPr>
            <w:tcW w:w="740" w:type="dxa"/>
            <w:vAlign w:val="bottom"/>
            <w:tcBorders>
              <w:top w:val="single" w:sz="8" w:color="auto"/>
              <w:right w:val="single" w:sz="8" w:color="auto"/>
            </w:tcBorders>
          </w:tcPr>
          <w:p>
            <w:pPr>
              <w:spacing w:after="0"/>
              <w:rPr>
                <w:sz w:val="8"/>
                <w:szCs w:val="8"/>
                <w:color w:val="auto"/>
              </w:rPr>
            </w:pPr>
          </w:p>
        </w:tc>
        <w:tc>
          <w:tcPr>
            <w:tcW w:w="660" w:type="dxa"/>
            <w:vAlign w:val="bottom"/>
            <w:tcBorders>
              <w:top w:val="single" w:sz="8" w:color="auto"/>
              <w:right w:val="single" w:sz="8" w:color="auto"/>
            </w:tcBorders>
          </w:tcPr>
          <w:p>
            <w:pPr>
              <w:spacing w:after="0"/>
              <w:rPr>
                <w:sz w:val="8"/>
                <w:szCs w:val="8"/>
                <w:color w:val="auto"/>
              </w:rPr>
            </w:pPr>
          </w:p>
        </w:tc>
        <w:tc>
          <w:tcPr>
            <w:tcW w:w="520" w:type="dxa"/>
            <w:vAlign w:val="bottom"/>
            <w:tcBorders>
              <w:top w:val="single" w:sz="8" w:color="auto"/>
              <w:right w:val="single" w:sz="8" w:color="auto"/>
            </w:tcBorders>
          </w:tcPr>
          <w:p>
            <w:pPr>
              <w:spacing w:after="0"/>
              <w:rPr>
                <w:sz w:val="8"/>
                <w:szCs w:val="8"/>
                <w:color w:val="auto"/>
              </w:rPr>
            </w:pPr>
          </w:p>
        </w:tc>
        <w:tc>
          <w:tcPr>
            <w:tcW w:w="720" w:type="dxa"/>
            <w:vAlign w:val="bottom"/>
            <w:tcBorders>
              <w:top w:val="single" w:sz="8" w:color="auto"/>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$3,723,479</w:t>
            </w:r>
          </w:p>
        </w:tc>
        <w:tc>
          <w:tcPr>
            <w:tcW w:w="740" w:type="dxa"/>
            <w:vAlign w:val="bottom"/>
            <w:tcBorders>
              <w:top w:val="single" w:sz="8" w:color="auto"/>
              <w:right w:val="single" w:sz="8" w:color="auto"/>
            </w:tcBorders>
          </w:tcPr>
          <w:p>
            <w:pPr>
              <w:spacing w:after="0"/>
              <w:rPr>
                <w:sz w:val="8"/>
                <w:szCs w:val="8"/>
                <w:color w:val="auto"/>
              </w:rPr>
            </w:pPr>
          </w:p>
        </w:tc>
        <w:tc>
          <w:tcPr>
            <w:tcW w:w="640" w:type="dxa"/>
            <w:vAlign w:val="bottom"/>
            <w:tcBorders>
              <w:top w:val="single" w:sz="8" w:color="auto"/>
              <w:right w:val="single" w:sz="8" w:color="auto"/>
            </w:tcBorders>
          </w:tcPr>
          <w:p>
            <w:pPr>
              <w:spacing w:after="0"/>
              <w:rPr>
                <w:sz w:val="8"/>
                <w:szCs w:val="8"/>
                <w:color w:val="auto"/>
              </w:rPr>
            </w:pPr>
          </w:p>
        </w:tc>
        <w:tc>
          <w:tcPr>
            <w:tcW w:w="580" w:type="dxa"/>
            <w:vAlign w:val="bottom"/>
            <w:tcBorders>
              <w:top w:val="single" w:sz="8" w:color="auto"/>
              <w:right w:val="single" w:sz="8" w:color="auto"/>
            </w:tcBorders>
          </w:tcPr>
          <w:p>
            <w:pPr>
              <w:spacing w:after="0"/>
              <w:rPr>
                <w:sz w:val="8"/>
                <w:szCs w:val="8"/>
                <w:color w:val="auto"/>
              </w:rPr>
            </w:pPr>
          </w:p>
        </w:tc>
        <w:tc>
          <w:tcPr>
            <w:tcW w:w="740" w:type="dxa"/>
            <w:vAlign w:val="bottom"/>
            <w:tcBorders>
              <w:top w:val="single" w:sz="8" w:color="auto"/>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$1,953,479</w:t>
            </w:r>
          </w:p>
        </w:tc>
        <w:tc>
          <w:tcPr>
            <w:tcW w:w="720" w:type="dxa"/>
            <w:vAlign w:val="bottom"/>
            <w:tcBorders>
              <w:top w:val="single" w:sz="8" w:color="auto"/>
              <w:right w:val="single" w:sz="8" w:color="auto"/>
            </w:tcBorders>
          </w:tcPr>
          <w:p>
            <w:pPr>
              <w:spacing w:after="0"/>
              <w:rPr>
                <w:sz w:val="8"/>
                <w:szCs w:val="8"/>
                <w:color w:val="auto"/>
              </w:rPr>
            </w:pPr>
          </w:p>
        </w:tc>
        <w:tc>
          <w:tcPr>
            <w:tcW w:w="640" w:type="dxa"/>
            <w:vAlign w:val="bottom"/>
            <w:tcBorders>
              <w:top w:val="single" w:sz="8" w:color="auto"/>
              <w:right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Borders>
              <w:top w:val="single" w:sz="8" w:color="auto"/>
              <w:right w:val="single" w:sz="8" w:color="auto"/>
            </w:tcBorders>
          </w:tcPr>
          <w:p>
            <w:pPr>
              <w:spacing w:after="0"/>
              <w:rPr>
                <w:sz w:val="8"/>
                <w:szCs w:val="8"/>
                <w:color w:val="auto"/>
              </w:rPr>
            </w:pPr>
          </w:p>
        </w:tc>
        <w:tc>
          <w:tcPr>
            <w:tcW w:w="720" w:type="dxa"/>
            <w:vAlign w:val="bottom"/>
            <w:tcBorders>
              <w:top w:val="single" w:sz="8" w:color="auto"/>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$600,479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color w:val="auto"/>
                <w:w w:val="91"/>
              </w:rPr>
              <w:t>Foreign Tax</w:t>
            </w:r>
          </w:p>
        </w:tc>
        <w:tc>
          <w:tcPr>
            <w:tcW w:w="74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$3,723,479</w:t>
            </w:r>
          </w:p>
        </w:tc>
        <w:tc>
          <w:tcPr>
            <w:tcW w:w="54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60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$3,723,479</w:t>
            </w:r>
          </w:p>
        </w:tc>
        <w:tc>
          <w:tcPr>
            <w:tcW w:w="66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52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$3,723,479</w:t>
            </w:r>
          </w:p>
        </w:tc>
        <w:tc>
          <w:tcPr>
            <w:tcW w:w="64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$1,870,000</w:t>
            </w:r>
          </w:p>
        </w:tc>
        <w:tc>
          <w:tcPr>
            <w:tcW w:w="58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$1,853,479</w:t>
            </w:r>
          </w:p>
        </w:tc>
        <w:tc>
          <w:tcPr>
            <w:tcW w:w="64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$1,245,000</w:t>
            </w:r>
          </w:p>
        </w:tc>
        <w:tc>
          <w:tcPr>
            <w:tcW w:w="340" w:type="dxa"/>
            <w:vAlign w:val="bottom"/>
          </w:tcPr>
          <w:p>
            <w:pPr>
              <w:spacing w:after="0"/>
              <w:rPr>
                <w:sz w:val="8"/>
                <w:szCs w:val="8"/>
                <w:color w:val="auto"/>
              </w:rPr>
            </w:pPr>
          </w:p>
        </w:tc>
        <w:tc>
          <w:tcPr>
            <w:tcW w:w="200" w:type="dxa"/>
            <w:vAlign w:val="bottom"/>
            <w:tcBorders>
              <w:right w:val="single" w:sz="8" w:color="auto"/>
            </w:tcBorders>
          </w:tcPr>
          <w:p>
            <w:pPr>
              <w:jc w:val="right"/>
              <w:ind w:right="55"/>
              <w:spacing w:after="0" w:line="95" w:lineRule="exact"/>
              <w:rPr>
                <w:sz w:val="20"/>
                <w:szCs w:val="20"/>
                <w:color w:val="auto"/>
              </w:rPr>
            </w:pPr>
            <w:r>
              <w:rPr>
                <w:rFonts w:ascii="Arial" w:cs="Arial" w:eastAsia="Arial" w:hAnsi="Arial"/>
                <w:sz w:val="9"/>
                <w:szCs w:val="9"/>
                <w:color w:val="auto"/>
                <w:w w:val="79"/>
              </w:rPr>
              <w:t>$0</w:t>
            </w:r>
          </w:p>
        </w:tc>
        <w:tc>
          <w:tcPr>
            <w:tcW w:w="72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60" w:type="dxa"/>
            <w:vAlign w:val="bottom"/>
            <w:tcBorders>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91"/>
              </w:rPr>
              <w:t>Credits</w:t>
            </w:r>
          </w:p>
        </w:tc>
        <w:tc>
          <w:tcPr>
            <w:tcW w:w="740" w:type="dxa"/>
            <w:vAlign w:val="bottom"/>
            <w:tcBorders>
              <w:bottom w:val="single" w:sz="8" w:color="auto"/>
              <w:right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ind w:right="56"/>
              <w:spacing w:after="0" w:line="101" w:lineRule="exact"/>
              <w:rPr>
                <w:sz w:val="20"/>
                <w:szCs w:val="20"/>
                <w:color w:val="auto"/>
              </w:rPr>
            </w:pPr>
            <w:r>
              <w:rPr>
                <w:rFonts w:ascii="Arial" w:cs="Arial" w:eastAsia="Arial" w:hAnsi="Arial"/>
                <w:sz w:val="9"/>
                <w:szCs w:val="9"/>
                <w:color w:val="auto"/>
              </w:rPr>
              <w:t>R&amp;D</w:t>
            </w:r>
          </w:p>
        </w:tc>
        <w:tc>
          <w:tcPr>
            <w:tcW w:w="7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$6,986,677</w:t>
            </w:r>
          </w:p>
        </w:tc>
        <w:tc>
          <w:tcPr>
            <w:tcW w:w="5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60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$6,986,677</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$6,986,677</w:t>
            </w:r>
          </w:p>
        </w:tc>
        <w:tc>
          <w:tcPr>
            <w:tcW w:w="6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$4,529,177</w:t>
            </w:r>
          </w:p>
        </w:tc>
        <w:tc>
          <w:tcPr>
            <w:tcW w:w="5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$2,457,5110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$2,457,500</w:t>
            </w:r>
          </w:p>
        </w:tc>
        <w:tc>
          <w:tcPr>
            <w:tcW w:w="6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$2,457,500</w:t>
            </w:r>
          </w:p>
        </w:tc>
        <w:tc>
          <w:tcPr>
            <w:tcW w:w="58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6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340" w:type="dxa"/>
            <w:vAlign w:val="bottom"/>
          </w:tcPr>
          <w:p>
            <w:pPr>
              <w:spacing w:after="0"/>
              <w:rPr>
                <w:sz w:val="8"/>
                <w:szCs w:val="8"/>
                <w:color w:val="auto"/>
              </w:rPr>
            </w:pPr>
          </w:p>
        </w:tc>
        <w:tc>
          <w:tcPr>
            <w:tcW w:w="200" w:type="dxa"/>
            <w:vAlign w:val="bottom"/>
            <w:tcBorders>
              <w:right w:val="single" w:sz="8" w:color="auto"/>
            </w:tcBorders>
            <w:vMerge w:val="restart"/>
          </w:tcPr>
          <w:p>
            <w:pPr>
              <w:jc w:val="right"/>
              <w:ind w:right="55"/>
              <w:spacing w:after="0"/>
              <w:rPr>
                <w:sz w:val="20"/>
                <w:szCs w:val="20"/>
                <w:color w:val="auto"/>
              </w:rPr>
            </w:pPr>
            <w:r>
              <w:rPr>
                <w:rFonts w:ascii="Arial" w:cs="Arial" w:eastAsia="Arial" w:hAnsi="Arial"/>
                <w:sz w:val="9"/>
                <w:szCs w:val="9"/>
                <w:color w:val="auto"/>
                <w:w w:val="79"/>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6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vMerge w:val="restart"/>
          </w:tcPr>
          <w:p>
            <w:pPr>
              <w:jc w:val="center"/>
              <w:ind w:right="36"/>
              <w:spacing w:after="0"/>
              <w:rPr>
                <w:sz w:val="20"/>
                <w:szCs w:val="20"/>
                <w:color w:val="auto"/>
              </w:rPr>
            </w:pPr>
            <w:r>
              <w:rPr>
                <w:rFonts w:ascii="Arial" w:cs="Arial" w:eastAsia="Arial" w:hAnsi="Arial"/>
                <w:sz w:val="9"/>
                <w:szCs w:val="9"/>
                <w:color w:val="auto"/>
                <w:w w:val="91"/>
              </w:rPr>
              <w:t>Credits</w:t>
            </w:r>
          </w:p>
        </w:tc>
        <w:tc>
          <w:tcPr>
            <w:tcW w:w="74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0" w:type="dxa"/>
            <w:vAlign w:val="bottom"/>
            <w:tcBorders>
              <w:right w:val="single" w:sz="8" w:color="auto"/>
            </w:tcBorders>
          </w:tcPr>
          <w:p>
            <w:pPr>
              <w:spacing w:after="0"/>
              <w:rPr>
                <w:sz w:val="5"/>
                <w:szCs w:val="5"/>
                <w:color w:val="auto"/>
              </w:rPr>
            </w:pPr>
          </w:p>
        </w:tc>
        <w:tc>
          <w:tcPr>
            <w:tcW w:w="50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ind w:right="56"/>
              <w:spacing w:after="0" w:line="101" w:lineRule="exact"/>
              <w:rPr>
                <w:sz w:val="20"/>
                <w:szCs w:val="20"/>
                <w:color w:val="auto"/>
              </w:rPr>
            </w:pPr>
            <w:r>
              <w:rPr>
                <w:rFonts w:ascii="Arial" w:cs="Arial" w:eastAsia="Arial" w:hAnsi="Arial"/>
                <w:sz w:val="9"/>
                <w:szCs w:val="9"/>
                <w:color w:val="auto"/>
              </w:rPr>
              <w:t>AMT</w:t>
            </w:r>
          </w:p>
        </w:tc>
        <w:tc>
          <w:tcPr>
            <w:tcW w:w="7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$932,484</w:t>
            </w:r>
          </w:p>
        </w:tc>
        <w:tc>
          <w:tcPr>
            <w:tcW w:w="5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60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$932,484</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$932,484</w:t>
            </w:r>
          </w:p>
        </w:tc>
        <w:tc>
          <w:tcPr>
            <w:tcW w:w="6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$932,484</w:t>
            </w:r>
          </w:p>
        </w:tc>
        <w:tc>
          <w:tcPr>
            <w:tcW w:w="5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6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58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6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340" w:type="dxa"/>
            <w:vAlign w:val="bottom"/>
          </w:tcPr>
          <w:p>
            <w:pPr>
              <w:spacing w:after="0"/>
              <w:rPr>
                <w:sz w:val="8"/>
                <w:szCs w:val="8"/>
                <w:color w:val="auto"/>
              </w:rPr>
            </w:pPr>
          </w:p>
        </w:tc>
        <w:tc>
          <w:tcPr>
            <w:tcW w:w="200" w:type="dxa"/>
            <w:vAlign w:val="bottom"/>
            <w:tcBorders>
              <w:right w:val="single" w:sz="8" w:color="auto"/>
            </w:tcBorders>
            <w:vMerge w:val="restart"/>
          </w:tcPr>
          <w:p>
            <w:pPr>
              <w:jc w:val="right"/>
              <w:ind w:right="55"/>
              <w:spacing w:after="0"/>
              <w:rPr>
                <w:sz w:val="20"/>
                <w:szCs w:val="20"/>
                <w:color w:val="auto"/>
              </w:rPr>
            </w:pPr>
            <w:r>
              <w:rPr>
                <w:rFonts w:ascii="Arial" w:cs="Arial" w:eastAsia="Arial" w:hAnsi="Arial"/>
                <w:sz w:val="9"/>
                <w:szCs w:val="9"/>
                <w:color w:val="auto"/>
                <w:w w:val="79"/>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6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vMerge w:val="restart"/>
          </w:tcPr>
          <w:p>
            <w:pPr>
              <w:jc w:val="center"/>
              <w:ind w:right="36"/>
              <w:spacing w:after="0"/>
              <w:rPr>
                <w:sz w:val="20"/>
                <w:szCs w:val="20"/>
                <w:color w:val="auto"/>
              </w:rPr>
            </w:pPr>
            <w:r>
              <w:rPr>
                <w:rFonts w:ascii="Arial" w:cs="Arial" w:eastAsia="Arial" w:hAnsi="Arial"/>
                <w:sz w:val="9"/>
                <w:szCs w:val="9"/>
                <w:color w:val="auto"/>
                <w:w w:val="91"/>
              </w:rPr>
              <w:t>Credits</w:t>
            </w:r>
          </w:p>
        </w:tc>
        <w:tc>
          <w:tcPr>
            <w:tcW w:w="74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0" w:type="dxa"/>
            <w:vAlign w:val="bottom"/>
            <w:tcBorders>
              <w:right w:val="single" w:sz="8" w:color="auto"/>
            </w:tcBorders>
          </w:tcPr>
          <w:p>
            <w:pPr>
              <w:spacing w:after="0"/>
              <w:rPr>
                <w:sz w:val="5"/>
                <w:szCs w:val="5"/>
                <w:color w:val="auto"/>
              </w:rPr>
            </w:pPr>
          </w:p>
        </w:tc>
        <w:tc>
          <w:tcPr>
            <w:tcW w:w="50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9"/>
                <w:szCs w:val="9"/>
                <w:color w:val="auto"/>
                <w:w w:val="95"/>
              </w:rPr>
              <w:t>State NOL</w:t>
            </w:r>
          </w:p>
        </w:tc>
        <w:tc>
          <w:tcPr>
            <w:tcW w:w="7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$24,491,610</w:t>
            </w:r>
          </w:p>
        </w:tc>
        <w:tc>
          <w:tcPr>
            <w:tcW w:w="5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60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$320,940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$24,170,670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$24,170,670</w:t>
            </w:r>
          </w:p>
        </w:tc>
        <w:tc>
          <w:tcPr>
            <w:tcW w:w="6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$1,623,355</w:t>
            </w:r>
          </w:p>
        </w:tc>
        <w:tc>
          <w:tcPr>
            <w:tcW w:w="5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$10,285</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$22,537,031</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$22,537,031</w:t>
            </w:r>
          </w:p>
        </w:tc>
        <w:tc>
          <w:tcPr>
            <w:tcW w:w="6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$3,041,129</w:t>
            </w:r>
          </w:p>
        </w:tc>
        <w:tc>
          <w:tcPr>
            <w:tcW w:w="58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$304,809</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$19,191,092</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$19,191,092</w:t>
            </w:r>
          </w:p>
        </w:tc>
        <w:tc>
          <w:tcPr>
            <w:tcW w:w="6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9"/>
                <w:szCs w:val="9"/>
                <w:color w:val="auto"/>
              </w:rPr>
              <w:t>$2,451,881</w:t>
            </w:r>
          </w:p>
        </w:tc>
        <w:tc>
          <w:tcPr>
            <w:tcW w:w="340" w:type="dxa"/>
            <w:vAlign w:val="bottom"/>
          </w:tcPr>
          <w:p>
            <w:pPr>
              <w:spacing w:after="0"/>
              <w:rPr>
                <w:sz w:val="8"/>
                <w:szCs w:val="8"/>
                <w:color w:val="auto"/>
              </w:rPr>
            </w:pPr>
          </w:p>
        </w:tc>
        <w:tc>
          <w:tcPr>
            <w:tcW w:w="200" w:type="dxa"/>
            <w:vAlign w:val="bottom"/>
            <w:tcBorders>
              <w:right w:val="single" w:sz="8" w:color="auto"/>
            </w:tcBorders>
            <w:vMerge w:val="restart"/>
          </w:tcPr>
          <w:p>
            <w:pPr>
              <w:jc w:val="right"/>
              <w:ind w:right="55"/>
              <w:spacing w:after="0"/>
              <w:rPr>
                <w:sz w:val="20"/>
                <w:szCs w:val="20"/>
                <w:color w:val="auto"/>
              </w:rPr>
            </w:pPr>
            <w:r>
              <w:rPr>
                <w:rFonts w:ascii="Arial" w:cs="Arial" w:eastAsia="Arial" w:hAnsi="Arial"/>
                <w:sz w:val="9"/>
                <w:szCs w:val="9"/>
                <w:color w:val="auto"/>
                <w:w w:val="79"/>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$16,739,212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6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89"/>
              </w:rPr>
              <w:t>Gross DTA</w:t>
            </w:r>
          </w:p>
        </w:tc>
        <w:tc>
          <w:tcPr>
            <w:tcW w:w="74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0" w:type="dxa"/>
            <w:vAlign w:val="bottom"/>
            <w:tcBorders>
              <w:right w:val="single" w:sz="8" w:color="auto"/>
            </w:tcBorders>
          </w:tcPr>
          <w:p>
            <w:pPr>
              <w:spacing w:after="0"/>
              <w:rPr>
                <w:sz w:val="5"/>
                <w:szCs w:val="5"/>
                <w:color w:val="auto"/>
              </w:rPr>
            </w:pPr>
          </w:p>
        </w:tc>
        <w:tc>
          <w:tcPr>
            <w:tcW w:w="50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9"/>
                <w:szCs w:val="9"/>
                <w:color w:val="auto"/>
                <w:w w:val="95"/>
              </w:rPr>
              <w:t>State NOL</w:t>
            </w:r>
          </w:p>
        </w:tc>
        <w:tc>
          <w:tcPr>
            <w:tcW w:w="7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5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60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6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5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6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58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6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340" w:type="dxa"/>
            <w:vAlign w:val="bottom"/>
          </w:tcPr>
          <w:p>
            <w:pPr>
              <w:spacing w:after="0"/>
              <w:rPr>
                <w:sz w:val="8"/>
                <w:szCs w:val="8"/>
                <w:color w:val="auto"/>
              </w:rPr>
            </w:pPr>
          </w:p>
        </w:tc>
        <w:tc>
          <w:tcPr>
            <w:tcW w:w="200" w:type="dxa"/>
            <w:vAlign w:val="bottom"/>
            <w:tcBorders>
              <w:right w:val="single" w:sz="8" w:color="auto"/>
            </w:tcBorders>
            <w:vMerge w:val="restart"/>
          </w:tcPr>
          <w:p>
            <w:pPr>
              <w:jc w:val="right"/>
              <w:ind w:right="55"/>
              <w:spacing w:after="0"/>
              <w:rPr>
                <w:sz w:val="20"/>
                <w:szCs w:val="20"/>
                <w:color w:val="auto"/>
              </w:rPr>
            </w:pPr>
            <w:r>
              <w:rPr>
                <w:rFonts w:ascii="Arial" w:cs="Arial" w:eastAsia="Arial" w:hAnsi="Arial"/>
                <w:sz w:val="9"/>
                <w:szCs w:val="9"/>
                <w:color w:val="auto"/>
                <w:w w:val="79"/>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6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3"/>
              </w:rPr>
              <w:t>Gross VA</w:t>
            </w:r>
          </w:p>
        </w:tc>
        <w:tc>
          <w:tcPr>
            <w:tcW w:w="74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0" w:type="dxa"/>
            <w:vAlign w:val="bottom"/>
            <w:tcBorders>
              <w:right w:val="single" w:sz="8" w:color="auto"/>
            </w:tcBorders>
          </w:tcPr>
          <w:p>
            <w:pPr>
              <w:spacing w:after="0"/>
              <w:rPr>
                <w:sz w:val="5"/>
                <w:szCs w:val="5"/>
                <w:color w:val="auto"/>
              </w:rPr>
            </w:pPr>
          </w:p>
        </w:tc>
        <w:tc>
          <w:tcPr>
            <w:tcW w:w="50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9"/>
                <w:szCs w:val="9"/>
                <w:color w:val="auto"/>
                <w:w w:val="85"/>
              </w:rPr>
              <w:t>State</w:t>
            </w:r>
          </w:p>
        </w:tc>
        <w:tc>
          <w:tcPr>
            <w:tcW w:w="74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$1,342,249</w:t>
            </w:r>
          </w:p>
        </w:tc>
        <w:tc>
          <w:tcPr>
            <w:tcW w:w="74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$1,342,249</w:t>
            </w:r>
          </w:p>
        </w:tc>
        <w:tc>
          <w:tcPr>
            <w:tcW w:w="74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$1,342,249</w:t>
            </w:r>
          </w:p>
        </w:tc>
        <w:tc>
          <w:tcPr>
            <w:tcW w:w="72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$1,342,249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color w:val="auto"/>
                <w:w w:val="91"/>
              </w:rPr>
              <w:t>Credits</w:t>
            </w:r>
          </w:p>
        </w:tc>
        <w:tc>
          <w:tcPr>
            <w:tcW w:w="74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$1,342,249</w:t>
            </w:r>
          </w:p>
        </w:tc>
        <w:tc>
          <w:tcPr>
            <w:tcW w:w="54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60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$1,342,249</w:t>
            </w:r>
          </w:p>
        </w:tc>
        <w:tc>
          <w:tcPr>
            <w:tcW w:w="66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52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$1,342,249</w:t>
            </w:r>
          </w:p>
        </w:tc>
        <w:tc>
          <w:tcPr>
            <w:tcW w:w="64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58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$1,342,249</w:t>
            </w:r>
          </w:p>
        </w:tc>
        <w:tc>
          <w:tcPr>
            <w:tcW w:w="64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340" w:type="dxa"/>
            <w:vAlign w:val="bottom"/>
          </w:tcPr>
          <w:p>
            <w:pPr>
              <w:spacing w:after="0"/>
              <w:rPr>
                <w:sz w:val="8"/>
                <w:szCs w:val="8"/>
                <w:color w:val="auto"/>
              </w:rPr>
            </w:pPr>
          </w:p>
        </w:tc>
        <w:tc>
          <w:tcPr>
            <w:tcW w:w="200" w:type="dxa"/>
            <w:vAlign w:val="bottom"/>
            <w:tcBorders>
              <w:right w:val="single" w:sz="8" w:color="auto"/>
            </w:tcBorders>
          </w:tcPr>
          <w:p>
            <w:pPr>
              <w:jc w:val="right"/>
              <w:ind w:right="55"/>
              <w:spacing w:after="0" w:line="95" w:lineRule="exact"/>
              <w:rPr>
                <w:sz w:val="20"/>
                <w:szCs w:val="20"/>
                <w:color w:val="auto"/>
              </w:rPr>
            </w:pPr>
            <w:r>
              <w:rPr>
                <w:rFonts w:ascii="Arial" w:cs="Arial" w:eastAsia="Arial" w:hAnsi="Arial"/>
                <w:sz w:val="9"/>
                <w:szCs w:val="9"/>
                <w:color w:val="auto"/>
                <w:w w:val="79"/>
              </w:rPr>
              <w:t>$0</w:t>
            </w:r>
          </w:p>
        </w:tc>
        <w:tc>
          <w:tcPr>
            <w:tcW w:w="72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0" w:type="dxa"/>
            <w:vAlign w:val="bottom"/>
            <w:tcBorders>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89"/>
              </w:rPr>
              <w:t>Gross DTA</w:t>
            </w:r>
          </w:p>
        </w:tc>
        <w:tc>
          <w:tcPr>
            <w:tcW w:w="7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9"/>
                <w:szCs w:val="9"/>
                <w:color w:val="auto"/>
                <w:w w:val="85"/>
              </w:rPr>
              <w:t>State</w:t>
            </w:r>
          </w:p>
        </w:tc>
        <w:tc>
          <w:tcPr>
            <w:tcW w:w="7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C7384D"/>
              </w:rPr>
              <w:t>($394,349)</w:t>
            </w:r>
            <w:r>
              <w:rPr>
                <w:rFonts w:ascii="Arial" w:cs="Arial" w:eastAsia="Arial" w:hAnsi="Arial"/>
                <w:sz w:val="12"/>
                <w:szCs w:val="12"/>
                <w:color w:val="C7384D"/>
                <w:vertAlign w:val="superscript"/>
              </w:rPr>
              <w:t>,</w:t>
            </w:r>
          </w:p>
        </w:tc>
        <w:tc>
          <w:tcPr>
            <w:tcW w:w="54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C80614"/>
              </w:rPr>
              <w:t>($394,349)</w:t>
            </w:r>
          </w:p>
        </w:tc>
        <w:tc>
          <w:tcPr>
            <w:tcW w:w="74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C80614"/>
              </w:rPr>
              <w:t>($394,349)</w:t>
            </w:r>
          </w:p>
        </w:tc>
        <w:tc>
          <w:tcPr>
            <w:tcW w:w="74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C80614"/>
              </w:rPr>
              <w:t>($394,349)</w:t>
            </w:r>
          </w:p>
        </w:tc>
        <w:tc>
          <w:tcPr>
            <w:tcW w:w="72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C80614"/>
              </w:rPr>
              <w:t>($394,349)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color w:val="auto"/>
                <w:w w:val="91"/>
              </w:rPr>
              <w:t>Credits</w:t>
            </w:r>
          </w:p>
        </w:tc>
        <w:tc>
          <w:tcPr>
            <w:tcW w:w="74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60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C7384D"/>
              </w:rPr>
              <w:t>($394,349)</w:t>
            </w:r>
          </w:p>
        </w:tc>
        <w:tc>
          <w:tcPr>
            <w:tcW w:w="66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52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C7384D"/>
              </w:rPr>
              <w:t>($394,349)</w:t>
            </w:r>
          </w:p>
        </w:tc>
        <w:tc>
          <w:tcPr>
            <w:tcW w:w="64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58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C7384D"/>
              </w:rPr>
              <w:t>($394,349)</w:t>
            </w:r>
          </w:p>
        </w:tc>
        <w:tc>
          <w:tcPr>
            <w:tcW w:w="64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340" w:type="dxa"/>
            <w:vAlign w:val="bottom"/>
          </w:tcPr>
          <w:p>
            <w:pPr>
              <w:spacing w:after="0"/>
              <w:rPr>
                <w:sz w:val="8"/>
                <w:szCs w:val="8"/>
                <w:color w:val="auto"/>
              </w:rPr>
            </w:pPr>
          </w:p>
        </w:tc>
        <w:tc>
          <w:tcPr>
            <w:tcW w:w="200" w:type="dxa"/>
            <w:vAlign w:val="bottom"/>
            <w:tcBorders>
              <w:right w:val="single" w:sz="8" w:color="auto"/>
            </w:tcBorders>
          </w:tcPr>
          <w:p>
            <w:pPr>
              <w:jc w:val="right"/>
              <w:ind w:right="55"/>
              <w:spacing w:after="0" w:line="95" w:lineRule="exact"/>
              <w:rPr>
                <w:sz w:val="20"/>
                <w:szCs w:val="20"/>
                <w:color w:val="auto"/>
              </w:rPr>
            </w:pPr>
            <w:r>
              <w:rPr>
                <w:rFonts w:ascii="Arial" w:cs="Arial" w:eastAsia="Arial" w:hAnsi="Arial"/>
                <w:sz w:val="9"/>
                <w:szCs w:val="9"/>
                <w:color w:val="auto"/>
                <w:w w:val="79"/>
              </w:rPr>
              <w:t>$0</w:t>
            </w:r>
          </w:p>
        </w:tc>
        <w:tc>
          <w:tcPr>
            <w:tcW w:w="72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0" w:type="dxa"/>
            <w:vAlign w:val="bottom"/>
            <w:tcBorders>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93"/>
              </w:rPr>
              <w:t>Gross VA</w:t>
            </w:r>
          </w:p>
        </w:tc>
        <w:tc>
          <w:tcPr>
            <w:tcW w:w="74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0" w:type="dxa"/>
            <w:vAlign w:val="bottom"/>
            <w:tcBorders>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9"/>
                <w:szCs w:val="9"/>
                <w:color w:val="auto"/>
              </w:rPr>
              <w:t>Total</w:t>
            </w:r>
          </w:p>
        </w:tc>
        <w:tc>
          <w:tcPr>
            <w:tcW w:w="74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9"/>
                <w:szCs w:val="9"/>
                <w:color w:val="auto"/>
              </w:rPr>
              <w:t>$37,082,150.</w:t>
            </w:r>
          </w:p>
        </w:tc>
        <w:tc>
          <w:tcPr>
            <w:tcW w:w="54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9"/>
                <w:szCs w:val="9"/>
                <w:color w:val="auto"/>
              </w:rPr>
              <w:t>$0</w:t>
            </w:r>
          </w:p>
        </w:tc>
        <w:tc>
          <w:tcPr>
            <w:tcW w:w="60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9"/>
                <w:szCs w:val="9"/>
                <w:color w:val="auto"/>
              </w:rPr>
              <w:t>$320,940</w:t>
            </w:r>
          </w:p>
        </w:tc>
        <w:tc>
          <w:tcPr>
            <w:tcW w:w="7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9"/>
                <w:szCs w:val="9"/>
                <w:b w:val="1"/>
                <w:bCs w:val="1"/>
                <w:color w:val="auto"/>
              </w:rPr>
              <w:t>$36,761,210</w:t>
            </w:r>
          </w:p>
        </w:tc>
        <w:tc>
          <w:tcPr>
            <w:tcW w:w="7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9"/>
                <w:szCs w:val="9"/>
                <w:color w:val="auto"/>
              </w:rPr>
              <w:t>$36,761,210</w:t>
            </w:r>
          </w:p>
        </w:tc>
        <w:tc>
          <w:tcPr>
            <w:tcW w:w="66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9"/>
                <w:szCs w:val="9"/>
                <w:color w:val="auto"/>
              </w:rPr>
              <w:t>$7,085,016</w:t>
            </w:r>
          </w:p>
        </w:tc>
        <w:tc>
          <w:tcPr>
            <w:tcW w:w="5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9"/>
                <w:szCs w:val="9"/>
                <w:color w:val="auto"/>
              </w:rPr>
              <w:t>$10,285</w:t>
            </w:r>
          </w:p>
        </w:tc>
        <w:tc>
          <w:tcPr>
            <w:tcW w:w="7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9"/>
                <w:szCs w:val="9"/>
                <w:b w:val="1"/>
                <w:bCs w:val="1"/>
                <w:color w:val="auto"/>
              </w:rPr>
              <w:t>$29,665,910</w:t>
            </w:r>
          </w:p>
        </w:tc>
        <w:tc>
          <w:tcPr>
            <w:tcW w:w="7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9"/>
                <w:szCs w:val="9"/>
                <w:color w:val="auto"/>
              </w:rPr>
              <w:t>$29,665,910</w:t>
            </w:r>
          </w:p>
        </w:tc>
        <w:tc>
          <w:tcPr>
            <w:tcW w:w="64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9"/>
                <w:szCs w:val="9"/>
                <w:color w:val="auto"/>
              </w:rPr>
              <w:t>$7,368,629</w:t>
            </w:r>
          </w:p>
        </w:tc>
        <w:tc>
          <w:tcPr>
            <w:tcW w:w="58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9"/>
                <w:szCs w:val="9"/>
                <w:color w:val="auto"/>
              </w:rPr>
              <w:t>$304,809</w:t>
            </w:r>
          </w:p>
        </w:tc>
        <w:tc>
          <w:tcPr>
            <w:tcW w:w="7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9"/>
                <w:szCs w:val="9"/>
                <w:b w:val="1"/>
                <w:bCs w:val="1"/>
                <w:color w:val="auto"/>
              </w:rPr>
              <w:t>$21,992,471</w:t>
            </w:r>
          </w:p>
        </w:tc>
        <w:tc>
          <w:tcPr>
            <w:tcW w:w="7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9"/>
                <w:szCs w:val="9"/>
                <w:color w:val="auto"/>
              </w:rPr>
              <w:t>$21,992,471</w:t>
            </w:r>
          </w:p>
        </w:tc>
        <w:tc>
          <w:tcPr>
            <w:tcW w:w="64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9"/>
                <w:szCs w:val="9"/>
                <w:color w:val="auto"/>
              </w:rPr>
              <w:t>$3,696,881</w:t>
            </w: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9"/>
                <w:szCs w:val="9"/>
                <w:color w:val="auto"/>
                <w:w w:val="79"/>
              </w:rPr>
              <w:t>$0</w:t>
            </w:r>
          </w:p>
        </w:tc>
        <w:tc>
          <w:tcPr>
            <w:tcW w:w="7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9"/>
                <w:szCs w:val="9"/>
                <w:b w:val="1"/>
                <w:bCs w:val="1"/>
                <w:color w:val="auto"/>
              </w:rPr>
              <w:t>$18,295,591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9"/>
                <w:szCs w:val="9"/>
                <w:color w:val="auto"/>
                <w:w w:val="89"/>
              </w:rPr>
              <w:t>Net Federal</w:t>
            </w:r>
          </w:p>
        </w:tc>
        <w:tc>
          <w:tcPr>
            <w:tcW w:w="7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C7384D"/>
              </w:rPr>
              <w:t>($5,342,297)</w:t>
            </w:r>
          </w:p>
        </w:tc>
        <w:tc>
          <w:tcPr>
            <w:tcW w:w="5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60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C7384D"/>
              </w:rPr>
              <w:t>($67,397)</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C80614"/>
              </w:rPr>
              <w:t>($5,274,900)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C7384D"/>
              </w:rPr>
              <w:t>($5,274,900)</w:t>
            </w:r>
          </w:p>
        </w:tc>
        <w:tc>
          <w:tcPr>
            <w:tcW w:w="6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C7384D"/>
              </w:rPr>
              <w:t>($340,905)</w:t>
            </w:r>
          </w:p>
        </w:tc>
        <w:tc>
          <w:tcPr>
            <w:tcW w:w="5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C7384D"/>
              </w:rPr>
              <w:t>($2,160)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C80614"/>
              </w:rPr>
              <w:t>($4,931,835)</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C7384D"/>
              </w:rPr>
              <w:t>($4,931,835)</w:t>
            </w:r>
          </w:p>
        </w:tc>
        <w:tc>
          <w:tcPr>
            <w:tcW w:w="6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C7384D"/>
              </w:rPr>
              <w:t>($638,637)</w:t>
            </w:r>
          </w:p>
        </w:tc>
        <w:tc>
          <w:tcPr>
            <w:tcW w:w="58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C7384D"/>
              </w:rPr>
              <w:t>($64,010)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C80614"/>
              </w:rPr>
              <w:t>($4,229,188)</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C7384D"/>
              </w:rPr>
              <w:t>($4,229,188)</w:t>
            </w:r>
          </w:p>
        </w:tc>
        <w:tc>
          <w:tcPr>
            <w:tcW w:w="6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C7384D"/>
              </w:rPr>
              <w:t>($514,895)</w:t>
            </w:r>
          </w:p>
        </w:tc>
        <w:tc>
          <w:tcPr>
            <w:tcW w:w="340" w:type="dxa"/>
            <w:vAlign w:val="bottom"/>
          </w:tcPr>
          <w:p>
            <w:pPr>
              <w:spacing w:after="0"/>
              <w:rPr>
                <w:sz w:val="8"/>
                <w:szCs w:val="8"/>
                <w:color w:val="auto"/>
              </w:rPr>
            </w:pPr>
          </w:p>
        </w:tc>
        <w:tc>
          <w:tcPr>
            <w:tcW w:w="200" w:type="dxa"/>
            <w:vAlign w:val="bottom"/>
            <w:tcBorders>
              <w:right w:val="single" w:sz="8" w:color="auto"/>
            </w:tcBorders>
            <w:vMerge w:val="restart"/>
          </w:tcPr>
          <w:p>
            <w:pPr>
              <w:jc w:val="right"/>
              <w:ind w:right="55"/>
              <w:spacing w:after="0"/>
              <w:rPr>
                <w:sz w:val="20"/>
                <w:szCs w:val="20"/>
                <w:color w:val="auto"/>
              </w:rPr>
            </w:pPr>
            <w:r>
              <w:rPr>
                <w:rFonts w:ascii="Arial" w:cs="Arial" w:eastAsia="Arial" w:hAnsi="Arial"/>
                <w:sz w:val="9"/>
                <w:szCs w:val="9"/>
                <w:color w:val="auto"/>
                <w:w w:val="79"/>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C80614"/>
              </w:rPr>
              <w:t>($3,714,293)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6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2"/>
              </w:rPr>
              <w:t>Benefit</w:t>
            </w:r>
          </w:p>
        </w:tc>
        <w:tc>
          <w:tcPr>
            <w:tcW w:w="74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0" w:type="dxa"/>
            <w:vAlign w:val="bottom"/>
            <w:tcBorders>
              <w:right w:val="single" w:sz="8" w:color="auto"/>
            </w:tcBorders>
          </w:tcPr>
          <w:p>
            <w:pPr>
              <w:spacing w:after="0"/>
              <w:rPr>
                <w:sz w:val="5"/>
                <w:szCs w:val="5"/>
                <w:color w:val="auto"/>
              </w:rPr>
            </w:pPr>
          </w:p>
        </w:tc>
        <w:tc>
          <w:tcPr>
            <w:tcW w:w="50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6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rPr>
              <w:t>Net DTA -</w:t>
            </w:r>
          </w:p>
        </w:tc>
        <w:tc>
          <w:tcPr>
            <w:tcW w:w="7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$31,739,853</w:t>
            </w:r>
          </w:p>
        </w:tc>
        <w:tc>
          <w:tcPr>
            <w:tcW w:w="5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60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$253,542</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$31,486,311</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$31,486,311</w:t>
            </w:r>
          </w:p>
        </w:tc>
        <w:tc>
          <w:tcPr>
            <w:tcW w:w="6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$6,744,112</w:t>
            </w:r>
          </w:p>
        </w:tc>
        <w:tc>
          <w:tcPr>
            <w:tcW w:w="5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$8,125</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$24,734,074</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$24,734,074</w:t>
            </w:r>
          </w:p>
        </w:tc>
        <w:tc>
          <w:tcPr>
            <w:tcW w:w="6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$6,729,992</w:t>
            </w:r>
          </w:p>
        </w:tc>
        <w:tc>
          <w:tcPr>
            <w:tcW w:w="58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$240,799</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$17,763,283</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$17,763,283</w:t>
            </w:r>
          </w:p>
        </w:tc>
        <w:tc>
          <w:tcPr>
            <w:tcW w:w="64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$3,181,986</w:t>
            </w:r>
          </w:p>
        </w:tc>
        <w:tc>
          <w:tcPr>
            <w:tcW w:w="340" w:type="dxa"/>
            <w:vAlign w:val="bottom"/>
          </w:tcPr>
          <w:p>
            <w:pPr>
              <w:spacing w:after="0"/>
              <w:rPr>
                <w:sz w:val="8"/>
                <w:szCs w:val="8"/>
                <w:color w:val="auto"/>
              </w:rPr>
            </w:pPr>
          </w:p>
        </w:tc>
        <w:tc>
          <w:tcPr>
            <w:tcW w:w="200" w:type="dxa"/>
            <w:vAlign w:val="bottom"/>
            <w:tcBorders>
              <w:right w:val="single" w:sz="8" w:color="auto"/>
            </w:tcBorders>
            <w:vMerge w:val="restart"/>
          </w:tcPr>
          <w:p>
            <w:pPr>
              <w:jc w:val="right"/>
              <w:ind w:right="55"/>
              <w:spacing w:after="0"/>
              <w:rPr>
                <w:sz w:val="20"/>
                <w:szCs w:val="20"/>
                <w:color w:val="auto"/>
              </w:rPr>
            </w:pPr>
            <w:r>
              <w:rPr>
                <w:rFonts w:ascii="Arial" w:cs="Arial" w:eastAsia="Arial" w:hAnsi="Arial"/>
                <w:sz w:val="9"/>
                <w:szCs w:val="9"/>
                <w:color w:val="auto"/>
                <w:w w:val="79"/>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$14,581,297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6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2"/>
              </w:rPr>
              <w:t>Indemnity</w:t>
            </w:r>
          </w:p>
        </w:tc>
        <w:tc>
          <w:tcPr>
            <w:tcW w:w="74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0" w:type="dxa"/>
            <w:vAlign w:val="bottom"/>
            <w:tcBorders>
              <w:right w:val="single" w:sz="8" w:color="auto"/>
            </w:tcBorders>
          </w:tcPr>
          <w:p>
            <w:pPr>
              <w:spacing w:after="0"/>
              <w:rPr>
                <w:sz w:val="5"/>
                <w:szCs w:val="5"/>
                <w:color w:val="auto"/>
              </w:rPr>
            </w:pPr>
          </w:p>
        </w:tc>
        <w:tc>
          <w:tcPr>
            <w:tcW w:w="50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3"/>
        </w:trPr>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75"/>
        </w:trPr>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gridSpan w:val="2"/>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10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shd w:val="clear" w:color="auto" w:fill="000000"/>
          </w:tcPr>
          <w:p>
            <w:pPr>
              <w:spacing w:after="0"/>
              <w:rPr>
                <w:sz w:val="11"/>
                <w:szCs w:val="11"/>
                <w:color w:val="auto"/>
              </w:rPr>
            </w:pPr>
          </w:p>
        </w:tc>
        <w:tc>
          <w:tcPr>
            <w:tcW w:w="740" w:type="dxa"/>
            <w:vAlign w:val="bottom"/>
            <w:tcBorders>
              <w:right w:val="single" w:sz="8" w:color="auto"/>
            </w:tcBorders>
            <w:shd w:val="clear" w:color="auto" w:fill="000000"/>
          </w:tcPr>
          <w:p>
            <w:pPr>
              <w:spacing w:after="0"/>
              <w:rPr>
                <w:sz w:val="11"/>
                <w:szCs w:val="11"/>
                <w:color w:val="auto"/>
              </w:rPr>
            </w:pPr>
          </w:p>
        </w:tc>
        <w:tc>
          <w:tcPr>
            <w:tcW w:w="1000" w:type="dxa"/>
            <w:vAlign w:val="bottom"/>
            <w:gridSpan w:val="2"/>
            <w:shd w:val="clear" w:color="auto" w:fill="000000"/>
          </w:tcPr>
          <w:p>
            <w:pPr>
              <w:jc w:val="center"/>
              <w:ind w:left="118"/>
              <w:spacing w:after="0"/>
              <w:rPr>
                <w:sz w:val="20"/>
                <w:szCs w:val="20"/>
                <w:color w:val="auto"/>
              </w:rPr>
            </w:pPr>
            <w:r>
              <w:rPr>
                <w:rFonts w:ascii="Arial" w:cs="Arial" w:eastAsia="Arial" w:hAnsi="Arial"/>
                <w:sz w:val="7"/>
                <w:szCs w:val="7"/>
                <w:color w:val="FFFFFF"/>
                <w:w w:val="91"/>
              </w:rPr>
              <w:t>Tax Year Ending</w:t>
            </w:r>
          </w:p>
        </w:tc>
        <w:tc>
          <w:tcPr>
            <w:tcW w:w="200" w:type="dxa"/>
            <w:vAlign w:val="bottom"/>
            <w:tcBorders>
              <w:right w:val="single" w:sz="8" w:color="auto"/>
            </w:tcBorders>
            <w:shd w:val="clear" w:color="auto" w:fill="000000"/>
          </w:tcPr>
          <w:p>
            <w:pPr>
              <w:spacing w:after="0"/>
              <w:rPr>
                <w:sz w:val="11"/>
                <w:szCs w:val="11"/>
                <w:color w:val="auto"/>
              </w:rPr>
            </w:pPr>
          </w:p>
        </w:tc>
        <w:tc>
          <w:tcPr>
            <w:tcW w:w="740" w:type="dxa"/>
            <w:vAlign w:val="bottom"/>
            <w:tcBorders>
              <w:right w:val="single" w:sz="8" w:color="auto"/>
            </w:tcBorders>
            <w:shd w:val="clear" w:color="auto" w:fill="000000"/>
          </w:tcPr>
          <w:p>
            <w:pPr>
              <w:spacing w:after="0"/>
              <w:rPr>
                <w:sz w:val="11"/>
                <w:szCs w:val="11"/>
                <w:color w:val="auto"/>
              </w:rPr>
            </w:pPr>
          </w:p>
        </w:tc>
        <w:tc>
          <w:tcPr>
            <w:tcW w:w="760" w:type="dxa"/>
            <w:vAlign w:val="bottom"/>
            <w:tcBorders>
              <w:right w:val="single" w:sz="8" w:color="auto"/>
            </w:tcBorders>
            <w:shd w:val="clear" w:color="auto" w:fill="000000"/>
          </w:tcPr>
          <w:p>
            <w:pPr>
              <w:spacing w:after="0"/>
              <w:rPr>
                <w:sz w:val="11"/>
                <w:szCs w:val="11"/>
                <w:color w:val="auto"/>
              </w:rPr>
            </w:pPr>
          </w:p>
        </w:tc>
        <w:tc>
          <w:tcPr>
            <w:tcW w:w="1280" w:type="dxa"/>
            <w:vAlign w:val="bottom"/>
            <w:tcBorders>
              <w:right w:val="single" w:sz="8" w:color="auto"/>
            </w:tcBorders>
            <w:gridSpan w:val="3"/>
            <w:shd w:val="clear" w:color="auto" w:fill="000000"/>
          </w:tcPr>
          <w:p>
            <w:pPr>
              <w:jc w:val="center"/>
              <w:ind w:right="37"/>
              <w:spacing w:after="0"/>
              <w:rPr>
                <w:sz w:val="20"/>
                <w:szCs w:val="20"/>
                <w:color w:val="auto"/>
              </w:rPr>
            </w:pPr>
            <w:r>
              <w:rPr>
                <w:rFonts w:ascii="Arial" w:cs="Arial" w:eastAsia="Arial" w:hAnsi="Arial"/>
                <w:sz w:val="7"/>
                <w:szCs w:val="7"/>
                <w:color w:val="FFFFFF"/>
                <w:w w:val="91"/>
              </w:rPr>
              <w:t>Tax Year Ending</w:t>
            </w:r>
          </w:p>
        </w:tc>
        <w:tc>
          <w:tcPr>
            <w:tcW w:w="740" w:type="dxa"/>
            <w:vAlign w:val="bottom"/>
            <w:tcBorders>
              <w:right w:val="single" w:sz="8" w:color="auto"/>
            </w:tcBorders>
            <w:shd w:val="clear" w:color="auto" w:fill="000000"/>
          </w:tcPr>
          <w:p>
            <w:pPr>
              <w:spacing w:after="0"/>
              <w:rPr>
                <w:sz w:val="11"/>
                <w:szCs w:val="11"/>
                <w:color w:val="auto"/>
              </w:rPr>
            </w:pPr>
          </w:p>
        </w:tc>
        <w:tc>
          <w:tcPr>
            <w:tcW w:w="720" w:type="dxa"/>
            <w:vAlign w:val="bottom"/>
            <w:tcBorders>
              <w:right w:val="single" w:sz="8" w:color="auto"/>
            </w:tcBorders>
            <w:shd w:val="clear" w:color="auto" w:fill="000000"/>
          </w:tcPr>
          <w:p>
            <w:pPr>
              <w:spacing w:after="0"/>
              <w:rPr>
                <w:sz w:val="11"/>
                <w:szCs w:val="11"/>
                <w:color w:val="auto"/>
              </w:rPr>
            </w:pPr>
          </w:p>
        </w:tc>
        <w:tc>
          <w:tcPr>
            <w:tcW w:w="1120" w:type="dxa"/>
            <w:vAlign w:val="bottom"/>
            <w:tcBorders>
              <w:right w:val="single" w:sz="8" w:color="auto"/>
            </w:tcBorders>
            <w:gridSpan w:val="2"/>
            <w:shd w:val="clear" w:color="auto" w:fill="000000"/>
          </w:tcPr>
          <w:p>
            <w:pPr>
              <w:jc w:val="right"/>
              <w:ind w:right="297"/>
              <w:spacing w:after="0"/>
              <w:rPr>
                <w:sz w:val="20"/>
                <w:szCs w:val="20"/>
                <w:color w:val="auto"/>
              </w:rPr>
            </w:pPr>
            <w:r>
              <w:rPr>
                <w:rFonts w:ascii="Arial" w:cs="Arial" w:eastAsia="Arial" w:hAnsi="Arial"/>
                <w:sz w:val="7"/>
                <w:szCs w:val="7"/>
                <w:color w:val="FFFFFF"/>
              </w:rPr>
              <w:t>Tax Year Ending</w:t>
            </w:r>
          </w:p>
        </w:tc>
        <w:tc>
          <w:tcPr>
            <w:tcW w:w="720" w:type="dxa"/>
            <w:vAlign w:val="bottom"/>
            <w:tcBorders>
              <w:right w:val="single" w:sz="8" w:color="auto"/>
            </w:tcBorders>
            <w:shd w:val="clear" w:color="auto" w:fill="000000"/>
          </w:tcPr>
          <w:p>
            <w:pPr>
              <w:spacing w:after="0"/>
              <w:rPr>
                <w:sz w:val="11"/>
                <w:szCs w:val="11"/>
                <w:color w:val="auto"/>
              </w:rPr>
            </w:pPr>
          </w:p>
        </w:tc>
        <w:tc>
          <w:tcPr>
            <w:tcW w:w="720" w:type="dxa"/>
            <w:vAlign w:val="bottom"/>
            <w:tcBorders>
              <w:right w:val="single" w:sz="8" w:color="auto"/>
            </w:tcBorders>
            <w:shd w:val="clear" w:color="auto" w:fill="000000"/>
          </w:tcPr>
          <w:p>
            <w:pPr>
              <w:spacing w:after="0"/>
              <w:rPr>
                <w:sz w:val="11"/>
                <w:szCs w:val="11"/>
                <w:color w:val="auto"/>
              </w:rPr>
            </w:pPr>
          </w:p>
        </w:tc>
        <w:tc>
          <w:tcPr>
            <w:tcW w:w="1120" w:type="dxa"/>
            <w:vAlign w:val="bottom"/>
            <w:tcBorders>
              <w:right w:val="single" w:sz="8" w:color="auto"/>
            </w:tcBorders>
            <w:gridSpan w:val="2"/>
            <w:shd w:val="clear" w:color="auto" w:fill="000000"/>
          </w:tcPr>
          <w:p>
            <w:pPr>
              <w:jc w:val="right"/>
              <w:ind w:right="277"/>
              <w:spacing w:after="0"/>
              <w:rPr>
                <w:sz w:val="20"/>
                <w:szCs w:val="20"/>
                <w:color w:val="auto"/>
              </w:rPr>
            </w:pPr>
            <w:r>
              <w:rPr>
                <w:rFonts w:ascii="Arial" w:cs="Arial" w:eastAsia="Arial" w:hAnsi="Arial"/>
                <w:sz w:val="7"/>
                <w:szCs w:val="7"/>
                <w:color w:val="FFFFFF"/>
              </w:rPr>
              <w:t>Tax Year Ending</w:t>
            </w:r>
          </w:p>
        </w:tc>
        <w:tc>
          <w:tcPr>
            <w:tcW w:w="720" w:type="dxa"/>
            <w:vAlign w:val="bottom"/>
            <w:tcBorders>
              <w:right w:val="single" w:sz="8" w:color="auto"/>
            </w:tcBorders>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0" w:type="dxa"/>
            <w:vAlign w:val="bottom"/>
            <w:tcBorders>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shd w:val="clear" w:color="auto" w:fill="000000"/>
          </w:tcPr>
          <w:p>
            <w:pPr>
              <w:spacing w:after="0"/>
              <w:rPr>
                <w:sz w:val="15"/>
                <w:szCs w:val="15"/>
                <w:color w:val="auto"/>
              </w:rPr>
            </w:pPr>
          </w:p>
        </w:tc>
        <w:tc>
          <w:tcPr>
            <w:tcW w:w="740" w:type="dxa"/>
            <w:vAlign w:val="bottom"/>
            <w:tcBorders>
              <w:bottom w:val="single" w:sz="8" w:color="auto"/>
              <w:right w:val="single" w:sz="8" w:color="auto"/>
            </w:tcBorders>
            <w:shd w:val="clear" w:color="auto" w:fill="000000"/>
          </w:tcPr>
          <w:p>
            <w:pPr>
              <w:spacing w:after="0"/>
              <w:rPr>
                <w:sz w:val="15"/>
                <w:szCs w:val="15"/>
                <w:color w:val="auto"/>
              </w:rPr>
            </w:pPr>
          </w:p>
        </w:tc>
        <w:tc>
          <w:tcPr>
            <w:tcW w:w="1000" w:type="dxa"/>
            <w:vAlign w:val="bottom"/>
            <w:tcBorders>
              <w:bottom w:val="single" w:sz="8" w:color="auto"/>
            </w:tcBorders>
            <w:gridSpan w:val="2"/>
            <w:shd w:val="clear" w:color="auto" w:fill="000000"/>
          </w:tcPr>
          <w:p>
            <w:pPr>
              <w:jc w:val="right"/>
              <w:ind w:right="244"/>
              <w:spacing w:after="0"/>
              <w:rPr>
                <w:sz w:val="20"/>
                <w:szCs w:val="20"/>
                <w:color w:val="auto"/>
              </w:rPr>
            </w:pPr>
            <w:r>
              <w:rPr>
                <w:rFonts w:ascii="Arial" w:cs="Arial" w:eastAsia="Arial" w:hAnsi="Arial"/>
                <w:sz w:val="7"/>
                <w:szCs w:val="7"/>
                <w:color w:val="FFFFFF"/>
              </w:rPr>
              <w:t>9/30/2022</w:t>
            </w:r>
          </w:p>
        </w:tc>
        <w:tc>
          <w:tcPr>
            <w:tcW w:w="200" w:type="dxa"/>
            <w:vAlign w:val="bottom"/>
            <w:tcBorders>
              <w:bottom w:val="single" w:sz="8" w:color="auto"/>
              <w:right w:val="single" w:sz="8" w:color="auto"/>
            </w:tcBorders>
            <w:shd w:val="clear" w:color="auto" w:fill="000000"/>
          </w:tcPr>
          <w:p>
            <w:pPr>
              <w:spacing w:after="0"/>
              <w:rPr>
                <w:sz w:val="15"/>
                <w:szCs w:val="15"/>
                <w:color w:val="auto"/>
              </w:rPr>
            </w:pPr>
          </w:p>
        </w:tc>
        <w:tc>
          <w:tcPr>
            <w:tcW w:w="740" w:type="dxa"/>
            <w:vAlign w:val="bottom"/>
            <w:tcBorders>
              <w:bottom w:val="single" w:sz="8" w:color="auto"/>
              <w:right w:val="single" w:sz="8" w:color="auto"/>
            </w:tcBorders>
            <w:shd w:val="clear" w:color="auto" w:fill="000000"/>
          </w:tcPr>
          <w:p>
            <w:pPr>
              <w:spacing w:after="0"/>
              <w:rPr>
                <w:sz w:val="15"/>
                <w:szCs w:val="15"/>
                <w:color w:val="auto"/>
              </w:rPr>
            </w:pPr>
          </w:p>
        </w:tc>
        <w:tc>
          <w:tcPr>
            <w:tcW w:w="760" w:type="dxa"/>
            <w:vAlign w:val="bottom"/>
            <w:tcBorders>
              <w:bottom w:val="single" w:sz="8" w:color="auto"/>
              <w:right w:val="single" w:sz="8" w:color="auto"/>
            </w:tcBorders>
            <w:shd w:val="clear" w:color="auto" w:fill="000000"/>
          </w:tcPr>
          <w:p>
            <w:pPr>
              <w:spacing w:after="0"/>
              <w:rPr>
                <w:sz w:val="15"/>
                <w:szCs w:val="15"/>
                <w:color w:val="auto"/>
              </w:rPr>
            </w:pPr>
          </w:p>
        </w:tc>
        <w:tc>
          <w:tcPr>
            <w:tcW w:w="760" w:type="dxa"/>
            <w:vAlign w:val="bottom"/>
            <w:tcBorders>
              <w:bottom w:val="single" w:sz="8" w:color="auto"/>
            </w:tcBorders>
            <w:gridSpan w:val="2"/>
            <w:shd w:val="clear" w:color="auto" w:fill="000000"/>
          </w:tcPr>
          <w:p>
            <w:pPr>
              <w:jc w:val="right"/>
              <w:spacing w:after="0"/>
              <w:rPr>
                <w:sz w:val="20"/>
                <w:szCs w:val="20"/>
                <w:color w:val="auto"/>
              </w:rPr>
            </w:pPr>
            <w:r>
              <w:rPr>
                <w:rFonts w:ascii="Arial" w:cs="Arial" w:eastAsia="Arial" w:hAnsi="Arial"/>
                <w:sz w:val="7"/>
                <w:szCs w:val="7"/>
                <w:color w:val="FFFFFF"/>
              </w:rPr>
              <w:t>9/30/2023</w:t>
            </w:r>
          </w:p>
        </w:tc>
        <w:tc>
          <w:tcPr>
            <w:tcW w:w="520" w:type="dxa"/>
            <w:vAlign w:val="bottom"/>
            <w:tcBorders>
              <w:bottom w:val="single" w:sz="8" w:color="auto"/>
              <w:right w:val="single" w:sz="8" w:color="auto"/>
            </w:tcBorders>
            <w:shd w:val="clear" w:color="auto" w:fill="000000"/>
          </w:tcPr>
          <w:p>
            <w:pPr>
              <w:spacing w:after="0"/>
              <w:rPr>
                <w:sz w:val="15"/>
                <w:szCs w:val="15"/>
                <w:color w:val="auto"/>
              </w:rPr>
            </w:pPr>
          </w:p>
        </w:tc>
        <w:tc>
          <w:tcPr>
            <w:tcW w:w="740" w:type="dxa"/>
            <w:vAlign w:val="bottom"/>
            <w:tcBorders>
              <w:bottom w:val="single" w:sz="8" w:color="auto"/>
              <w:right w:val="single" w:sz="8" w:color="auto"/>
            </w:tcBorders>
            <w:shd w:val="clear" w:color="auto" w:fill="000000"/>
          </w:tcPr>
          <w:p>
            <w:pPr>
              <w:spacing w:after="0"/>
              <w:rPr>
                <w:sz w:val="15"/>
                <w:szCs w:val="15"/>
                <w:color w:val="auto"/>
              </w:rPr>
            </w:pPr>
          </w:p>
        </w:tc>
        <w:tc>
          <w:tcPr>
            <w:tcW w:w="720" w:type="dxa"/>
            <w:vAlign w:val="bottom"/>
            <w:tcBorders>
              <w:bottom w:val="single" w:sz="8" w:color="auto"/>
              <w:right w:val="single" w:sz="8" w:color="auto"/>
            </w:tcBorders>
            <w:shd w:val="clear" w:color="auto" w:fill="000000"/>
          </w:tcPr>
          <w:p>
            <w:pPr>
              <w:spacing w:after="0"/>
              <w:rPr>
                <w:sz w:val="15"/>
                <w:szCs w:val="15"/>
                <w:color w:val="auto"/>
              </w:rPr>
            </w:pPr>
          </w:p>
        </w:tc>
        <w:tc>
          <w:tcPr>
            <w:tcW w:w="1120" w:type="dxa"/>
            <w:vAlign w:val="bottom"/>
            <w:tcBorders>
              <w:bottom w:val="single" w:sz="8" w:color="auto"/>
              <w:right w:val="single" w:sz="8" w:color="auto"/>
            </w:tcBorders>
            <w:gridSpan w:val="2"/>
            <w:shd w:val="clear" w:color="auto" w:fill="000000"/>
          </w:tcPr>
          <w:p>
            <w:pPr>
              <w:jc w:val="right"/>
              <w:ind w:right="397"/>
              <w:spacing w:after="0"/>
              <w:rPr>
                <w:sz w:val="20"/>
                <w:szCs w:val="20"/>
                <w:color w:val="auto"/>
              </w:rPr>
            </w:pPr>
            <w:r>
              <w:rPr>
                <w:rFonts w:ascii="Arial" w:cs="Arial" w:eastAsia="Arial" w:hAnsi="Arial"/>
                <w:sz w:val="7"/>
                <w:szCs w:val="7"/>
                <w:color w:val="FFFFFF"/>
              </w:rPr>
              <w:t>9/30/2024</w:t>
            </w:r>
          </w:p>
        </w:tc>
        <w:tc>
          <w:tcPr>
            <w:tcW w:w="720" w:type="dxa"/>
            <w:vAlign w:val="bottom"/>
            <w:tcBorders>
              <w:bottom w:val="single" w:sz="8" w:color="auto"/>
              <w:right w:val="single" w:sz="8" w:color="auto"/>
            </w:tcBorders>
            <w:shd w:val="clear" w:color="auto" w:fill="000000"/>
          </w:tcPr>
          <w:p>
            <w:pPr>
              <w:spacing w:after="0"/>
              <w:rPr>
                <w:sz w:val="15"/>
                <w:szCs w:val="15"/>
                <w:color w:val="auto"/>
              </w:rPr>
            </w:pPr>
          </w:p>
        </w:tc>
        <w:tc>
          <w:tcPr>
            <w:tcW w:w="720" w:type="dxa"/>
            <w:vAlign w:val="bottom"/>
            <w:tcBorders>
              <w:bottom w:val="single" w:sz="8" w:color="auto"/>
              <w:right w:val="single" w:sz="8" w:color="auto"/>
            </w:tcBorders>
            <w:shd w:val="clear" w:color="auto" w:fill="000000"/>
          </w:tcPr>
          <w:p>
            <w:pPr>
              <w:spacing w:after="0"/>
              <w:rPr>
                <w:sz w:val="15"/>
                <w:szCs w:val="15"/>
                <w:color w:val="auto"/>
              </w:rPr>
            </w:pPr>
          </w:p>
        </w:tc>
        <w:tc>
          <w:tcPr>
            <w:tcW w:w="1120" w:type="dxa"/>
            <w:vAlign w:val="bottom"/>
            <w:tcBorders>
              <w:bottom w:val="single" w:sz="8" w:color="auto"/>
              <w:right w:val="single" w:sz="8" w:color="auto"/>
            </w:tcBorders>
            <w:gridSpan w:val="2"/>
            <w:shd w:val="clear" w:color="auto" w:fill="000000"/>
          </w:tcPr>
          <w:p>
            <w:pPr>
              <w:jc w:val="right"/>
              <w:ind w:right="377"/>
              <w:spacing w:after="0"/>
              <w:rPr>
                <w:sz w:val="20"/>
                <w:szCs w:val="20"/>
                <w:color w:val="auto"/>
              </w:rPr>
            </w:pPr>
            <w:r>
              <w:rPr>
                <w:rFonts w:ascii="Arial" w:cs="Arial" w:eastAsia="Arial" w:hAnsi="Arial"/>
                <w:sz w:val="7"/>
                <w:szCs w:val="7"/>
                <w:color w:val="FFFFFF"/>
              </w:rPr>
              <w:t>9/30/2025</w:t>
            </w:r>
          </w:p>
        </w:tc>
        <w:tc>
          <w:tcPr>
            <w:tcW w:w="720" w:type="dxa"/>
            <w:vAlign w:val="bottom"/>
            <w:tcBorders>
              <w:bottom w:val="single" w:sz="8" w:color="auto"/>
              <w:right w:val="single" w:sz="8" w:color="auto"/>
            </w:tcBorders>
            <w:shd w:val="clear" w:color="auto" w:fill="000000"/>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0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7"/>
                <w:szCs w:val="7"/>
                <w:color w:val="FFFFFF"/>
              </w:rPr>
              <w:t>LTA</w:t>
            </w:r>
          </w:p>
        </w:tc>
        <w:tc>
          <w:tcPr>
            <w:tcW w:w="740" w:type="dxa"/>
            <w:vAlign w:val="bottom"/>
            <w:tcBorders>
              <w:right w:val="single" w:sz="8" w:color="auto"/>
            </w:tcBorders>
            <w:vMerge w:val="restart"/>
            <w:shd w:val="clear" w:color="auto" w:fill="D9D9D9"/>
          </w:tcPr>
          <w:p>
            <w:pPr>
              <w:jc w:val="center"/>
              <w:ind w:right="17"/>
              <w:spacing w:after="0"/>
              <w:rPr>
                <w:sz w:val="20"/>
                <w:szCs w:val="20"/>
                <w:color w:val="auto"/>
              </w:rPr>
            </w:pPr>
            <w:r>
              <w:rPr>
                <w:rFonts w:ascii="Arial" w:cs="Arial" w:eastAsia="Arial" w:hAnsi="Arial"/>
                <w:sz w:val="7"/>
                <w:szCs w:val="7"/>
                <w:b w:val="1"/>
                <w:bCs w:val="1"/>
                <w:color w:val="auto"/>
                <w:w w:val="92"/>
              </w:rPr>
              <w:t>Estimated unused</w:t>
            </w:r>
          </w:p>
        </w:tc>
        <w:tc>
          <w:tcPr>
            <w:tcW w:w="660" w:type="dxa"/>
            <w:vAlign w:val="bottom"/>
            <w:tcBorders>
              <w:right w:val="single" w:sz="8" w:color="auto"/>
            </w:tcBorders>
            <w:shd w:val="clear" w:color="auto" w:fill="D9D9D9"/>
          </w:tcPr>
          <w:p>
            <w:pPr>
              <w:jc w:val="center"/>
              <w:ind w:right="78"/>
              <w:spacing w:after="0"/>
              <w:rPr>
                <w:sz w:val="20"/>
                <w:szCs w:val="20"/>
                <w:color w:val="auto"/>
              </w:rPr>
            </w:pPr>
            <w:r>
              <w:rPr>
                <w:rFonts w:ascii="Arial" w:cs="Arial" w:eastAsia="Arial" w:hAnsi="Arial"/>
                <w:sz w:val="7"/>
                <w:szCs w:val="7"/>
                <w:b w:val="1"/>
                <w:bCs w:val="1"/>
                <w:color w:val="auto"/>
                <w:w w:val="89"/>
              </w:rPr>
              <w:t>Estimated</w:t>
            </w:r>
          </w:p>
        </w:tc>
        <w:tc>
          <w:tcPr>
            <w:tcW w:w="540" w:type="dxa"/>
            <w:vAlign w:val="bottom"/>
            <w:tcBorders>
              <w:right w:val="single" w:sz="8" w:color="auto"/>
            </w:tcBorders>
            <w:gridSpan w:val="2"/>
            <w:vMerge w:val="restart"/>
            <w:shd w:val="clear" w:color="auto" w:fill="D9D9D9"/>
          </w:tcPr>
          <w:p>
            <w:pPr>
              <w:jc w:val="center"/>
              <w:ind w:right="55"/>
              <w:spacing w:after="0"/>
              <w:rPr>
                <w:sz w:val="20"/>
                <w:szCs w:val="20"/>
                <w:color w:val="auto"/>
              </w:rPr>
            </w:pPr>
            <w:r>
              <w:rPr>
                <w:rFonts w:ascii="Arial" w:cs="Arial" w:eastAsia="Arial" w:hAnsi="Arial"/>
                <w:sz w:val="7"/>
                <w:szCs w:val="7"/>
                <w:b w:val="1"/>
                <w:bCs w:val="1"/>
                <w:color w:val="auto"/>
                <w:w w:val="95"/>
              </w:rPr>
              <w:t>Estimated</w:t>
            </w:r>
          </w:p>
        </w:tc>
        <w:tc>
          <w:tcPr>
            <w:tcW w:w="740" w:type="dxa"/>
            <w:vAlign w:val="bottom"/>
            <w:tcBorders>
              <w:right w:val="single" w:sz="8" w:color="auto"/>
            </w:tcBorders>
            <w:shd w:val="clear" w:color="auto" w:fill="D9D9D9"/>
          </w:tcPr>
          <w:p>
            <w:pPr>
              <w:spacing w:after="0"/>
              <w:rPr>
                <w:sz w:val="7"/>
                <w:szCs w:val="7"/>
                <w:color w:val="auto"/>
              </w:rPr>
            </w:pPr>
          </w:p>
        </w:tc>
        <w:tc>
          <w:tcPr>
            <w:tcW w:w="760" w:type="dxa"/>
            <w:vAlign w:val="bottom"/>
            <w:tcBorders>
              <w:right w:val="single" w:sz="8" w:color="auto"/>
            </w:tcBorders>
            <w:vMerge w:val="restart"/>
            <w:shd w:val="clear" w:color="auto" w:fill="D9D9D9"/>
          </w:tcPr>
          <w:p>
            <w:pPr>
              <w:jc w:val="center"/>
              <w:ind w:right="77"/>
              <w:spacing w:after="0"/>
              <w:rPr>
                <w:sz w:val="20"/>
                <w:szCs w:val="20"/>
                <w:color w:val="auto"/>
              </w:rPr>
            </w:pPr>
            <w:r>
              <w:rPr>
                <w:rFonts w:ascii="Arial" w:cs="Arial" w:eastAsia="Arial" w:hAnsi="Arial"/>
                <w:sz w:val="7"/>
                <w:szCs w:val="7"/>
                <w:b w:val="1"/>
                <w:bCs w:val="1"/>
                <w:color w:val="auto"/>
                <w:w w:val="92"/>
              </w:rPr>
              <w:t>Estimated unused</w:t>
            </w:r>
          </w:p>
        </w:tc>
        <w:tc>
          <w:tcPr>
            <w:tcW w:w="740" w:type="dxa"/>
            <w:vAlign w:val="bottom"/>
            <w:tcBorders>
              <w:right w:val="single" w:sz="8" w:color="auto"/>
            </w:tcBorders>
            <w:vMerge w:val="restart"/>
            <w:shd w:val="clear" w:color="auto" w:fill="D9D9D9"/>
          </w:tcPr>
          <w:p>
            <w:pPr>
              <w:jc w:val="center"/>
              <w:ind w:right="98"/>
              <w:spacing w:after="0"/>
              <w:rPr>
                <w:sz w:val="20"/>
                <w:szCs w:val="20"/>
                <w:color w:val="auto"/>
              </w:rPr>
            </w:pPr>
            <w:r>
              <w:rPr>
                <w:rFonts w:ascii="Arial" w:cs="Arial" w:eastAsia="Arial" w:hAnsi="Arial"/>
                <w:sz w:val="7"/>
                <w:szCs w:val="7"/>
                <w:b w:val="1"/>
                <w:bCs w:val="1"/>
                <w:color w:val="auto"/>
                <w:w w:val="92"/>
              </w:rPr>
              <w:t>Estimated amount</w:t>
            </w:r>
          </w:p>
        </w:tc>
        <w:tc>
          <w:tcPr>
            <w:tcW w:w="20" w:type="dxa"/>
            <w:vAlign w:val="bottom"/>
            <w:shd w:val="clear" w:color="auto" w:fill="D9D9D9"/>
          </w:tcPr>
          <w:p>
            <w:pPr>
              <w:spacing w:after="0"/>
              <w:rPr>
                <w:sz w:val="7"/>
                <w:szCs w:val="7"/>
                <w:color w:val="auto"/>
              </w:rPr>
            </w:pPr>
          </w:p>
        </w:tc>
        <w:tc>
          <w:tcPr>
            <w:tcW w:w="520" w:type="dxa"/>
            <w:vAlign w:val="bottom"/>
            <w:tcBorders>
              <w:right w:val="single" w:sz="8" w:color="auto"/>
            </w:tcBorders>
            <w:vMerge w:val="restart"/>
            <w:shd w:val="clear" w:color="auto" w:fill="D9D9D9"/>
          </w:tcPr>
          <w:p>
            <w:pPr>
              <w:jc w:val="center"/>
              <w:ind w:right="117"/>
              <w:spacing w:after="0"/>
              <w:rPr>
                <w:sz w:val="20"/>
                <w:szCs w:val="20"/>
                <w:color w:val="auto"/>
              </w:rPr>
            </w:pPr>
            <w:r>
              <w:rPr>
                <w:rFonts w:ascii="Arial" w:cs="Arial" w:eastAsia="Arial" w:hAnsi="Arial"/>
                <w:sz w:val="7"/>
                <w:szCs w:val="7"/>
                <w:b w:val="1"/>
                <w:bCs w:val="1"/>
                <w:color w:val="auto"/>
                <w:w w:val="95"/>
              </w:rPr>
              <w:t>Estimated</w:t>
            </w:r>
          </w:p>
        </w:tc>
        <w:tc>
          <w:tcPr>
            <w:tcW w:w="740" w:type="dxa"/>
            <w:vAlign w:val="bottom"/>
            <w:tcBorders>
              <w:right w:val="single" w:sz="8" w:color="auto"/>
            </w:tcBorders>
            <w:shd w:val="clear" w:color="auto" w:fill="D9D9D9"/>
          </w:tcPr>
          <w:p>
            <w:pPr>
              <w:spacing w:after="0"/>
              <w:rPr>
                <w:sz w:val="7"/>
                <w:szCs w:val="7"/>
                <w:color w:val="auto"/>
              </w:rPr>
            </w:pPr>
          </w:p>
        </w:tc>
        <w:tc>
          <w:tcPr>
            <w:tcW w:w="720" w:type="dxa"/>
            <w:vAlign w:val="bottom"/>
            <w:tcBorders>
              <w:right w:val="single" w:sz="8" w:color="auto"/>
            </w:tcBorders>
            <w:vMerge w:val="restart"/>
            <w:shd w:val="clear" w:color="auto" w:fill="D9D9D9"/>
          </w:tcPr>
          <w:p>
            <w:pPr>
              <w:jc w:val="center"/>
              <w:ind w:right="77"/>
              <w:spacing w:after="0"/>
              <w:rPr>
                <w:sz w:val="20"/>
                <w:szCs w:val="20"/>
                <w:color w:val="auto"/>
              </w:rPr>
            </w:pPr>
            <w:r>
              <w:rPr>
                <w:rFonts w:ascii="Arial" w:cs="Arial" w:eastAsia="Arial" w:hAnsi="Arial"/>
                <w:sz w:val="7"/>
                <w:szCs w:val="7"/>
                <w:b w:val="1"/>
                <w:bCs w:val="1"/>
                <w:color w:val="auto"/>
                <w:w w:val="92"/>
              </w:rPr>
              <w:t>Estimated unused</w:t>
            </w:r>
          </w:p>
        </w:tc>
        <w:tc>
          <w:tcPr>
            <w:tcW w:w="580" w:type="dxa"/>
            <w:vAlign w:val="bottom"/>
            <w:tcBorders>
              <w:right w:val="single" w:sz="8" w:color="auto"/>
            </w:tcBorders>
            <w:shd w:val="clear" w:color="auto" w:fill="D9D9D9"/>
          </w:tcPr>
          <w:p>
            <w:pPr>
              <w:jc w:val="center"/>
              <w:ind w:right="78"/>
              <w:spacing w:after="0"/>
              <w:rPr>
                <w:sz w:val="20"/>
                <w:szCs w:val="20"/>
                <w:color w:val="auto"/>
              </w:rPr>
            </w:pPr>
            <w:r>
              <w:rPr>
                <w:rFonts w:ascii="Arial" w:cs="Arial" w:eastAsia="Arial" w:hAnsi="Arial"/>
                <w:sz w:val="7"/>
                <w:szCs w:val="7"/>
                <w:b w:val="1"/>
                <w:bCs w:val="1"/>
                <w:color w:val="auto"/>
                <w:w w:val="89"/>
              </w:rPr>
              <w:t>Estimated</w:t>
            </w:r>
          </w:p>
        </w:tc>
        <w:tc>
          <w:tcPr>
            <w:tcW w:w="540" w:type="dxa"/>
            <w:vAlign w:val="bottom"/>
            <w:tcBorders>
              <w:right w:val="single" w:sz="8" w:color="auto"/>
            </w:tcBorders>
            <w:vMerge w:val="restart"/>
            <w:shd w:val="clear" w:color="auto" w:fill="D9D9D9"/>
          </w:tcPr>
          <w:p>
            <w:pPr>
              <w:jc w:val="center"/>
              <w:ind w:right="77"/>
              <w:spacing w:after="0"/>
              <w:rPr>
                <w:sz w:val="20"/>
                <w:szCs w:val="20"/>
                <w:color w:val="auto"/>
              </w:rPr>
            </w:pPr>
            <w:r>
              <w:rPr>
                <w:rFonts w:ascii="Arial" w:cs="Arial" w:eastAsia="Arial" w:hAnsi="Arial"/>
                <w:sz w:val="7"/>
                <w:szCs w:val="7"/>
                <w:b w:val="1"/>
                <w:bCs w:val="1"/>
                <w:color w:val="auto"/>
                <w:w w:val="89"/>
              </w:rPr>
              <w:t>Estimated</w:t>
            </w:r>
          </w:p>
        </w:tc>
        <w:tc>
          <w:tcPr>
            <w:tcW w:w="720" w:type="dxa"/>
            <w:vAlign w:val="bottom"/>
            <w:tcBorders>
              <w:right w:val="single" w:sz="8" w:color="auto"/>
            </w:tcBorders>
            <w:shd w:val="clear" w:color="auto" w:fill="D9D9D9"/>
          </w:tcPr>
          <w:p>
            <w:pPr>
              <w:spacing w:after="0"/>
              <w:rPr>
                <w:sz w:val="7"/>
                <w:szCs w:val="7"/>
                <w:color w:val="auto"/>
              </w:rPr>
            </w:pPr>
          </w:p>
        </w:tc>
        <w:tc>
          <w:tcPr>
            <w:tcW w:w="720" w:type="dxa"/>
            <w:vAlign w:val="bottom"/>
            <w:tcBorders>
              <w:right w:val="single" w:sz="8" w:color="auto"/>
            </w:tcBorders>
            <w:vMerge w:val="restart"/>
            <w:shd w:val="clear" w:color="auto" w:fill="D9D9D9"/>
          </w:tcPr>
          <w:p>
            <w:pPr>
              <w:jc w:val="center"/>
              <w:ind w:right="77"/>
              <w:spacing w:after="0"/>
              <w:rPr>
                <w:sz w:val="20"/>
                <w:szCs w:val="20"/>
                <w:color w:val="auto"/>
              </w:rPr>
            </w:pPr>
            <w:r>
              <w:rPr>
                <w:rFonts w:ascii="Arial" w:cs="Arial" w:eastAsia="Arial" w:hAnsi="Arial"/>
                <w:sz w:val="7"/>
                <w:szCs w:val="7"/>
                <w:b w:val="1"/>
                <w:bCs w:val="1"/>
                <w:color w:val="auto"/>
                <w:w w:val="92"/>
              </w:rPr>
              <w:t>Estimated unused</w:t>
            </w:r>
          </w:p>
        </w:tc>
        <w:tc>
          <w:tcPr>
            <w:tcW w:w="600" w:type="dxa"/>
            <w:vAlign w:val="bottom"/>
            <w:tcBorders>
              <w:right w:val="single" w:sz="8" w:color="auto"/>
            </w:tcBorders>
            <w:shd w:val="clear" w:color="auto" w:fill="D9D9D9"/>
          </w:tcPr>
          <w:p>
            <w:pPr>
              <w:jc w:val="center"/>
              <w:ind w:right="78"/>
              <w:spacing w:after="0"/>
              <w:rPr>
                <w:sz w:val="20"/>
                <w:szCs w:val="20"/>
                <w:color w:val="auto"/>
              </w:rPr>
            </w:pPr>
            <w:r>
              <w:rPr>
                <w:rFonts w:ascii="Arial" w:cs="Arial" w:eastAsia="Arial" w:hAnsi="Arial"/>
                <w:sz w:val="7"/>
                <w:szCs w:val="7"/>
                <w:b w:val="1"/>
                <w:bCs w:val="1"/>
                <w:color w:val="auto"/>
                <w:w w:val="95"/>
              </w:rPr>
              <w:t>Estimated</w:t>
            </w:r>
          </w:p>
        </w:tc>
        <w:tc>
          <w:tcPr>
            <w:tcW w:w="520" w:type="dxa"/>
            <w:vAlign w:val="bottom"/>
            <w:tcBorders>
              <w:right w:val="single" w:sz="8" w:color="auto"/>
            </w:tcBorders>
            <w:vMerge w:val="restart"/>
            <w:shd w:val="clear" w:color="auto" w:fill="D9D9D9"/>
          </w:tcPr>
          <w:p>
            <w:pPr>
              <w:jc w:val="center"/>
              <w:ind w:right="97"/>
              <w:spacing w:after="0"/>
              <w:rPr>
                <w:sz w:val="20"/>
                <w:szCs w:val="20"/>
                <w:color w:val="auto"/>
              </w:rPr>
            </w:pPr>
            <w:r>
              <w:rPr>
                <w:rFonts w:ascii="Arial" w:cs="Arial" w:eastAsia="Arial" w:hAnsi="Arial"/>
                <w:sz w:val="7"/>
                <w:szCs w:val="7"/>
                <w:b w:val="1"/>
                <w:bCs w:val="1"/>
                <w:color w:val="auto"/>
                <w:w w:val="89"/>
              </w:rPr>
              <w:t>Estimated</w:t>
            </w:r>
          </w:p>
        </w:tc>
        <w:tc>
          <w:tcPr>
            <w:tcW w:w="720" w:type="dxa"/>
            <w:vAlign w:val="bottom"/>
            <w:tcBorders>
              <w:right w:val="single" w:sz="8" w:color="auto"/>
            </w:tcBorders>
            <w:shd w:val="clear" w:color="auto" w:fill="D9D9D9"/>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0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shd w:val="clear" w:color="auto" w:fill="000000"/>
          </w:tcPr>
          <w:p>
            <w:pPr>
              <w:spacing w:after="0"/>
              <w:rPr>
                <w:sz w:val="3"/>
                <w:szCs w:val="3"/>
                <w:color w:val="auto"/>
              </w:rPr>
            </w:pP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660" w:type="dxa"/>
            <w:vAlign w:val="bottom"/>
            <w:tcBorders>
              <w:right w:val="single" w:sz="8" w:color="auto"/>
            </w:tcBorders>
            <w:vMerge w:val="restart"/>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90"/>
              </w:rPr>
              <w:t>amount to be</w:t>
            </w:r>
          </w:p>
        </w:tc>
        <w:tc>
          <w:tcPr>
            <w:tcW w:w="540" w:type="dxa"/>
            <w:vAlign w:val="bottom"/>
            <w:tcBorders>
              <w:right w:val="single" w:sz="8" w:color="auto"/>
            </w:tcBorders>
            <w:gridSpan w:val="2"/>
            <w:vMerge w:val="continue"/>
            <w:shd w:val="clear" w:color="auto" w:fill="D9D9D9"/>
          </w:tcPr>
          <w:p>
            <w:pPr>
              <w:spacing w:after="0"/>
              <w:rPr>
                <w:sz w:val="3"/>
                <w:szCs w:val="3"/>
                <w:color w:val="auto"/>
              </w:rPr>
            </w:pPr>
          </w:p>
        </w:tc>
        <w:tc>
          <w:tcPr>
            <w:tcW w:w="740" w:type="dxa"/>
            <w:vAlign w:val="bottom"/>
            <w:tcBorders>
              <w:right w:val="single" w:sz="8" w:color="auto"/>
            </w:tcBorders>
            <w:vMerge w:val="restart"/>
            <w:shd w:val="clear" w:color="auto" w:fill="D9D9D9"/>
          </w:tcPr>
          <w:p>
            <w:pPr>
              <w:jc w:val="right"/>
              <w:ind w:right="117"/>
              <w:spacing w:after="0"/>
              <w:rPr>
                <w:sz w:val="20"/>
                <w:szCs w:val="20"/>
                <w:color w:val="auto"/>
              </w:rPr>
            </w:pPr>
            <w:r>
              <w:rPr>
                <w:rFonts w:ascii="Arial" w:cs="Arial" w:eastAsia="Arial" w:hAnsi="Arial"/>
                <w:sz w:val="7"/>
                <w:szCs w:val="7"/>
                <w:b w:val="1"/>
                <w:bCs w:val="1"/>
                <w:color w:val="auto"/>
                <w:w w:val="95"/>
              </w:rPr>
              <w:t>Estimated ending</w:t>
            </w:r>
          </w:p>
        </w:tc>
        <w:tc>
          <w:tcPr>
            <w:tcW w:w="760" w:type="dxa"/>
            <w:vAlign w:val="bottom"/>
            <w:tcBorders>
              <w:right w:val="single" w:sz="8" w:color="auto"/>
            </w:tcBorders>
            <w:vMerge w:val="continue"/>
            <w:shd w:val="clear" w:color="auto" w:fill="D9D9D9"/>
          </w:tcPr>
          <w:p>
            <w:pPr>
              <w:spacing w:after="0"/>
              <w:rPr>
                <w:sz w:val="3"/>
                <w:szCs w:val="3"/>
                <w:color w:val="auto"/>
              </w:rPr>
            </w:pP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20" w:type="dxa"/>
            <w:vAlign w:val="bottom"/>
            <w:shd w:val="clear" w:color="auto" w:fill="D9D9D9"/>
          </w:tcPr>
          <w:p>
            <w:pPr>
              <w:spacing w:after="0"/>
              <w:rPr>
                <w:sz w:val="3"/>
                <w:szCs w:val="3"/>
                <w:color w:val="auto"/>
              </w:rPr>
            </w:pPr>
          </w:p>
        </w:tc>
        <w:tc>
          <w:tcPr>
            <w:tcW w:w="520" w:type="dxa"/>
            <w:vAlign w:val="bottom"/>
            <w:tcBorders>
              <w:right w:val="single" w:sz="8" w:color="auto"/>
            </w:tcBorders>
            <w:vMerge w:val="continue"/>
            <w:shd w:val="clear" w:color="auto" w:fill="D9D9D9"/>
          </w:tcPr>
          <w:p>
            <w:pPr>
              <w:spacing w:after="0"/>
              <w:rPr>
                <w:sz w:val="3"/>
                <w:szCs w:val="3"/>
                <w:color w:val="auto"/>
              </w:rPr>
            </w:pPr>
          </w:p>
        </w:tc>
        <w:tc>
          <w:tcPr>
            <w:tcW w:w="740" w:type="dxa"/>
            <w:vAlign w:val="bottom"/>
            <w:tcBorders>
              <w:right w:val="single" w:sz="8" w:color="auto"/>
            </w:tcBorders>
            <w:vMerge w:val="restart"/>
            <w:shd w:val="clear" w:color="auto" w:fill="D9D9D9"/>
          </w:tcPr>
          <w:p>
            <w:pPr>
              <w:jc w:val="right"/>
              <w:ind w:right="117"/>
              <w:spacing w:after="0"/>
              <w:rPr>
                <w:sz w:val="20"/>
                <w:szCs w:val="20"/>
                <w:color w:val="auto"/>
              </w:rPr>
            </w:pPr>
            <w:r>
              <w:rPr>
                <w:rFonts w:ascii="Arial" w:cs="Arial" w:eastAsia="Arial" w:hAnsi="Arial"/>
                <w:sz w:val="7"/>
                <w:szCs w:val="7"/>
                <w:b w:val="1"/>
                <w:bCs w:val="1"/>
                <w:color w:val="auto"/>
                <w:w w:val="95"/>
              </w:rPr>
              <w:t>Estimated ending</w:t>
            </w:r>
          </w:p>
        </w:tc>
        <w:tc>
          <w:tcPr>
            <w:tcW w:w="720" w:type="dxa"/>
            <w:vAlign w:val="bottom"/>
            <w:tcBorders>
              <w:right w:val="single" w:sz="8" w:color="auto"/>
            </w:tcBorders>
            <w:vMerge w:val="continue"/>
            <w:shd w:val="clear" w:color="auto" w:fill="D9D9D9"/>
          </w:tcPr>
          <w:p>
            <w:pPr>
              <w:spacing w:after="0"/>
              <w:rPr>
                <w:sz w:val="3"/>
                <w:szCs w:val="3"/>
                <w:color w:val="auto"/>
              </w:rPr>
            </w:pPr>
          </w:p>
        </w:tc>
        <w:tc>
          <w:tcPr>
            <w:tcW w:w="580" w:type="dxa"/>
            <w:vAlign w:val="bottom"/>
            <w:tcBorders>
              <w:right w:val="single" w:sz="8" w:color="auto"/>
            </w:tcBorders>
            <w:vMerge w:val="restart"/>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90"/>
              </w:rPr>
              <w:t>amount to be</w:t>
            </w:r>
          </w:p>
        </w:tc>
        <w:tc>
          <w:tcPr>
            <w:tcW w:w="540" w:type="dxa"/>
            <w:vAlign w:val="bottom"/>
            <w:tcBorders>
              <w:right w:val="single" w:sz="8" w:color="auto"/>
            </w:tcBorders>
            <w:vMerge w:val="continue"/>
            <w:shd w:val="clear" w:color="auto" w:fill="D9D9D9"/>
          </w:tcPr>
          <w:p>
            <w:pPr>
              <w:spacing w:after="0"/>
              <w:rPr>
                <w:sz w:val="3"/>
                <w:szCs w:val="3"/>
                <w:color w:val="auto"/>
              </w:rPr>
            </w:pPr>
          </w:p>
        </w:tc>
        <w:tc>
          <w:tcPr>
            <w:tcW w:w="720" w:type="dxa"/>
            <w:vAlign w:val="bottom"/>
            <w:tcBorders>
              <w:right w:val="single" w:sz="8" w:color="auto"/>
            </w:tcBorders>
            <w:vMerge w:val="restart"/>
            <w:shd w:val="clear" w:color="auto" w:fill="D9D9D9"/>
          </w:tcPr>
          <w:p>
            <w:pPr>
              <w:jc w:val="right"/>
              <w:ind w:right="117"/>
              <w:spacing w:after="0"/>
              <w:rPr>
                <w:sz w:val="20"/>
                <w:szCs w:val="20"/>
                <w:color w:val="auto"/>
              </w:rPr>
            </w:pPr>
            <w:r>
              <w:rPr>
                <w:rFonts w:ascii="Arial" w:cs="Arial" w:eastAsia="Arial" w:hAnsi="Arial"/>
                <w:sz w:val="7"/>
                <w:szCs w:val="7"/>
                <w:b w:val="1"/>
                <w:bCs w:val="1"/>
                <w:color w:val="auto"/>
                <w:w w:val="92"/>
              </w:rPr>
              <w:t>Estimated ending</w:t>
            </w:r>
          </w:p>
        </w:tc>
        <w:tc>
          <w:tcPr>
            <w:tcW w:w="720" w:type="dxa"/>
            <w:vAlign w:val="bottom"/>
            <w:tcBorders>
              <w:right w:val="single" w:sz="8" w:color="auto"/>
            </w:tcBorders>
            <w:vMerge w:val="continue"/>
            <w:shd w:val="clear" w:color="auto" w:fill="D9D9D9"/>
          </w:tcPr>
          <w:p>
            <w:pPr>
              <w:spacing w:after="0"/>
              <w:rPr>
                <w:sz w:val="3"/>
                <w:szCs w:val="3"/>
                <w:color w:val="auto"/>
              </w:rPr>
            </w:pPr>
          </w:p>
        </w:tc>
        <w:tc>
          <w:tcPr>
            <w:tcW w:w="600" w:type="dxa"/>
            <w:vAlign w:val="bottom"/>
            <w:tcBorders>
              <w:right w:val="single" w:sz="8" w:color="auto"/>
            </w:tcBorders>
            <w:vMerge w:val="restart"/>
            <w:shd w:val="clear" w:color="auto" w:fill="D9D9D9"/>
          </w:tcPr>
          <w:p>
            <w:pPr>
              <w:jc w:val="center"/>
              <w:ind w:right="78"/>
              <w:spacing w:after="0"/>
              <w:rPr>
                <w:sz w:val="20"/>
                <w:szCs w:val="20"/>
                <w:color w:val="auto"/>
              </w:rPr>
            </w:pPr>
            <w:r>
              <w:rPr>
                <w:rFonts w:ascii="Arial" w:cs="Arial" w:eastAsia="Arial" w:hAnsi="Arial"/>
                <w:sz w:val="7"/>
                <w:szCs w:val="7"/>
                <w:b w:val="1"/>
                <w:bCs w:val="1"/>
                <w:color w:val="auto"/>
                <w:w w:val="90"/>
              </w:rPr>
              <w:t>amount to be</w:t>
            </w:r>
          </w:p>
        </w:tc>
        <w:tc>
          <w:tcPr>
            <w:tcW w:w="520" w:type="dxa"/>
            <w:vAlign w:val="bottom"/>
            <w:tcBorders>
              <w:right w:val="single" w:sz="8" w:color="auto"/>
            </w:tcBorders>
            <w:vMerge w:val="continue"/>
            <w:shd w:val="clear" w:color="auto" w:fill="D9D9D9"/>
          </w:tcPr>
          <w:p>
            <w:pPr>
              <w:spacing w:after="0"/>
              <w:rPr>
                <w:sz w:val="3"/>
                <w:szCs w:val="3"/>
                <w:color w:val="auto"/>
              </w:rPr>
            </w:pPr>
          </w:p>
        </w:tc>
        <w:tc>
          <w:tcPr>
            <w:tcW w:w="720" w:type="dxa"/>
            <w:vAlign w:val="bottom"/>
            <w:tcBorders>
              <w:right w:val="single" w:sz="8" w:color="auto"/>
            </w:tcBorders>
            <w:vMerge w:val="restart"/>
            <w:shd w:val="clear" w:color="auto" w:fill="D9D9D9"/>
          </w:tcPr>
          <w:p>
            <w:pPr>
              <w:jc w:val="right"/>
              <w:ind w:right="112"/>
              <w:spacing w:after="0"/>
              <w:rPr>
                <w:sz w:val="20"/>
                <w:szCs w:val="20"/>
                <w:color w:val="auto"/>
              </w:rPr>
            </w:pPr>
            <w:r>
              <w:rPr>
                <w:rFonts w:ascii="Arial" w:cs="Arial" w:eastAsia="Arial" w:hAnsi="Arial"/>
                <w:sz w:val="7"/>
                <w:szCs w:val="7"/>
                <w:b w:val="1"/>
                <w:bCs w:val="1"/>
                <w:color w:val="auto"/>
                <w:w w:val="92"/>
              </w:rPr>
              <w:t>Estimated ending</w:t>
            </w: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shd w:val="clear" w:color="auto" w:fill="000000"/>
          </w:tcPr>
          <w:p>
            <w:pPr>
              <w:spacing w:after="0"/>
              <w:rPr>
                <w:sz w:val="3"/>
                <w:szCs w:val="3"/>
                <w:color w:val="auto"/>
              </w:rPr>
            </w:pPr>
          </w:p>
        </w:tc>
        <w:tc>
          <w:tcPr>
            <w:tcW w:w="7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7"/>
                <w:szCs w:val="7"/>
                <w:b w:val="1"/>
                <w:bCs w:val="1"/>
                <w:color w:val="auto"/>
                <w:w w:val="91"/>
              </w:rPr>
              <w:t>balance at beginning</w:t>
            </w:r>
          </w:p>
        </w:tc>
        <w:tc>
          <w:tcPr>
            <w:tcW w:w="660" w:type="dxa"/>
            <w:vAlign w:val="bottom"/>
            <w:tcBorders>
              <w:right w:val="single" w:sz="8" w:color="auto"/>
            </w:tcBorders>
            <w:vMerge w:val="continue"/>
            <w:shd w:val="clear" w:color="auto" w:fill="D9D9D9"/>
          </w:tcPr>
          <w:p>
            <w:pPr>
              <w:spacing w:after="0"/>
              <w:rPr>
                <w:sz w:val="3"/>
                <w:szCs w:val="3"/>
                <w:color w:val="auto"/>
              </w:rPr>
            </w:pPr>
          </w:p>
        </w:tc>
        <w:tc>
          <w:tcPr>
            <w:tcW w:w="340" w:type="dxa"/>
            <w:vAlign w:val="bottom"/>
            <w:vMerge w:val="restart"/>
            <w:shd w:val="clear" w:color="auto" w:fill="D9D9D9"/>
          </w:tcPr>
          <w:p>
            <w:pPr>
              <w:jc w:val="center"/>
              <w:ind w:left="64"/>
              <w:spacing w:after="0"/>
              <w:rPr>
                <w:sz w:val="20"/>
                <w:szCs w:val="20"/>
                <w:color w:val="auto"/>
              </w:rPr>
            </w:pPr>
            <w:r>
              <w:rPr>
                <w:rFonts w:ascii="Arial" w:cs="Arial" w:eastAsia="Arial" w:hAnsi="Arial"/>
                <w:sz w:val="7"/>
                <w:szCs w:val="7"/>
                <w:b w:val="1"/>
                <w:bCs w:val="1"/>
                <w:color w:val="auto"/>
                <w:w w:val="94"/>
              </w:rPr>
              <w:t>amount</w:t>
            </w:r>
          </w:p>
        </w:tc>
        <w:tc>
          <w:tcPr>
            <w:tcW w:w="200" w:type="dxa"/>
            <w:vAlign w:val="bottom"/>
            <w:tcBorders>
              <w:right w:val="single" w:sz="8" w:color="auto"/>
            </w:tcBorders>
            <w:shd w:val="clear" w:color="auto" w:fill="D9D9D9"/>
          </w:tcPr>
          <w:p>
            <w:pPr>
              <w:spacing w:after="0"/>
              <w:rPr>
                <w:sz w:val="3"/>
                <w:szCs w:val="3"/>
                <w:color w:val="auto"/>
              </w:rPr>
            </w:pP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760" w:type="dxa"/>
            <w:vAlign w:val="bottom"/>
            <w:tcBorders>
              <w:right w:val="single" w:sz="8" w:color="auto"/>
            </w:tcBorders>
            <w:vMerge w:val="restart"/>
            <w:shd w:val="clear" w:color="auto" w:fill="D9D9D9"/>
          </w:tcPr>
          <w:p>
            <w:pPr>
              <w:jc w:val="center"/>
              <w:ind w:right="77"/>
              <w:spacing w:after="0"/>
              <w:rPr>
                <w:sz w:val="20"/>
                <w:szCs w:val="20"/>
                <w:color w:val="auto"/>
              </w:rPr>
            </w:pPr>
            <w:r>
              <w:rPr>
                <w:rFonts w:ascii="Arial" w:cs="Arial" w:eastAsia="Arial" w:hAnsi="Arial"/>
                <w:sz w:val="7"/>
                <w:szCs w:val="7"/>
                <w:b w:val="1"/>
                <w:bCs w:val="1"/>
                <w:color w:val="auto"/>
                <w:w w:val="93"/>
              </w:rPr>
              <w:t>balance at</w:t>
            </w:r>
          </w:p>
        </w:tc>
        <w:tc>
          <w:tcPr>
            <w:tcW w:w="740" w:type="dxa"/>
            <w:vAlign w:val="bottom"/>
            <w:tcBorders>
              <w:right w:val="single" w:sz="8" w:color="auto"/>
            </w:tcBorders>
            <w:vMerge w:val="restart"/>
            <w:shd w:val="clear" w:color="auto" w:fill="D9D9D9"/>
          </w:tcPr>
          <w:p>
            <w:pPr>
              <w:jc w:val="center"/>
              <w:ind w:right="98"/>
              <w:spacing w:after="0"/>
              <w:rPr>
                <w:sz w:val="20"/>
                <w:szCs w:val="20"/>
                <w:color w:val="auto"/>
              </w:rPr>
            </w:pPr>
            <w:r>
              <w:rPr>
                <w:rFonts w:ascii="Arial" w:cs="Arial" w:eastAsia="Arial" w:hAnsi="Arial"/>
                <w:sz w:val="7"/>
                <w:szCs w:val="7"/>
                <w:b w:val="1"/>
                <w:bCs w:val="1"/>
                <w:color w:val="auto"/>
                <w:w w:val="89"/>
              </w:rPr>
              <w:t>to be reflected on</w:t>
            </w:r>
          </w:p>
        </w:tc>
        <w:tc>
          <w:tcPr>
            <w:tcW w:w="20" w:type="dxa"/>
            <w:vAlign w:val="bottom"/>
            <w:shd w:val="clear" w:color="auto" w:fill="D9D9D9"/>
          </w:tcPr>
          <w:p>
            <w:pPr>
              <w:spacing w:after="0"/>
              <w:rPr>
                <w:sz w:val="3"/>
                <w:szCs w:val="3"/>
                <w:color w:val="auto"/>
              </w:rPr>
            </w:pPr>
          </w:p>
        </w:tc>
        <w:tc>
          <w:tcPr>
            <w:tcW w:w="520" w:type="dxa"/>
            <w:vAlign w:val="bottom"/>
            <w:tcBorders>
              <w:right w:val="single" w:sz="8" w:color="auto"/>
            </w:tcBorders>
            <w:vMerge w:val="restart"/>
            <w:shd w:val="clear" w:color="auto" w:fill="D9D9D9"/>
          </w:tcPr>
          <w:p>
            <w:pPr>
              <w:jc w:val="center"/>
              <w:ind w:right="117"/>
              <w:spacing w:after="0"/>
              <w:rPr>
                <w:sz w:val="20"/>
                <w:szCs w:val="20"/>
                <w:color w:val="auto"/>
              </w:rPr>
            </w:pPr>
            <w:r>
              <w:rPr>
                <w:rFonts w:ascii="Arial" w:cs="Arial" w:eastAsia="Arial" w:hAnsi="Arial"/>
                <w:sz w:val="7"/>
                <w:szCs w:val="7"/>
                <w:b w:val="1"/>
                <w:bCs w:val="1"/>
                <w:color w:val="auto"/>
                <w:w w:val="94"/>
              </w:rPr>
              <w:t>amount</w:t>
            </w: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720" w:type="dxa"/>
            <w:vAlign w:val="bottom"/>
            <w:tcBorders>
              <w:right w:val="single" w:sz="8" w:color="auto"/>
            </w:tcBorders>
            <w:vMerge w:val="restart"/>
            <w:shd w:val="clear" w:color="auto" w:fill="D9D9D9"/>
          </w:tcPr>
          <w:p>
            <w:pPr>
              <w:jc w:val="center"/>
              <w:ind w:right="77"/>
              <w:spacing w:after="0"/>
              <w:rPr>
                <w:sz w:val="20"/>
                <w:szCs w:val="20"/>
                <w:color w:val="auto"/>
              </w:rPr>
            </w:pPr>
            <w:r>
              <w:rPr>
                <w:rFonts w:ascii="Arial" w:cs="Arial" w:eastAsia="Arial" w:hAnsi="Arial"/>
                <w:sz w:val="7"/>
                <w:szCs w:val="7"/>
                <w:b w:val="1"/>
                <w:bCs w:val="1"/>
                <w:color w:val="auto"/>
                <w:w w:val="93"/>
              </w:rPr>
              <w:t>balance at</w:t>
            </w:r>
          </w:p>
        </w:tc>
        <w:tc>
          <w:tcPr>
            <w:tcW w:w="580" w:type="dxa"/>
            <w:vAlign w:val="bottom"/>
            <w:tcBorders>
              <w:right w:val="single" w:sz="8" w:color="auto"/>
            </w:tcBorders>
            <w:vMerge w:val="continue"/>
            <w:shd w:val="clear" w:color="auto" w:fill="D9D9D9"/>
          </w:tcPr>
          <w:p>
            <w:pPr>
              <w:spacing w:after="0"/>
              <w:rPr>
                <w:sz w:val="3"/>
                <w:szCs w:val="3"/>
                <w:color w:val="auto"/>
              </w:rPr>
            </w:pPr>
          </w:p>
        </w:tc>
        <w:tc>
          <w:tcPr>
            <w:tcW w:w="540" w:type="dxa"/>
            <w:vAlign w:val="bottom"/>
            <w:tcBorders>
              <w:right w:val="single" w:sz="8" w:color="auto"/>
            </w:tcBorders>
            <w:vMerge w:val="restart"/>
            <w:shd w:val="clear" w:color="auto" w:fill="D9D9D9"/>
          </w:tcPr>
          <w:p>
            <w:pPr>
              <w:jc w:val="center"/>
              <w:ind w:right="97"/>
              <w:spacing w:after="0"/>
              <w:rPr>
                <w:sz w:val="20"/>
                <w:szCs w:val="20"/>
                <w:color w:val="auto"/>
              </w:rPr>
            </w:pPr>
            <w:r>
              <w:rPr>
                <w:rFonts w:ascii="Arial" w:cs="Arial" w:eastAsia="Arial" w:hAnsi="Arial"/>
                <w:sz w:val="7"/>
                <w:szCs w:val="7"/>
                <w:b w:val="1"/>
                <w:bCs w:val="1"/>
                <w:color w:val="auto"/>
                <w:w w:val="94"/>
              </w:rPr>
              <w:t>amount</w:t>
            </w:r>
          </w:p>
        </w:tc>
        <w:tc>
          <w:tcPr>
            <w:tcW w:w="720" w:type="dxa"/>
            <w:vAlign w:val="bottom"/>
            <w:tcBorders>
              <w:right w:val="single" w:sz="8" w:color="auto"/>
            </w:tcBorders>
            <w:vMerge w:val="continue"/>
            <w:shd w:val="clear" w:color="auto" w:fill="D9D9D9"/>
          </w:tcPr>
          <w:p>
            <w:pPr>
              <w:spacing w:after="0"/>
              <w:rPr>
                <w:sz w:val="3"/>
                <w:szCs w:val="3"/>
                <w:color w:val="auto"/>
              </w:rPr>
            </w:pPr>
          </w:p>
        </w:tc>
        <w:tc>
          <w:tcPr>
            <w:tcW w:w="720" w:type="dxa"/>
            <w:vAlign w:val="bottom"/>
            <w:tcBorders>
              <w:right w:val="single" w:sz="8" w:color="auto"/>
            </w:tcBorders>
            <w:vMerge w:val="restart"/>
            <w:shd w:val="clear" w:color="auto" w:fill="D9D9D9"/>
          </w:tcPr>
          <w:p>
            <w:pPr>
              <w:jc w:val="center"/>
              <w:ind w:right="77"/>
              <w:spacing w:after="0"/>
              <w:rPr>
                <w:sz w:val="20"/>
                <w:szCs w:val="20"/>
                <w:color w:val="auto"/>
              </w:rPr>
            </w:pPr>
            <w:r>
              <w:rPr>
                <w:rFonts w:ascii="Arial" w:cs="Arial" w:eastAsia="Arial" w:hAnsi="Arial"/>
                <w:sz w:val="7"/>
                <w:szCs w:val="7"/>
                <w:b w:val="1"/>
                <w:bCs w:val="1"/>
                <w:color w:val="auto"/>
                <w:w w:val="93"/>
              </w:rPr>
              <w:t>balance at</w:t>
            </w:r>
          </w:p>
        </w:tc>
        <w:tc>
          <w:tcPr>
            <w:tcW w:w="600" w:type="dxa"/>
            <w:vAlign w:val="bottom"/>
            <w:tcBorders>
              <w:right w:val="single" w:sz="8" w:color="auto"/>
            </w:tcBorders>
            <w:vMerge w:val="continue"/>
            <w:shd w:val="clear" w:color="auto" w:fill="D9D9D9"/>
          </w:tcPr>
          <w:p>
            <w:pPr>
              <w:spacing w:after="0"/>
              <w:rPr>
                <w:sz w:val="3"/>
                <w:szCs w:val="3"/>
                <w:color w:val="auto"/>
              </w:rPr>
            </w:pPr>
          </w:p>
        </w:tc>
        <w:tc>
          <w:tcPr>
            <w:tcW w:w="520" w:type="dxa"/>
            <w:vAlign w:val="bottom"/>
            <w:tcBorders>
              <w:right w:val="single" w:sz="8" w:color="auto"/>
            </w:tcBorders>
            <w:vMerge w:val="restart"/>
            <w:shd w:val="clear" w:color="auto" w:fill="D9D9D9"/>
          </w:tcPr>
          <w:p>
            <w:pPr>
              <w:jc w:val="center"/>
              <w:ind w:right="77"/>
              <w:spacing w:after="0"/>
              <w:rPr>
                <w:sz w:val="20"/>
                <w:szCs w:val="20"/>
                <w:color w:val="auto"/>
              </w:rPr>
            </w:pPr>
            <w:r>
              <w:rPr>
                <w:rFonts w:ascii="Arial" w:cs="Arial" w:eastAsia="Arial" w:hAnsi="Arial"/>
                <w:sz w:val="7"/>
                <w:szCs w:val="7"/>
                <w:b w:val="1"/>
                <w:bCs w:val="1"/>
                <w:color w:val="auto"/>
                <w:w w:val="94"/>
              </w:rPr>
              <w:t>amount</w:t>
            </w:r>
          </w:p>
        </w:tc>
        <w:tc>
          <w:tcPr>
            <w:tcW w:w="720" w:type="dxa"/>
            <w:vAlign w:val="bottom"/>
            <w:tcBorders>
              <w:right w:val="single" w:sz="8" w:color="auto"/>
            </w:tcBorders>
            <w:vMerge w:val="continue"/>
            <w:shd w:val="clear" w:color="auto" w:fill="D9D9D9"/>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7"/>
                <w:szCs w:val="7"/>
                <w:color w:val="FFFFFF"/>
                <w:w w:val="96"/>
              </w:rPr>
              <w:t>Description</w:t>
            </w: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660" w:type="dxa"/>
            <w:vAlign w:val="bottom"/>
            <w:tcBorders>
              <w:right w:val="single" w:sz="8" w:color="auto"/>
            </w:tcBorders>
            <w:vMerge w:val="restart"/>
            <w:shd w:val="clear" w:color="auto" w:fill="D9D9D9"/>
          </w:tcPr>
          <w:p>
            <w:pPr>
              <w:jc w:val="center"/>
              <w:ind w:right="78"/>
              <w:spacing w:after="0"/>
              <w:rPr>
                <w:sz w:val="20"/>
                <w:szCs w:val="20"/>
                <w:color w:val="auto"/>
              </w:rPr>
            </w:pPr>
            <w:r>
              <w:rPr>
                <w:rFonts w:ascii="Arial" w:cs="Arial" w:eastAsia="Arial" w:hAnsi="Arial"/>
                <w:sz w:val="7"/>
                <w:szCs w:val="7"/>
                <w:b w:val="1"/>
                <w:bCs w:val="1"/>
                <w:color w:val="auto"/>
                <w:w w:val="93"/>
              </w:rPr>
              <w:t>reflected on Tax</w:t>
            </w:r>
          </w:p>
        </w:tc>
        <w:tc>
          <w:tcPr>
            <w:tcW w:w="340" w:type="dxa"/>
            <w:vAlign w:val="bottom"/>
            <w:vMerge w:val="continue"/>
            <w:shd w:val="clear" w:color="auto" w:fill="D9D9D9"/>
          </w:tcPr>
          <w:p>
            <w:pPr>
              <w:spacing w:after="0"/>
              <w:rPr>
                <w:sz w:val="3"/>
                <w:szCs w:val="3"/>
                <w:color w:val="auto"/>
              </w:rPr>
            </w:pPr>
          </w:p>
        </w:tc>
        <w:tc>
          <w:tcPr>
            <w:tcW w:w="200" w:type="dxa"/>
            <w:vAlign w:val="bottom"/>
            <w:tcBorders>
              <w:right w:val="single" w:sz="8" w:color="auto"/>
            </w:tcBorders>
            <w:shd w:val="clear" w:color="auto" w:fill="D9D9D9"/>
          </w:tcPr>
          <w:p>
            <w:pPr>
              <w:spacing w:after="0"/>
              <w:rPr>
                <w:sz w:val="3"/>
                <w:szCs w:val="3"/>
                <w:color w:val="auto"/>
              </w:rPr>
            </w:pPr>
          </w:p>
        </w:tc>
        <w:tc>
          <w:tcPr>
            <w:tcW w:w="740" w:type="dxa"/>
            <w:vAlign w:val="bottom"/>
            <w:tcBorders>
              <w:right w:val="single" w:sz="8" w:color="auto"/>
            </w:tcBorders>
            <w:vMerge w:val="restart"/>
            <w:shd w:val="clear" w:color="auto" w:fill="D9D9D9"/>
          </w:tcPr>
          <w:p>
            <w:pPr>
              <w:jc w:val="right"/>
              <w:ind w:right="257"/>
              <w:spacing w:after="0"/>
              <w:rPr>
                <w:sz w:val="20"/>
                <w:szCs w:val="20"/>
                <w:color w:val="auto"/>
              </w:rPr>
            </w:pPr>
            <w:r>
              <w:rPr>
                <w:rFonts w:ascii="Arial" w:cs="Arial" w:eastAsia="Arial" w:hAnsi="Arial"/>
                <w:sz w:val="7"/>
                <w:szCs w:val="7"/>
                <w:b w:val="1"/>
                <w:bCs w:val="1"/>
                <w:color w:val="auto"/>
              </w:rPr>
              <w:t>balance</w:t>
            </w:r>
          </w:p>
        </w:tc>
        <w:tc>
          <w:tcPr>
            <w:tcW w:w="760" w:type="dxa"/>
            <w:vAlign w:val="bottom"/>
            <w:tcBorders>
              <w:right w:val="single" w:sz="8" w:color="auto"/>
            </w:tcBorders>
            <w:vMerge w:val="continue"/>
            <w:shd w:val="clear" w:color="auto" w:fill="D9D9D9"/>
          </w:tcPr>
          <w:p>
            <w:pPr>
              <w:spacing w:after="0"/>
              <w:rPr>
                <w:sz w:val="3"/>
                <w:szCs w:val="3"/>
                <w:color w:val="auto"/>
              </w:rPr>
            </w:pP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20" w:type="dxa"/>
            <w:vAlign w:val="bottom"/>
            <w:shd w:val="clear" w:color="auto" w:fill="D9D9D9"/>
          </w:tcPr>
          <w:p>
            <w:pPr>
              <w:spacing w:after="0"/>
              <w:rPr>
                <w:sz w:val="3"/>
                <w:szCs w:val="3"/>
                <w:color w:val="auto"/>
              </w:rPr>
            </w:pPr>
          </w:p>
        </w:tc>
        <w:tc>
          <w:tcPr>
            <w:tcW w:w="520" w:type="dxa"/>
            <w:vAlign w:val="bottom"/>
            <w:tcBorders>
              <w:right w:val="single" w:sz="8" w:color="auto"/>
            </w:tcBorders>
            <w:vMerge w:val="continue"/>
            <w:shd w:val="clear" w:color="auto" w:fill="D9D9D9"/>
          </w:tcPr>
          <w:p>
            <w:pPr>
              <w:spacing w:after="0"/>
              <w:rPr>
                <w:sz w:val="3"/>
                <w:szCs w:val="3"/>
                <w:color w:val="auto"/>
              </w:rPr>
            </w:pPr>
          </w:p>
        </w:tc>
        <w:tc>
          <w:tcPr>
            <w:tcW w:w="740" w:type="dxa"/>
            <w:vAlign w:val="bottom"/>
            <w:tcBorders>
              <w:right w:val="single" w:sz="8" w:color="auto"/>
            </w:tcBorders>
            <w:vMerge w:val="restart"/>
            <w:shd w:val="clear" w:color="auto" w:fill="D9D9D9"/>
          </w:tcPr>
          <w:p>
            <w:pPr>
              <w:jc w:val="right"/>
              <w:ind w:right="257"/>
              <w:spacing w:after="0"/>
              <w:rPr>
                <w:sz w:val="20"/>
                <w:szCs w:val="20"/>
                <w:color w:val="auto"/>
              </w:rPr>
            </w:pPr>
            <w:r>
              <w:rPr>
                <w:rFonts w:ascii="Arial" w:cs="Arial" w:eastAsia="Arial" w:hAnsi="Arial"/>
                <w:sz w:val="7"/>
                <w:szCs w:val="7"/>
                <w:b w:val="1"/>
                <w:bCs w:val="1"/>
                <w:color w:val="auto"/>
              </w:rPr>
              <w:t>balance</w:t>
            </w:r>
          </w:p>
        </w:tc>
        <w:tc>
          <w:tcPr>
            <w:tcW w:w="720" w:type="dxa"/>
            <w:vAlign w:val="bottom"/>
            <w:tcBorders>
              <w:right w:val="single" w:sz="8" w:color="auto"/>
            </w:tcBorders>
            <w:vMerge w:val="continue"/>
            <w:shd w:val="clear" w:color="auto" w:fill="D9D9D9"/>
          </w:tcPr>
          <w:p>
            <w:pPr>
              <w:spacing w:after="0"/>
              <w:rPr>
                <w:sz w:val="3"/>
                <w:szCs w:val="3"/>
                <w:color w:val="auto"/>
              </w:rPr>
            </w:pPr>
          </w:p>
        </w:tc>
        <w:tc>
          <w:tcPr>
            <w:tcW w:w="580" w:type="dxa"/>
            <w:vAlign w:val="bottom"/>
            <w:tcBorders>
              <w:right w:val="single" w:sz="8" w:color="auto"/>
            </w:tcBorders>
            <w:vMerge w:val="restart"/>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90"/>
              </w:rPr>
              <w:t>reflected on</w:t>
            </w:r>
          </w:p>
        </w:tc>
        <w:tc>
          <w:tcPr>
            <w:tcW w:w="540" w:type="dxa"/>
            <w:vAlign w:val="bottom"/>
            <w:tcBorders>
              <w:right w:val="single" w:sz="8" w:color="auto"/>
            </w:tcBorders>
            <w:vMerge w:val="continue"/>
            <w:shd w:val="clear" w:color="auto" w:fill="D9D9D9"/>
          </w:tcPr>
          <w:p>
            <w:pPr>
              <w:spacing w:after="0"/>
              <w:rPr>
                <w:sz w:val="3"/>
                <w:szCs w:val="3"/>
                <w:color w:val="auto"/>
              </w:rPr>
            </w:pPr>
          </w:p>
        </w:tc>
        <w:tc>
          <w:tcPr>
            <w:tcW w:w="720" w:type="dxa"/>
            <w:vAlign w:val="bottom"/>
            <w:tcBorders>
              <w:right w:val="single" w:sz="8" w:color="auto"/>
            </w:tcBorders>
            <w:vMerge w:val="restart"/>
            <w:shd w:val="clear" w:color="auto" w:fill="D9D9D9"/>
          </w:tcPr>
          <w:p>
            <w:pPr>
              <w:jc w:val="right"/>
              <w:ind w:right="257"/>
              <w:spacing w:after="0"/>
              <w:rPr>
                <w:sz w:val="20"/>
                <w:szCs w:val="20"/>
                <w:color w:val="auto"/>
              </w:rPr>
            </w:pPr>
            <w:r>
              <w:rPr>
                <w:rFonts w:ascii="Arial" w:cs="Arial" w:eastAsia="Arial" w:hAnsi="Arial"/>
                <w:sz w:val="7"/>
                <w:szCs w:val="7"/>
                <w:b w:val="1"/>
                <w:bCs w:val="1"/>
                <w:color w:val="auto"/>
              </w:rPr>
              <w:t>balance</w:t>
            </w:r>
          </w:p>
        </w:tc>
        <w:tc>
          <w:tcPr>
            <w:tcW w:w="720" w:type="dxa"/>
            <w:vAlign w:val="bottom"/>
            <w:tcBorders>
              <w:right w:val="single" w:sz="8" w:color="auto"/>
            </w:tcBorders>
            <w:vMerge w:val="continue"/>
            <w:shd w:val="clear" w:color="auto" w:fill="D9D9D9"/>
          </w:tcPr>
          <w:p>
            <w:pPr>
              <w:spacing w:after="0"/>
              <w:rPr>
                <w:sz w:val="3"/>
                <w:szCs w:val="3"/>
                <w:color w:val="auto"/>
              </w:rPr>
            </w:pPr>
          </w:p>
        </w:tc>
        <w:tc>
          <w:tcPr>
            <w:tcW w:w="600" w:type="dxa"/>
            <w:vAlign w:val="bottom"/>
            <w:tcBorders>
              <w:right w:val="single" w:sz="8" w:color="auto"/>
            </w:tcBorders>
            <w:vMerge w:val="restart"/>
            <w:shd w:val="clear" w:color="auto" w:fill="D9D9D9"/>
          </w:tcPr>
          <w:p>
            <w:pPr>
              <w:jc w:val="center"/>
              <w:ind w:right="78"/>
              <w:spacing w:after="0"/>
              <w:rPr>
                <w:sz w:val="20"/>
                <w:szCs w:val="20"/>
                <w:color w:val="auto"/>
              </w:rPr>
            </w:pPr>
            <w:r>
              <w:rPr>
                <w:rFonts w:ascii="Arial" w:cs="Arial" w:eastAsia="Arial" w:hAnsi="Arial"/>
                <w:sz w:val="7"/>
                <w:szCs w:val="7"/>
                <w:b w:val="1"/>
                <w:bCs w:val="1"/>
                <w:color w:val="auto"/>
                <w:w w:val="90"/>
              </w:rPr>
              <w:t>reflected on</w:t>
            </w:r>
          </w:p>
        </w:tc>
        <w:tc>
          <w:tcPr>
            <w:tcW w:w="520" w:type="dxa"/>
            <w:vAlign w:val="bottom"/>
            <w:tcBorders>
              <w:right w:val="single" w:sz="8" w:color="auto"/>
            </w:tcBorders>
            <w:vMerge w:val="continue"/>
            <w:shd w:val="clear" w:color="auto" w:fill="D9D9D9"/>
          </w:tcPr>
          <w:p>
            <w:pPr>
              <w:spacing w:after="0"/>
              <w:rPr>
                <w:sz w:val="3"/>
                <w:szCs w:val="3"/>
                <w:color w:val="auto"/>
              </w:rPr>
            </w:pPr>
          </w:p>
        </w:tc>
        <w:tc>
          <w:tcPr>
            <w:tcW w:w="720" w:type="dxa"/>
            <w:vAlign w:val="bottom"/>
            <w:tcBorders>
              <w:right w:val="single" w:sz="8" w:color="auto"/>
            </w:tcBorders>
            <w:vMerge w:val="restart"/>
            <w:shd w:val="clear" w:color="auto" w:fill="D9D9D9"/>
          </w:tcPr>
          <w:p>
            <w:pPr>
              <w:jc w:val="right"/>
              <w:ind w:right="252"/>
              <w:spacing w:after="0"/>
              <w:rPr>
                <w:sz w:val="20"/>
                <w:szCs w:val="20"/>
                <w:color w:val="auto"/>
              </w:rPr>
            </w:pPr>
            <w:r>
              <w:rPr>
                <w:rFonts w:ascii="Arial" w:cs="Arial" w:eastAsia="Arial" w:hAnsi="Arial"/>
                <w:sz w:val="7"/>
                <w:szCs w:val="7"/>
                <w:b w:val="1"/>
                <w:bCs w:val="1"/>
                <w:color w:val="auto"/>
              </w:rPr>
              <w:t>balance</w:t>
            </w: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0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vMerge w:val="continue"/>
            <w:shd w:val="clear" w:color="auto" w:fill="000000"/>
          </w:tcPr>
          <w:p>
            <w:pPr>
              <w:spacing w:after="0"/>
              <w:rPr>
                <w:sz w:val="3"/>
                <w:szCs w:val="3"/>
                <w:color w:val="auto"/>
              </w:rPr>
            </w:pPr>
          </w:p>
        </w:tc>
        <w:tc>
          <w:tcPr>
            <w:tcW w:w="7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7"/>
                <w:szCs w:val="7"/>
                <w:b w:val="1"/>
                <w:bCs w:val="1"/>
                <w:color w:val="auto"/>
                <w:w w:val="95"/>
              </w:rPr>
              <w:t>of year</w:t>
            </w:r>
          </w:p>
        </w:tc>
        <w:tc>
          <w:tcPr>
            <w:tcW w:w="660" w:type="dxa"/>
            <w:vAlign w:val="bottom"/>
            <w:tcBorders>
              <w:right w:val="single" w:sz="8" w:color="auto"/>
            </w:tcBorders>
            <w:vMerge w:val="continue"/>
            <w:shd w:val="clear" w:color="auto" w:fill="D9D9D9"/>
          </w:tcPr>
          <w:p>
            <w:pPr>
              <w:spacing w:after="0"/>
              <w:rPr>
                <w:sz w:val="3"/>
                <w:szCs w:val="3"/>
                <w:color w:val="auto"/>
              </w:rPr>
            </w:pPr>
          </w:p>
        </w:tc>
        <w:tc>
          <w:tcPr>
            <w:tcW w:w="340" w:type="dxa"/>
            <w:vAlign w:val="bottom"/>
            <w:vMerge w:val="restart"/>
            <w:shd w:val="clear" w:color="auto" w:fill="D9D9D9"/>
          </w:tcPr>
          <w:p>
            <w:pPr>
              <w:jc w:val="center"/>
              <w:ind w:left="64"/>
              <w:spacing w:after="0"/>
              <w:rPr>
                <w:sz w:val="20"/>
                <w:szCs w:val="20"/>
                <w:color w:val="auto"/>
              </w:rPr>
            </w:pPr>
            <w:r>
              <w:rPr>
                <w:rFonts w:ascii="Arial" w:cs="Arial" w:eastAsia="Arial" w:hAnsi="Arial"/>
                <w:sz w:val="7"/>
                <w:szCs w:val="7"/>
                <w:b w:val="1"/>
                <w:bCs w:val="1"/>
                <w:color w:val="auto"/>
                <w:w w:val="96"/>
              </w:rPr>
              <w:t>expired</w:t>
            </w:r>
          </w:p>
        </w:tc>
        <w:tc>
          <w:tcPr>
            <w:tcW w:w="200" w:type="dxa"/>
            <w:vAlign w:val="bottom"/>
            <w:tcBorders>
              <w:right w:val="single" w:sz="8" w:color="auto"/>
            </w:tcBorders>
            <w:shd w:val="clear" w:color="auto" w:fill="D9D9D9"/>
          </w:tcPr>
          <w:p>
            <w:pPr>
              <w:spacing w:after="0"/>
              <w:rPr>
                <w:sz w:val="3"/>
                <w:szCs w:val="3"/>
                <w:color w:val="auto"/>
              </w:rPr>
            </w:pP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760" w:type="dxa"/>
            <w:vAlign w:val="bottom"/>
            <w:tcBorders>
              <w:right w:val="single" w:sz="8" w:color="auto"/>
            </w:tcBorders>
            <w:vMerge w:val="restart"/>
            <w:shd w:val="clear" w:color="auto" w:fill="D9D9D9"/>
          </w:tcPr>
          <w:p>
            <w:pPr>
              <w:jc w:val="center"/>
              <w:ind w:right="57"/>
              <w:spacing w:after="0"/>
              <w:rPr>
                <w:sz w:val="20"/>
                <w:szCs w:val="20"/>
                <w:color w:val="auto"/>
              </w:rPr>
            </w:pPr>
            <w:r>
              <w:rPr>
                <w:rFonts w:ascii="Arial" w:cs="Arial" w:eastAsia="Arial" w:hAnsi="Arial"/>
                <w:sz w:val="7"/>
                <w:szCs w:val="7"/>
                <w:b w:val="1"/>
                <w:bCs w:val="1"/>
                <w:color w:val="auto"/>
                <w:w w:val="92"/>
              </w:rPr>
              <w:t>beginning of year</w:t>
            </w:r>
          </w:p>
        </w:tc>
        <w:tc>
          <w:tcPr>
            <w:tcW w:w="740" w:type="dxa"/>
            <w:vAlign w:val="bottom"/>
            <w:tcBorders>
              <w:right w:val="single" w:sz="8" w:color="auto"/>
            </w:tcBorders>
            <w:vMerge w:val="restart"/>
            <w:shd w:val="clear" w:color="auto" w:fill="D9D9D9"/>
          </w:tcPr>
          <w:p>
            <w:pPr>
              <w:jc w:val="center"/>
              <w:ind w:right="78"/>
              <w:spacing w:after="0"/>
              <w:rPr>
                <w:sz w:val="20"/>
                <w:szCs w:val="20"/>
                <w:color w:val="auto"/>
              </w:rPr>
            </w:pPr>
            <w:r>
              <w:rPr>
                <w:rFonts w:ascii="Arial" w:cs="Arial" w:eastAsia="Arial" w:hAnsi="Arial"/>
                <w:sz w:val="7"/>
                <w:szCs w:val="7"/>
                <w:b w:val="1"/>
                <w:bCs w:val="1"/>
                <w:color w:val="auto"/>
                <w:w w:val="93"/>
              </w:rPr>
              <w:t>Tax Returns</w:t>
            </w:r>
          </w:p>
        </w:tc>
        <w:tc>
          <w:tcPr>
            <w:tcW w:w="20" w:type="dxa"/>
            <w:vAlign w:val="bottom"/>
            <w:shd w:val="clear" w:color="auto" w:fill="D9D9D9"/>
          </w:tcPr>
          <w:p>
            <w:pPr>
              <w:spacing w:after="0"/>
              <w:rPr>
                <w:sz w:val="3"/>
                <w:szCs w:val="3"/>
                <w:color w:val="auto"/>
              </w:rPr>
            </w:pPr>
          </w:p>
        </w:tc>
        <w:tc>
          <w:tcPr>
            <w:tcW w:w="520" w:type="dxa"/>
            <w:vAlign w:val="bottom"/>
            <w:tcBorders>
              <w:right w:val="single" w:sz="8" w:color="auto"/>
            </w:tcBorders>
            <w:vMerge w:val="restart"/>
            <w:shd w:val="clear" w:color="auto" w:fill="D9D9D9"/>
          </w:tcPr>
          <w:p>
            <w:pPr>
              <w:jc w:val="center"/>
              <w:ind w:right="97"/>
              <w:spacing w:after="0"/>
              <w:rPr>
                <w:sz w:val="20"/>
                <w:szCs w:val="20"/>
                <w:color w:val="auto"/>
              </w:rPr>
            </w:pPr>
            <w:r>
              <w:rPr>
                <w:rFonts w:ascii="Arial" w:cs="Arial" w:eastAsia="Arial" w:hAnsi="Arial"/>
                <w:sz w:val="7"/>
                <w:szCs w:val="7"/>
                <w:b w:val="1"/>
                <w:bCs w:val="1"/>
                <w:color w:val="auto"/>
                <w:w w:val="88"/>
              </w:rPr>
              <w:t>expired</w:t>
            </w:r>
          </w:p>
        </w:tc>
        <w:tc>
          <w:tcPr>
            <w:tcW w:w="740" w:type="dxa"/>
            <w:vAlign w:val="bottom"/>
            <w:tcBorders>
              <w:right w:val="single" w:sz="8" w:color="auto"/>
            </w:tcBorders>
            <w:vMerge w:val="continue"/>
            <w:shd w:val="clear" w:color="auto" w:fill="D9D9D9"/>
          </w:tcPr>
          <w:p>
            <w:pPr>
              <w:spacing w:after="0"/>
              <w:rPr>
                <w:sz w:val="3"/>
                <w:szCs w:val="3"/>
                <w:color w:val="auto"/>
              </w:rPr>
            </w:pPr>
          </w:p>
        </w:tc>
        <w:tc>
          <w:tcPr>
            <w:tcW w:w="720" w:type="dxa"/>
            <w:vAlign w:val="bottom"/>
            <w:tcBorders>
              <w:right w:val="single" w:sz="8" w:color="auto"/>
            </w:tcBorders>
            <w:vMerge w:val="restart"/>
            <w:shd w:val="clear" w:color="auto" w:fill="D9D9D9"/>
          </w:tcPr>
          <w:p>
            <w:pPr>
              <w:jc w:val="center"/>
              <w:ind w:right="57"/>
              <w:spacing w:after="0"/>
              <w:rPr>
                <w:sz w:val="20"/>
                <w:szCs w:val="20"/>
                <w:color w:val="auto"/>
              </w:rPr>
            </w:pPr>
            <w:r>
              <w:rPr>
                <w:rFonts w:ascii="Arial" w:cs="Arial" w:eastAsia="Arial" w:hAnsi="Arial"/>
                <w:sz w:val="7"/>
                <w:szCs w:val="7"/>
                <w:b w:val="1"/>
                <w:bCs w:val="1"/>
                <w:color w:val="auto"/>
                <w:w w:val="92"/>
              </w:rPr>
              <w:t>beginning of year</w:t>
            </w:r>
          </w:p>
        </w:tc>
        <w:tc>
          <w:tcPr>
            <w:tcW w:w="580" w:type="dxa"/>
            <w:vAlign w:val="bottom"/>
            <w:tcBorders>
              <w:right w:val="single" w:sz="8" w:color="auto"/>
            </w:tcBorders>
            <w:vMerge w:val="continue"/>
            <w:shd w:val="clear" w:color="auto" w:fill="D9D9D9"/>
          </w:tcPr>
          <w:p>
            <w:pPr>
              <w:spacing w:after="0"/>
              <w:rPr>
                <w:sz w:val="3"/>
                <w:szCs w:val="3"/>
                <w:color w:val="auto"/>
              </w:rPr>
            </w:pPr>
          </w:p>
        </w:tc>
        <w:tc>
          <w:tcPr>
            <w:tcW w:w="540" w:type="dxa"/>
            <w:vAlign w:val="bottom"/>
            <w:tcBorders>
              <w:right w:val="single" w:sz="8" w:color="auto"/>
            </w:tcBorders>
            <w:vMerge w:val="restart"/>
            <w:shd w:val="clear" w:color="auto" w:fill="D9D9D9"/>
          </w:tcPr>
          <w:p>
            <w:pPr>
              <w:jc w:val="center"/>
              <w:ind w:right="57"/>
              <w:spacing w:after="0"/>
              <w:rPr>
                <w:sz w:val="20"/>
                <w:szCs w:val="20"/>
                <w:color w:val="auto"/>
              </w:rPr>
            </w:pPr>
            <w:r>
              <w:rPr>
                <w:rFonts w:ascii="Arial" w:cs="Arial" w:eastAsia="Arial" w:hAnsi="Arial"/>
                <w:sz w:val="7"/>
                <w:szCs w:val="7"/>
                <w:b w:val="1"/>
                <w:bCs w:val="1"/>
                <w:color w:val="auto"/>
                <w:w w:val="96"/>
              </w:rPr>
              <w:t>expired</w:t>
            </w:r>
          </w:p>
        </w:tc>
        <w:tc>
          <w:tcPr>
            <w:tcW w:w="720" w:type="dxa"/>
            <w:vAlign w:val="bottom"/>
            <w:tcBorders>
              <w:right w:val="single" w:sz="8" w:color="auto"/>
            </w:tcBorders>
            <w:vMerge w:val="continue"/>
            <w:shd w:val="clear" w:color="auto" w:fill="D9D9D9"/>
          </w:tcPr>
          <w:p>
            <w:pPr>
              <w:spacing w:after="0"/>
              <w:rPr>
                <w:sz w:val="3"/>
                <w:szCs w:val="3"/>
                <w:color w:val="auto"/>
              </w:rPr>
            </w:pPr>
          </w:p>
        </w:tc>
        <w:tc>
          <w:tcPr>
            <w:tcW w:w="720" w:type="dxa"/>
            <w:vAlign w:val="bottom"/>
            <w:tcBorders>
              <w:right w:val="single" w:sz="8" w:color="auto"/>
            </w:tcBorders>
            <w:vMerge w:val="restart"/>
            <w:shd w:val="clear" w:color="auto" w:fill="D9D9D9"/>
          </w:tcPr>
          <w:p>
            <w:pPr>
              <w:jc w:val="center"/>
              <w:ind w:right="57"/>
              <w:spacing w:after="0"/>
              <w:rPr>
                <w:sz w:val="20"/>
                <w:szCs w:val="20"/>
                <w:color w:val="auto"/>
              </w:rPr>
            </w:pPr>
            <w:r>
              <w:rPr>
                <w:rFonts w:ascii="Arial" w:cs="Arial" w:eastAsia="Arial" w:hAnsi="Arial"/>
                <w:sz w:val="7"/>
                <w:szCs w:val="7"/>
                <w:b w:val="1"/>
                <w:bCs w:val="1"/>
                <w:color w:val="auto"/>
                <w:w w:val="92"/>
              </w:rPr>
              <w:t>beginning of year</w:t>
            </w:r>
          </w:p>
        </w:tc>
        <w:tc>
          <w:tcPr>
            <w:tcW w:w="600" w:type="dxa"/>
            <w:vAlign w:val="bottom"/>
            <w:tcBorders>
              <w:right w:val="single" w:sz="8" w:color="auto"/>
            </w:tcBorders>
            <w:vMerge w:val="continue"/>
            <w:shd w:val="clear" w:color="auto" w:fill="D9D9D9"/>
          </w:tcPr>
          <w:p>
            <w:pPr>
              <w:spacing w:after="0"/>
              <w:rPr>
                <w:sz w:val="3"/>
                <w:szCs w:val="3"/>
                <w:color w:val="auto"/>
              </w:rPr>
            </w:pPr>
          </w:p>
        </w:tc>
        <w:tc>
          <w:tcPr>
            <w:tcW w:w="520" w:type="dxa"/>
            <w:vAlign w:val="bottom"/>
            <w:tcBorders>
              <w:right w:val="single" w:sz="8" w:color="auto"/>
            </w:tcBorders>
            <w:vMerge w:val="restart"/>
            <w:shd w:val="clear" w:color="auto" w:fill="D9D9D9"/>
          </w:tcPr>
          <w:p>
            <w:pPr>
              <w:jc w:val="center"/>
              <w:ind w:right="77"/>
              <w:spacing w:after="0"/>
              <w:rPr>
                <w:sz w:val="20"/>
                <w:szCs w:val="20"/>
                <w:color w:val="auto"/>
              </w:rPr>
            </w:pPr>
            <w:r>
              <w:rPr>
                <w:rFonts w:ascii="Arial" w:cs="Arial" w:eastAsia="Arial" w:hAnsi="Arial"/>
                <w:sz w:val="7"/>
                <w:szCs w:val="7"/>
                <w:b w:val="1"/>
                <w:bCs w:val="1"/>
                <w:color w:val="auto"/>
                <w:w w:val="96"/>
              </w:rPr>
              <w:t>expired</w:t>
            </w:r>
          </w:p>
        </w:tc>
        <w:tc>
          <w:tcPr>
            <w:tcW w:w="720" w:type="dxa"/>
            <w:vAlign w:val="bottom"/>
            <w:tcBorders>
              <w:right w:val="single" w:sz="8" w:color="auto"/>
            </w:tcBorders>
            <w:vMerge w:val="continue"/>
            <w:shd w:val="clear" w:color="auto" w:fill="D9D9D9"/>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100" w:type="dxa"/>
            <w:vAlign w:val="bottom"/>
            <w:tcBorders>
              <w:right w:val="single" w:sz="8" w:color="auto"/>
            </w:tcBorders>
          </w:tcPr>
          <w:p>
            <w:pPr>
              <w:spacing w:after="0"/>
              <w:rPr>
                <w:sz w:val="9"/>
                <w:szCs w:val="9"/>
                <w:color w:val="auto"/>
              </w:rPr>
            </w:pPr>
          </w:p>
        </w:tc>
        <w:tc>
          <w:tcPr>
            <w:tcW w:w="500" w:type="dxa"/>
            <w:vAlign w:val="bottom"/>
            <w:tcBorders>
              <w:bottom w:val="single" w:sz="8" w:color="auto"/>
              <w:right w:val="single" w:sz="8" w:color="auto"/>
            </w:tcBorders>
            <w:shd w:val="clear" w:color="auto" w:fill="000000"/>
          </w:tcPr>
          <w:p>
            <w:pPr>
              <w:spacing w:after="0"/>
              <w:rPr>
                <w:sz w:val="9"/>
                <w:szCs w:val="9"/>
                <w:color w:val="auto"/>
              </w:rPr>
            </w:pPr>
          </w:p>
        </w:tc>
        <w:tc>
          <w:tcPr>
            <w:tcW w:w="74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660" w:type="dxa"/>
            <w:vAlign w:val="bottom"/>
            <w:tcBorders>
              <w:bottom w:val="single" w:sz="8" w:color="D9D9D9"/>
              <w:right w:val="single" w:sz="8" w:color="auto"/>
            </w:tcBorders>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90"/>
              </w:rPr>
              <w:t>Returns</w:t>
            </w:r>
          </w:p>
        </w:tc>
        <w:tc>
          <w:tcPr>
            <w:tcW w:w="340" w:type="dxa"/>
            <w:vAlign w:val="bottom"/>
            <w:tcBorders>
              <w:bottom w:val="single" w:sz="8" w:color="D9D9D9"/>
            </w:tcBorders>
            <w:vMerge w:val="continue"/>
            <w:shd w:val="clear" w:color="auto" w:fill="D9D9D9"/>
          </w:tcPr>
          <w:p>
            <w:pPr>
              <w:spacing w:after="0"/>
              <w:rPr>
                <w:sz w:val="9"/>
                <w:szCs w:val="9"/>
                <w:color w:val="auto"/>
              </w:rPr>
            </w:pPr>
          </w:p>
        </w:tc>
        <w:tc>
          <w:tcPr>
            <w:tcW w:w="200" w:type="dxa"/>
            <w:vAlign w:val="bottom"/>
            <w:tcBorders>
              <w:bottom w:val="single" w:sz="8" w:color="D9D9D9"/>
              <w:right w:val="single" w:sz="8" w:color="auto"/>
            </w:tcBorders>
            <w:shd w:val="clear" w:color="auto" w:fill="D9D9D9"/>
          </w:tcPr>
          <w:p>
            <w:pPr>
              <w:spacing w:after="0"/>
              <w:rPr>
                <w:sz w:val="9"/>
                <w:szCs w:val="9"/>
                <w:color w:val="auto"/>
              </w:rPr>
            </w:pPr>
          </w:p>
        </w:tc>
        <w:tc>
          <w:tcPr>
            <w:tcW w:w="740" w:type="dxa"/>
            <w:vAlign w:val="bottom"/>
            <w:tcBorders>
              <w:bottom w:val="single" w:sz="8" w:color="D9D9D9"/>
              <w:right w:val="single" w:sz="8" w:color="auto"/>
            </w:tcBorders>
            <w:shd w:val="clear" w:color="auto" w:fill="D9D9D9"/>
          </w:tcPr>
          <w:p>
            <w:pPr>
              <w:spacing w:after="0"/>
              <w:rPr>
                <w:sz w:val="9"/>
                <w:szCs w:val="9"/>
                <w:color w:val="auto"/>
              </w:rPr>
            </w:pPr>
          </w:p>
        </w:tc>
        <w:tc>
          <w:tcPr>
            <w:tcW w:w="76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74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20" w:type="dxa"/>
            <w:vAlign w:val="bottom"/>
            <w:tcBorders>
              <w:bottom w:val="single" w:sz="8" w:color="D9D9D9"/>
            </w:tcBorders>
            <w:shd w:val="clear" w:color="auto" w:fill="D9D9D9"/>
          </w:tcPr>
          <w:p>
            <w:pPr>
              <w:spacing w:after="0"/>
              <w:rPr>
                <w:sz w:val="9"/>
                <w:szCs w:val="9"/>
                <w:color w:val="auto"/>
              </w:rPr>
            </w:pPr>
          </w:p>
        </w:tc>
        <w:tc>
          <w:tcPr>
            <w:tcW w:w="52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740" w:type="dxa"/>
            <w:vAlign w:val="bottom"/>
            <w:tcBorders>
              <w:bottom w:val="single" w:sz="8" w:color="D9D9D9"/>
              <w:right w:val="single" w:sz="8" w:color="auto"/>
            </w:tcBorders>
            <w:shd w:val="clear" w:color="auto" w:fill="D9D9D9"/>
          </w:tcPr>
          <w:p>
            <w:pPr>
              <w:spacing w:after="0"/>
              <w:rPr>
                <w:sz w:val="9"/>
                <w:szCs w:val="9"/>
                <w:color w:val="auto"/>
              </w:rPr>
            </w:pPr>
          </w:p>
        </w:tc>
        <w:tc>
          <w:tcPr>
            <w:tcW w:w="72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580" w:type="dxa"/>
            <w:vAlign w:val="bottom"/>
            <w:tcBorders>
              <w:bottom w:val="single" w:sz="8" w:color="D9D9D9"/>
              <w:right w:val="single" w:sz="8" w:color="auto"/>
            </w:tcBorders>
            <w:shd w:val="clear" w:color="auto" w:fill="D9D9D9"/>
          </w:tcPr>
          <w:p>
            <w:pPr>
              <w:jc w:val="center"/>
              <w:ind w:right="38"/>
              <w:spacing w:after="0"/>
              <w:rPr>
                <w:sz w:val="20"/>
                <w:szCs w:val="20"/>
                <w:color w:val="auto"/>
              </w:rPr>
            </w:pPr>
            <w:r>
              <w:rPr>
                <w:rFonts w:ascii="Arial" w:cs="Arial" w:eastAsia="Arial" w:hAnsi="Arial"/>
                <w:sz w:val="7"/>
                <w:szCs w:val="7"/>
                <w:b w:val="1"/>
                <w:bCs w:val="1"/>
                <w:color w:val="auto"/>
                <w:w w:val="93"/>
              </w:rPr>
              <w:t>Tax Returns</w:t>
            </w:r>
          </w:p>
        </w:tc>
        <w:tc>
          <w:tcPr>
            <w:tcW w:w="54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720" w:type="dxa"/>
            <w:vAlign w:val="bottom"/>
            <w:tcBorders>
              <w:bottom w:val="single" w:sz="8" w:color="D9D9D9"/>
              <w:right w:val="single" w:sz="8" w:color="auto"/>
            </w:tcBorders>
            <w:shd w:val="clear" w:color="auto" w:fill="D9D9D9"/>
          </w:tcPr>
          <w:p>
            <w:pPr>
              <w:spacing w:after="0"/>
              <w:rPr>
                <w:sz w:val="9"/>
                <w:szCs w:val="9"/>
                <w:color w:val="auto"/>
              </w:rPr>
            </w:pPr>
          </w:p>
        </w:tc>
        <w:tc>
          <w:tcPr>
            <w:tcW w:w="72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600" w:type="dxa"/>
            <w:vAlign w:val="bottom"/>
            <w:tcBorders>
              <w:bottom w:val="single" w:sz="8" w:color="D9D9D9"/>
              <w:right w:val="single" w:sz="8" w:color="auto"/>
            </w:tcBorders>
            <w:shd w:val="clear" w:color="auto" w:fill="D9D9D9"/>
          </w:tcPr>
          <w:p>
            <w:pPr>
              <w:jc w:val="center"/>
              <w:ind w:right="58"/>
              <w:spacing w:after="0"/>
              <w:rPr>
                <w:sz w:val="20"/>
                <w:szCs w:val="20"/>
                <w:color w:val="auto"/>
              </w:rPr>
            </w:pPr>
            <w:r>
              <w:rPr>
                <w:rFonts w:ascii="Arial" w:cs="Arial" w:eastAsia="Arial" w:hAnsi="Arial"/>
                <w:sz w:val="7"/>
                <w:szCs w:val="7"/>
                <w:b w:val="1"/>
                <w:bCs w:val="1"/>
                <w:color w:val="auto"/>
                <w:w w:val="93"/>
              </w:rPr>
              <w:t>Tax Returns</w:t>
            </w:r>
          </w:p>
        </w:tc>
        <w:tc>
          <w:tcPr>
            <w:tcW w:w="520" w:type="dxa"/>
            <w:vAlign w:val="bottom"/>
            <w:tcBorders>
              <w:bottom w:val="single" w:sz="8" w:color="D9D9D9"/>
              <w:right w:val="single" w:sz="8" w:color="auto"/>
            </w:tcBorders>
            <w:vMerge w:val="continue"/>
            <w:shd w:val="clear" w:color="auto" w:fill="D9D9D9"/>
          </w:tcPr>
          <w:p>
            <w:pPr>
              <w:spacing w:after="0"/>
              <w:rPr>
                <w:sz w:val="9"/>
                <w:szCs w:val="9"/>
                <w:color w:val="auto"/>
              </w:rPr>
            </w:pPr>
          </w:p>
        </w:tc>
        <w:tc>
          <w:tcPr>
            <w:tcW w:w="720" w:type="dxa"/>
            <w:vAlign w:val="bottom"/>
            <w:tcBorders>
              <w:bottom w:val="single" w:sz="8" w:color="D9D9D9"/>
              <w:right w:val="single" w:sz="8" w:color="auto"/>
            </w:tcBorders>
            <w:shd w:val="clear" w:color="auto" w:fill="D9D9D9"/>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00" w:type="dxa"/>
            <w:vAlign w:val="bottom"/>
            <w:tcBorders>
              <w:right w:val="single" w:sz="8" w:color="auto"/>
            </w:tcBorders>
          </w:tcPr>
          <w:p>
            <w:pPr>
              <w:spacing w:after="0"/>
              <w:rPr>
                <w:sz w:val="8"/>
                <w:szCs w:val="8"/>
                <w:color w:val="auto"/>
              </w:rPr>
            </w:pPr>
          </w:p>
        </w:tc>
        <w:tc>
          <w:tcPr>
            <w:tcW w:w="500" w:type="dxa"/>
            <w:vAlign w:val="bottom"/>
            <w:tcBorders>
              <w:top w:val="single" w:sz="8" w:color="auto"/>
              <w:right w:val="single" w:sz="8" w:color="auto"/>
            </w:tcBorders>
          </w:tcPr>
          <w:p>
            <w:pPr>
              <w:jc w:val="center"/>
              <w:spacing w:after="0" w:line="101" w:lineRule="exact"/>
              <w:rPr>
                <w:sz w:val="20"/>
                <w:szCs w:val="20"/>
                <w:color w:val="auto"/>
              </w:rPr>
            </w:pPr>
            <w:r>
              <w:rPr>
                <w:rFonts w:ascii="Arial" w:cs="Arial" w:eastAsia="Arial" w:hAnsi="Arial"/>
                <w:sz w:val="9"/>
                <w:szCs w:val="9"/>
                <w:color w:val="auto"/>
                <w:w w:val="85"/>
              </w:rPr>
              <w:t>Federal</w:t>
            </w:r>
          </w:p>
        </w:tc>
        <w:tc>
          <w:tcPr>
            <w:tcW w:w="740" w:type="dxa"/>
            <w:vAlign w:val="bottom"/>
            <w:tcBorders>
              <w:top w:val="single" w:sz="8" w:color="auto"/>
              <w:right w:val="single" w:sz="8" w:color="auto"/>
            </w:tcBorders>
          </w:tcPr>
          <w:p>
            <w:pPr>
              <w:spacing w:after="0"/>
              <w:rPr>
                <w:sz w:val="8"/>
                <w:szCs w:val="8"/>
                <w:color w:val="auto"/>
              </w:rPr>
            </w:pPr>
          </w:p>
        </w:tc>
        <w:tc>
          <w:tcPr>
            <w:tcW w:w="660" w:type="dxa"/>
            <w:vAlign w:val="bottom"/>
            <w:tcBorders>
              <w:top w:val="single" w:sz="8" w:color="auto"/>
              <w:right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Borders>
              <w:top w:val="single" w:sz="8" w:color="auto"/>
              <w:right w:val="single" w:sz="8" w:color="auto"/>
            </w:tcBorders>
          </w:tcPr>
          <w:p>
            <w:pPr>
              <w:spacing w:after="0"/>
              <w:rPr>
                <w:sz w:val="8"/>
                <w:szCs w:val="8"/>
                <w:color w:val="auto"/>
              </w:rPr>
            </w:pPr>
          </w:p>
        </w:tc>
        <w:tc>
          <w:tcPr>
            <w:tcW w:w="740" w:type="dxa"/>
            <w:vAlign w:val="bottom"/>
            <w:tcBorders>
              <w:top w:val="single" w:sz="8" w:color="auto"/>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$0</w:t>
            </w:r>
          </w:p>
        </w:tc>
        <w:tc>
          <w:tcPr>
            <w:tcW w:w="760" w:type="dxa"/>
            <w:vAlign w:val="bottom"/>
            <w:tcBorders>
              <w:top w:val="single" w:sz="8" w:color="auto"/>
              <w:right w:val="single" w:sz="8" w:color="auto"/>
            </w:tcBorders>
          </w:tcPr>
          <w:p>
            <w:pPr>
              <w:spacing w:after="0"/>
              <w:rPr>
                <w:sz w:val="8"/>
                <w:szCs w:val="8"/>
                <w:color w:val="auto"/>
              </w:rPr>
            </w:pPr>
          </w:p>
        </w:tc>
        <w:tc>
          <w:tcPr>
            <w:tcW w:w="740" w:type="dxa"/>
            <w:vAlign w:val="bottom"/>
            <w:tcBorders>
              <w:top w:val="single" w:sz="8" w:color="auto"/>
              <w:right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20" w:type="dxa"/>
            <w:vAlign w:val="bottom"/>
            <w:tcBorders>
              <w:top w:val="single" w:sz="8" w:color="auto"/>
              <w:right w:val="single" w:sz="8" w:color="auto"/>
            </w:tcBorders>
          </w:tcPr>
          <w:p>
            <w:pPr>
              <w:spacing w:after="0"/>
              <w:rPr>
                <w:sz w:val="8"/>
                <w:szCs w:val="8"/>
                <w:color w:val="auto"/>
              </w:rPr>
            </w:pPr>
          </w:p>
        </w:tc>
        <w:tc>
          <w:tcPr>
            <w:tcW w:w="740" w:type="dxa"/>
            <w:vAlign w:val="bottom"/>
            <w:tcBorders>
              <w:top w:val="single" w:sz="8" w:color="auto"/>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auto"/>
              </w:rPr>
              <w:t>$0</w:t>
            </w:r>
          </w:p>
        </w:tc>
        <w:tc>
          <w:tcPr>
            <w:tcW w:w="720" w:type="dxa"/>
            <w:vAlign w:val="bottom"/>
            <w:tcBorders>
              <w:top w:val="single" w:sz="8" w:color="auto"/>
              <w:right w:val="single" w:sz="8" w:color="auto"/>
            </w:tcBorders>
          </w:tcPr>
          <w:p>
            <w:pPr>
              <w:spacing w:after="0"/>
              <w:rPr>
                <w:sz w:val="8"/>
                <w:szCs w:val="8"/>
                <w:color w:val="auto"/>
              </w:rPr>
            </w:pPr>
          </w:p>
        </w:tc>
        <w:tc>
          <w:tcPr>
            <w:tcW w:w="580" w:type="dxa"/>
            <w:vAlign w:val="bottom"/>
            <w:tcBorders>
              <w:top w:val="single" w:sz="8" w:color="auto"/>
              <w:right w:val="single" w:sz="8" w:color="auto"/>
            </w:tcBorders>
          </w:tcPr>
          <w:p>
            <w:pPr>
              <w:spacing w:after="0"/>
              <w:rPr>
                <w:sz w:val="8"/>
                <w:szCs w:val="8"/>
                <w:color w:val="auto"/>
              </w:rPr>
            </w:pPr>
          </w:p>
        </w:tc>
        <w:tc>
          <w:tcPr>
            <w:tcW w:w="540" w:type="dxa"/>
            <w:vAlign w:val="bottom"/>
            <w:tcBorders>
              <w:top w:val="single" w:sz="8" w:color="auto"/>
              <w:right w:val="single" w:sz="8" w:color="auto"/>
            </w:tcBorders>
          </w:tcPr>
          <w:p>
            <w:pPr>
              <w:spacing w:after="0"/>
              <w:rPr>
                <w:sz w:val="8"/>
                <w:szCs w:val="8"/>
                <w:color w:val="auto"/>
              </w:rPr>
            </w:pPr>
          </w:p>
        </w:tc>
        <w:tc>
          <w:tcPr>
            <w:tcW w:w="720" w:type="dxa"/>
            <w:vAlign w:val="bottom"/>
            <w:tcBorders>
              <w:top w:val="single" w:sz="8" w:color="auto"/>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auto"/>
              </w:rPr>
              <w:t>$0</w:t>
            </w:r>
          </w:p>
        </w:tc>
        <w:tc>
          <w:tcPr>
            <w:tcW w:w="720" w:type="dxa"/>
            <w:vAlign w:val="bottom"/>
            <w:tcBorders>
              <w:top w:val="single" w:sz="8" w:color="auto"/>
              <w:right w:val="single" w:sz="8" w:color="auto"/>
            </w:tcBorders>
          </w:tcPr>
          <w:p>
            <w:pPr>
              <w:spacing w:after="0"/>
              <w:rPr>
                <w:sz w:val="8"/>
                <w:szCs w:val="8"/>
                <w:color w:val="auto"/>
              </w:rPr>
            </w:pPr>
          </w:p>
        </w:tc>
        <w:tc>
          <w:tcPr>
            <w:tcW w:w="600" w:type="dxa"/>
            <w:vAlign w:val="bottom"/>
            <w:tcBorders>
              <w:top w:val="single" w:sz="8" w:color="auto"/>
              <w:right w:val="single" w:sz="8" w:color="auto"/>
            </w:tcBorders>
          </w:tcPr>
          <w:p>
            <w:pPr>
              <w:spacing w:after="0"/>
              <w:rPr>
                <w:sz w:val="8"/>
                <w:szCs w:val="8"/>
                <w:color w:val="auto"/>
              </w:rPr>
            </w:pPr>
          </w:p>
        </w:tc>
        <w:tc>
          <w:tcPr>
            <w:tcW w:w="520" w:type="dxa"/>
            <w:vAlign w:val="bottom"/>
            <w:tcBorders>
              <w:top w:val="single" w:sz="8" w:color="auto"/>
              <w:right w:val="single" w:sz="8" w:color="auto"/>
            </w:tcBorders>
          </w:tcPr>
          <w:p>
            <w:pPr>
              <w:spacing w:after="0"/>
              <w:rPr>
                <w:sz w:val="8"/>
                <w:szCs w:val="8"/>
                <w:color w:val="auto"/>
              </w:rPr>
            </w:pPr>
          </w:p>
        </w:tc>
        <w:tc>
          <w:tcPr>
            <w:tcW w:w="720" w:type="dxa"/>
            <w:vAlign w:val="bottom"/>
            <w:tcBorders>
              <w:top w:val="single" w:sz="8" w:color="auto"/>
              <w:right w:val="single" w:sz="8" w:color="auto"/>
            </w:tcBorders>
            <w:vMerge w:val="restart"/>
          </w:tcPr>
          <w:p>
            <w:pPr>
              <w:jc w:val="right"/>
              <w:ind w:right="52"/>
              <w:spacing w:after="0"/>
              <w:rPr>
                <w:sz w:val="20"/>
                <w:szCs w:val="20"/>
                <w:color w:val="auto"/>
              </w:rPr>
            </w:pPr>
            <w:r>
              <w:rPr>
                <w:rFonts w:ascii="Arial" w:cs="Arial" w:eastAsia="Arial" w:hAnsi="Arial"/>
                <w:sz w:val="9"/>
                <w:szCs w:val="9"/>
                <w:b w:val="1"/>
                <w:bCs w:val="1"/>
                <w:color w:val="auto"/>
              </w:rPr>
              <w:t>$0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color w:val="auto"/>
                <w:w w:val="87"/>
              </w:rPr>
              <w:t>Foreign Tax</w:t>
            </w:r>
          </w:p>
        </w:tc>
        <w:tc>
          <w:tcPr>
            <w:tcW w:w="74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$608,479</w:t>
            </w:r>
          </w:p>
        </w:tc>
        <w:tc>
          <w:tcPr>
            <w:tcW w:w="66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$608,479</w:t>
            </w:r>
          </w:p>
        </w:tc>
        <w:tc>
          <w:tcPr>
            <w:tcW w:w="340" w:type="dxa"/>
            <w:vAlign w:val="bottom"/>
          </w:tcPr>
          <w:p>
            <w:pPr>
              <w:spacing w:after="0"/>
              <w:rPr>
                <w:sz w:val="8"/>
                <w:szCs w:val="8"/>
                <w:color w:val="auto"/>
              </w:rPr>
            </w:pPr>
          </w:p>
        </w:tc>
        <w:tc>
          <w:tcPr>
            <w:tcW w:w="200" w:type="dxa"/>
            <w:vAlign w:val="bottom"/>
            <w:tcBorders>
              <w:right w:val="single" w:sz="8" w:color="auto"/>
            </w:tcBorders>
          </w:tcPr>
          <w:p>
            <w:pPr>
              <w:jc w:val="right"/>
              <w:ind w:right="55"/>
              <w:spacing w:after="0" w:line="95" w:lineRule="exact"/>
              <w:rPr>
                <w:sz w:val="20"/>
                <w:szCs w:val="20"/>
                <w:color w:val="auto"/>
              </w:rPr>
            </w:pPr>
            <w:r>
              <w:rPr>
                <w:rFonts w:ascii="Arial" w:cs="Arial" w:eastAsia="Arial" w:hAnsi="Arial"/>
                <w:sz w:val="9"/>
                <w:szCs w:val="9"/>
                <w:color w:val="auto"/>
                <w:w w:val="79"/>
              </w:rPr>
              <w:t>$0</w:t>
            </w:r>
          </w:p>
        </w:tc>
        <w:tc>
          <w:tcPr>
            <w:tcW w:w="74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tcPr>
          <w:p>
            <w:pPr>
              <w:jc w:val="right"/>
              <w:ind w:right="77"/>
              <w:spacing w:after="0" w:line="95" w:lineRule="exact"/>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tcPr>
          <w:p>
            <w:pPr>
              <w:jc w:val="right"/>
              <w:ind w:right="78"/>
              <w:spacing w:after="0" w:line="95" w:lineRule="exact"/>
              <w:rPr>
                <w:sz w:val="20"/>
                <w:szCs w:val="20"/>
                <w:color w:val="auto"/>
              </w:rPr>
            </w:pPr>
            <w:r>
              <w:rPr>
                <w:rFonts w:ascii="Arial" w:cs="Arial" w:eastAsia="Arial" w:hAnsi="Arial"/>
                <w:sz w:val="9"/>
                <w:szCs w:val="9"/>
                <w:color w:val="auto"/>
              </w:rPr>
              <w:t>$0</w:t>
            </w:r>
          </w:p>
        </w:tc>
        <w:tc>
          <w:tcPr>
            <w:tcW w:w="20" w:type="dxa"/>
            <w:vAlign w:val="bottom"/>
          </w:tcPr>
          <w:p>
            <w:pPr>
              <w:spacing w:after="0"/>
              <w:rPr>
                <w:sz w:val="8"/>
                <w:szCs w:val="8"/>
                <w:color w:val="auto"/>
              </w:rPr>
            </w:pPr>
          </w:p>
        </w:tc>
        <w:tc>
          <w:tcPr>
            <w:tcW w:w="520" w:type="dxa"/>
            <w:vAlign w:val="bottom"/>
            <w:tcBorders>
              <w:right w:val="single" w:sz="8" w:color="auto"/>
            </w:tcBorders>
          </w:tcPr>
          <w:p>
            <w:pPr>
              <w:jc w:val="right"/>
              <w:ind w:right="77"/>
              <w:spacing w:after="0" w:line="95" w:lineRule="exact"/>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$0</w:t>
            </w:r>
          </w:p>
        </w:tc>
        <w:tc>
          <w:tcPr>
            <w:tcW w:w="58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540" w:type="dxa"/>
            <w:vAlign w:val="bottom"/>
            <w:tcBorders>
              <w:right w:val="single" w:sz="8" w:color="auto"/>
            </w:tcBorders>
          </w:tcPr>
          <w:p>
            <w:pPr>
              <w:jc w:val="right"/>
              <w:ind w:right="77"/>
              <w:spacing w:after="0" w:line="95" w:lineRule="exact"/>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$0</w:t>
            </w:r>
          </w:p>
        </w:tc>
        <w:tc>
          <w:tcPr>
            <w:tcW w:w="600" w:type="dxa"/>
            <w:vAlign w:val="bottom"/>
            <w:tcBorders>
              <w:right w:val="single" w:sz="8" w:color="auto"/>
            </w:tcBorders>
          </w:tcPr>
          <w:p>
            <w:pPr>
              <w:jc w:val="right"/>
              <w:ind w:right="78"/>
              <w:spacing w:after="0" w:line="95" w:lineRule="exact"/>
              <w:rPr>
                <w:sz w:val="20"/>
                <w:szCs w:val="20"/>
                <w:color w:val="auto"/>
              </w:rPr>
            </w:pPr>
            <w:r>
              <w:rPr>
                <w:rFonts w:ascii="Arial" w:cs="Arial" w:eastAsia="Arial" w:hAnsi="Arial"/>
                <w:sz w:val="9"/>
                <w:szCs w:val="9"/>
                <w:color w:val="auto"/>
              </w:rPr>
              <w:t>$0</w:t>
            </w:r>
          </w:p>
        </w:tc>
        <w:tc>
          <w:tcPr>
            <w:tcW w:w="520" w:type="dxa"/>
            <w:vAlign w:val="bottom"/>
            <w:tcBorders>
              <w:right w:val="single" w:sz="8" w:color="auto"/>
            </w:tcBorders>
          </w:tcPr>
          <w:p>
            <w:pPr>
              <w:jc w:val="right"/>
              <w:ind w:right="77"/>
              <w:spacing w:after="0" w:line="95" w:lineRule="exact"/>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0" w:type="dxa"/>
            <w:vAlign w:val="bottom"/>
            <w:tcBorders>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91"/>
              </w:rPr>
              <w:t>Credits</w:t>
            </w:r>
          </w:p>
        </w:tc>
        <w:tc>
          <w:tcPr>
            <w:tcW w:w="74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0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ind w:right="76"/>
              <w:spacing w:after="0" w:line="101" w:lineRule="exact"/>
              <w:rPr>
                <w:sz w:val="20"/>
                <w:szCs w:val="20"/>
                <w:color w:val="auto"/>
              </w:rPr>
            </w:pPr>
            <w:r>
              <w:rPr>
                <w:rFonts w:ascii="Arial" w:cs="Arial" w:eastAsia="Arial" w:hAnsi="Arial"/>
                <w:sz w:val="9"/>
                <w:szCs w:val="9"/>
                <w:color w:val="auto"/>
                <w:w w:val="94"/>
              </w:rPr>
              <w:t>R&amp;D</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6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340" w:type="dxa"/>
            <w:vAlign w:val="bottom"/>
          </w:tcPr>
          <w:p>
            <w:pPr>
              <w:spacing w:after="0"/>
              <w:rPr>
                <w:sz w:val="8"/>
                <w:szCs w:val="8"/>
                <w:color w:val="auto"/>
              </w:rPr>
            </w:pPr>
          </w:p>
        </w:tc>
        <w:tc>
          <w:tcPr>
            <w:tcW w:w="200" w:type="dxa"/>
            <w:vAlign w:val="bottom"/>
            <w:tcBorders>
              <w:right w:val="single" w:sz="8" w:color="auto"/>
            </w:tcBorders>
            <w:vMerge w:val="restart"/>
          </w:tcPr>
          <w:p>
            <w:pPr>
              <w:jc w:val="right"/>
              <w:ind w:right="55"/>
              <w:spacing w:after="0"/>
              <w:rPr>
                <w:sz w:val="20"/>
                <w:szCs w:val="20"/>
                <w:color w:val="auto"/>
              </w:rPr>
            </w:pPr>
            <w:r>
              <w:rPr>
                <w:rFonts w:ascii="Arial" w:cs="Arial" w:eastAsia="Arial" w:hAnsi="Arial"/>
                <w:sz w:val="9"/>
                <w:szCs w:val="9"/>
                <w:color w:val="auto"/>
                <w:w w:val="79"/>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$0</w:t>
            </w:r>
          </w:p>
        </w:tc>
        <w:tc>
          <w:tcPr>
            <w:tcW w:w="76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9"/>
                <w:szCs w:val="9"/>
                <w:color w:val="auto"/>
              </w:rPr>
              <w:t>$0</w:t>
            </w:r>
          </w:p>
        </w:tc>
        <w:tc>
          <w:tcPr>
            <w:tcW w:w="20" w:type="dxa"/>
            <w:vAlign w:val="bottom"/>
          </w:tcPr>
          <w:p>
            <w:pPr>
              <w:spacing w:after="0"/>
              <w:rPr>
                <w:sz w:val="8"/>
                <w:szCs w:val="8"/>
                <w:color w:val="auto"/>
              </w:rPr>
            </w:pPr>
          </w:p>
        </w:tc>
        <w:tc>
          <w:tcPr>
            <w:tcW w:w="5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auto"/>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58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54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auto"/>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60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9"/>
                <w:szCs w:val="9"/>
                <w:color w:val="auto"/>
              </w:rPr>
              <w:t>$0</w:t>
            </w:r>
          </w:p>
        </w:tc>
        <w:tc>
          <w:tcPr>
            <w:tcW w:w="5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9"/>
                <w:szCs w:val="9"/>
                <w:b w:val="1"/>
                <w:bCs w:val="1"/>
                <w:color w:val="auto"/>
              </w:rPr>
              <w:t>$0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0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vMerge w:val="restart"/>
          </w:tcPr>
          <w:p>
            <w:pPr>
              <w:jc w:val="center"/>
              <w:ind w:right="36"/>
              <w:spacing w:after="0"/>
              <w:rPr>
                <w:sz w:val="20"/>
                <w:szCs w:val="20"/>
                <w:color w:val="auto"/>
              </w:rPr>
            </w:pPr>
            <w:r>
              <w:rPr>
                <w:rFonts w:ascii="Arial" w:cs="Arial" w:eastAsia="Arial" w:hAnsi="Arial"/>
                <w:sz w:val="9"/>
                <w:szCs w:val="9"/>
                <w:color w:val="auto"/>
                <w:w w:val="91"/>
              </w:rPr>
              <w:t>Credits</w:t>
            </w:r>
          </w:p>
        </w:tc>
        <w:tc>
          <w:tcPr>
            <w:tcW w:w="7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00" w:type="dxa"/>
            <w:vAlign w:val="bottom"/>
            <w:tcBorders>
              <w:right w:val="single" w:sz="8" w:color="auto"/>
            </w:tcBorders>
          </w:tcPr>
          <w:p>
            <w:pPr>
              <w:spacing w:after="0"/>
              <w:rPr>
                <w:sz w:val="5"/>
                <w:szCs w:val="5"/>
                <w:color w:val="auto"/>
              </w:rPr>
            </w:pPr>
          </w:p>
        </w:tc>
        <w:tc>
          <w:tcPr>
            <w:tcW w:w="50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0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ind w:right="56"/>
              <w:spacing w:after="0" w:line="101" w:lineRule="exact"/>
              <w:rPr>
                <w:sz w:val="20"/>
                <w:szCs w:val="20"/>
                <w:color w:val="auto"/>
              </w:rPr>
            </w:pPr>
            <w:r>
              <w:rPr>
                <w:rFonts w:ascii="Arial" w:cs="Arial" w:eastAsia="Arial" w:hAnsi="Arial"/>
                <w:sz w:val="9"/>
                <w:szCs w:val="9"/>
                <w:color w:val="auto"/>
              </w:rPr>
              <w:t>AMT</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6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340" w:type="dxa"/>
            <w:vAlign w:val="bottom"/>
          </w:tcPr>
          <w:p>
            <w:pPr>
              <w:spacing w:after="0"/>
              <w:rPr>
                <w:sz w:val="8"/>
                <w:szCs w:val="8"/>
                <w:color w:val="auto"/>
              </w:rPr>
            </w:pPr>
          </w:p>
        </w:tc>
        <w:tc>
          <w:tcPr>
            <w:tcW w:w="200" w:type="dxa"/>
            <w:vAlign w:val="bottom"/>
            <w:tcBorders>
              <w:right w:val="single" w:sz="8" w:color="auto"/>
            </w:tcBorders>
            <w:vMerge w:val="restart"/>
          </w:tcPr>
          <w:p>
            <w:pPr>
              <w:jc w:val="right"/>
              <w:ind w:right="55"/>
              <w:spacing w:after="0"/>
              <w:rPr>
                <w:sz w:val="20"/>
                <w:szCs w:val="20"/>
                <w:color w:val="auto"/>
              </w:rPr>
            </w:pPr>
            <w:r>
              <w:rPr>
                <w:rFonts w:ascii="Arial" w:cs="Arial" w:eastAsia="Arial" w:hAnsi="Arial"/>
                <w:sz w:val="9"/>
                <w:szCs w:val="9"/>
                <w:color w:val="auto"/>
                <w:w w:val="79"/>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$0</w:t>
            </w:r>
          </w:p>
        </w:tc>
        <w:tc>
          <w:tcPr>
            <w:tcW w:w="76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9"/>
                <w:szCs w:val="9"/>
                <w:color w:val="auto"/>
              </w:rPr>
              <w:t>$0</w:t>
            </w:r>
          </w:p>
        </w:tc>
        <w:tc>
          <w:tcPr>
            <w:tcW w:w="20" w:type="dxa"/>
            <w:vAlign w:val="bottom"/>
          </w:tcPr>
          <w:p>
            <w:pPr>
              <w:spacing w:after="0"/>
              <w:rPr>
                <w:sz w:val="8"/>
                <w:szCs w:val="8"/>
                <w:color w:val="auto"/>
              </w:rPr>
            </w:pPr>
          </w:p>
        </w:tc>
        <w:tc>
          <w:tcPr>
            <w:tcW w:w="5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auto"/>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58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54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auto"/>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60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9"/>
                <w:szCs w:val="9"/>
                <w:color w:val="auto"/>
              </w:rPr>
              <w:t>$0</w:t>
            </w:r>
          </w:p>
        </w:tc>
        <w:tc>
          <w:tcPr>
            <w:tcW w:w="5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9"/>
                <w:szCs w:val="9"/>
                <w:b w:val="1"/>
                <w:bCs w:val="1"/>
                <w:color w:val="auto"/>
              </w:rPr>
              <w:t>$0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0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vMerge w:val="restart"/>
          </w:tcPr>
          <w:p>
            <w:pPr>
              <w:jc w:val="center"/>
              <w:ind w:right="36"/>
              <w:spacing w:after="0"/>
              <w:rPr>
                <w:sz w:val="20"/>
                <w:szCs w:val="20"/>
                <w:color w:val="auto"/>
              </w:rPr>
            </w:pPr>
            <w:r>
              <w:rPr>
                <w:rFonts w:ascii="Arial" w:cs="Arial" w:eastAsia="Arial" w:hAnsi="Arial"/>
                <w:sz w:val="9"/>
                <w:szCs w:val="9"/>
                <w:color w:val="auto"/>
                <w:w w:val="91"/>
              </w:rPr>
              <w:t>Credits</w:t>
            </w:r>
          </w:p>
        </w:tc>
        <w:tc>
          <w:tcPr>
            <w:tcW w:w="7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00" w:type="dxa"/>
            <w:vAlign w:val="bottom"/>
            <w:tcBorders>
              <w:right w:val="single" w:sz="8" w:color="auto"/>
            </w:tcBorders>
          </w:tcPr>
          <w:p>
            <w:pPr>
              <w:spacing w:after="0"/>
              <w:rPr>
                <w:sz w:val="5"/>
                <w:szCs w:val="5"/>
                <w:color w:val="auto"/>
              </w:rPr>
            </w:pPr>
          </w:p>
        </w:tc>
        <w:tc>
          <w:tcPr>
            <w:tcW w:w="50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0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9"/>
                <w:szCs w:val="9"/>
                <w:color w:val="auto"/>
                <w:w w:val="90"/>
              </w:rPr>
              <w:t>State NOL</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$16,739,212</w:t>
            </w:r>
          </w:p>
        </w:tc>
        <w:tc>
          <w:tcPr>
            <w:tcW w:w="6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$2,713,502</w:t>
            </w:r>
          </w:p>
        </w:tc>
        <w:tc>
          <w:tcPr>
            <w:tcW w:w="340" w:type="dxa"/>
            <w:vAlign w:val="bottom"/>
          </w:tcPr>
          <w:p>
            <w:pPr>
              <w:spacing w:after="0"/>
              <w:rPr>
                <w:sz w:val="8"/>
                <w:szCs w:val="8"/>
                <w:color w:val="auto"/>
              </w:rPr>
            </w:pPr>
          </w:p>
        </w:tc>
        <w:tc>
          <w:tcPr>
            <w:tcW w:w="200" w:type="dxa"/>
            <w:vAlign w:val="bottom"/>
            <w:tcBorders>
              <w:right w:val="single" w:sz="8" w:color="auto"/>
            </w:tcBorders>
            <w:vMerge w:val="restart"/>
          </w:tcPr>
          <w:p>
            <w:pPr>
              <w:jc w:val="right"/>
              <w:ind w:right="55"/>
              <w:spacing w:after="0"/>
              <w:rPr>
                <w:sz w:val="20"/>
                <w:szCs w:val="20"/>
                <w:color w:val="auto"/>
              </w:rPr>
            </w:pPr>
            <w:r>
              <w:rPr>
                <w:rFonts w:ascii="Arial" w:cs="Arial" w:eastAsia="Arial" w:hAnsi="Arial"/>
                <w:sz w:val="9"/>
                <w:szCs w:val="9"/>
                <w:color w:val="auto"/>
                <w:w w:val="79"/>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$14,025,709</w:t>
            </w:r>
          </w:p>
        </w:tc>
        <w:tc>
          <w:tcPr>
            <w:tcW w:w="76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$14,025,709</w:t>
            </w:r>
          </w:p>
        </w:tc>
        <w:tc>
          <w:tcPr>
            <w:tcW w:w="7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9"/>
                <w:szCs w:val="9"/>
                <w:color w:val="auto"/>
              </w:rPr>
              <w:t>$9,220,422</w:t>
            </w:r>
          </w:p>
        </w:tc>
        <w:tc>
          <w:tcPr>
            <w:tcW w:w="20" w:type="dxa"/>
            <w:vAlign w:val="bottom"/>
          </w:tcPr>
          <w:p>
            <w:pPr>
              <w:spacing w:after="0"/>
              <w:rPr>
                <w:sz w:val="8"/>
                <w:szCs w:val="8"/>
                <w:color w:val="auto"/>
              </w:rPr>
            </w:pPr>
          </w:p>
        </w:tc>
        <w:tc>
          <w:tcPr>
            <w:tcW w:w="5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auto"/>
              </w:rPr>
              <w:t>$4,805.287</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$4,805,287</w:t>
            </w:r>
          </w:p>
        </w:tc>
        <w:tc>
          <w:tcPr>
            <w:tcW w:w="58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$319,757</w:t>
            </w:r>
          </w:p>
        </w:tc>
        <w:tc>
          <w:tcPr>
            <w:tcW w:w="54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auto"/>
              </w:rPr>
              <w:t>$4,485,531</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$4,485,531</w:t>
            </w:r>
          </w:p>
        </w:tc>
        <w:tc>
          <w:tcPr>
            <w:tcW w:w="60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9"/>
                <w:szCs w:val="9"/>
                <w:color w:val="auto"/>
              </w:rPr>
              <w:t>$319,757</w:t>
            </w:r>
          </w:p>
        </w:tc>
        <w:tc>
          <w:tcPr>
            <w:tcW w:w="5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9"/>
                <w:szCs w:val="9"/>
                <w:b w:val="1"/>
                <w:bCs w:val="1"/>
                <w:color w:val="auto"/>
              </w:rPr>
              <w:t>$4,165,774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0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4"/>
              </w:rPr>
              <w:t>Gross DTA</w:t>
            </w:r>
          </w:p>
        </w:tc>
        <w:tc>
          <w:tcPr>
            <w:tcW w:w="7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00" w:type="dxa"/>
            <w:vAlign w:val="bottom"/>
            <w:tcBorders>
              <w:right w:val="single" w:sz="8" w:color="auto"/>
            </w:tcBorders>
          </w:tcPr>
          <w:p>
            <w:pPr>
              <w:spacing w:after="0"/>
              <w:rPr>
                <w:sz w:val="5"/>
                <w:szCs w:val="5"/>
                <w:color w:val="auto"/>
              </w:rPr>
            </w:pPr>
          </w:p>
        </w:tc>
        <w:tc>
          <w:tcPr>
            <w:tcW w:w="50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0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9"/>
                <w:szCs w:val="9"/>
                <w:color w:val="auto"/>
                <w:w w:val="90"/>
              </w:rPr>
              <w:t>State NOL</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6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340" w:type="dxa"/>
            <w:vAlign w:val="bottom"/>
          </w:tcPr>
          <w:p>
            <w:pPr>
              <w:spacing w:after="0"/>
              <w:rPr>
                <w:sz w:val="8"/>
                <w:szCs w:val="8"/>
                <w:color w:val="auto"/>
              </w:rPr>
            </w:pPr>
          </w:p>
        </w:tc>
        <w:tc>
          <w:tcPr>
            <w:tcW w:w="200" w:type="dxa"/>
            <w:vAlign w:val="bottom"/>
            <w:tcBorders>
              <w:right w:val="single" w:sz="8" w:color="auto"/>
            </w:tcBorders>
            <w:vMerge w:val="restart"/>
          </w:tcPr>
          <w:p>
            <w:pPr>
              <w:jc w:val="right"/>
              <w:ind w:right="55"/>
              <w:spacing w:after="0"/>
              <w:rPr>
                <w:sz w:val="20"/>
                <w:szCs w:val="20"/>
                <w:color w:val="auto"/>
              </w:rPr>
            </w:pPr>
            <w:r>
              <w:rPr>
                <w:rFonts w:ascii="Arial" w:cs="Arial" w:eastAsia="Arial" w:hAnsi="Arial"/>
                <w:sz w:val="9"/>
                <w:szCs w:val="9"/>
                <w:color w:val="auto"/>
                <w:w w:val="79"/>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$0</w:t>
            </w:r>
          </w:p>
        </w:tc>
        <w:tc>
          <w:tcPr>
            <w:tcW w:w="76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9"/>
                <w:szCs w:val="9"/>
                <w:color w:val="auto"/>
              </w:rPr>
              <w:t>$0</w:t>
            </w:r>
          </w:p>
        </w:tc>
        <w:tc>
          <w:tcPr>
            <w:tcW w:w="20" w:type="dxa"/>
            <w:vAlign w:val="bottom"/>
          </w:tcPr>
          <w:p>
            <w:pPr>
              <w:spacing w:after="0"/>
              <w:rPr>
                <w:sz w:val="8"/>
                <w:szCs w:val="8"/>
                <w:color w:val="auto"/>
              </w:rPr>
            </w:pPr>
          </w:p>
        </w:tc>
        <w:tc>
          <w:tcPr>
            <w:tcW w:w="5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auto"/>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58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$0</w:t>
            </w:r>
          </w:p>
        </w:tc>
        <w:tc>
          <w:tcPr>
            <w:tcW w:w="54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auto"/>
              </w:rPr>
              <w:t>$0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$0</w:t>
            </w:r>
          </w:p>
        </w:tc>
        <w:tc>
          <w:tcPr>
            <w:tcW w:w="60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9"/>
                <w:szCs w:val="9"/>
                <w:color w:val="auto"/>
              </w:rPr>
              <w:t>$0</w:t>
            </w:r>
          </w:p>
        </w:tc>
        <w:tc>
          <w:tcPr>
            <w:tcW w:w="5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9"/>
                <w:szCs w:val="9"/>
                <w:b w:val="1"/>
                <w:bCs w:val="1"/>
                <w:color w:val="auto"/>
              </w:rPr>
              <w:t>$0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0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88"/>
              </w:rPr>
              <w:t>Gross VA</w:t>
            </w:r>
          </w:p>
        </w:tc>
        <w:tc>
          <w:tcPr>
            <w:tcW w:w="7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00" w:type="dxa"/>
            <w:vAlign w:val="bottom"/>
            <w:tcBorders>
              <w:right w:val="single" w:sz="8" w:color="auto"/>
            </w:tcBorders>
          </w:tcPr>
          <w:p>
            <w:pPr>
              <w:spacing w:after="0"/>
              <w:rPr>
                <w:sz w:val="5"/>
                <w:szCs w:val="5"/>
                <w:color w:val="auto"/>
              </w:rPr>
            </w:pPr>
          </w:p>
        </w:tc>
        <w:tc>
          <w:tcPr>
            <w:tcW w:w="50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0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9"/>
                <w:szCs w:val="9"/>
                <w:color w:val="auto"/>
                <w:w w:val="85"/>
              </w:rPr>
              <w:t>State</w:t>
            </w:r>
          </w:p>
        </w:tc>
        <w:tc>
          <w:tcPr>
            <w:tcW w:w="74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$1,342,249</w:t>
            </w:r>
          </w:p>
        </w:tc>
        <w:tc>
          <w:tcPr>
            <w:tcW w:w="76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auto"/>
              </w:rPr>
              <w:t>$1,342,249</w:t>
            </w:r>
          </w:p>
        </w:tc>
        <w:tc>
          <w:tcPr>
            <w:tcW w:w="720" w:type="dxa"/>
            <w:vAlign w:val="bottom"/>
            <w:tcBorders>
              <w:right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auto"/>
              </w:rPr>
              <w:t>$1,342,249</w:t>
            </w:r>
          </w:p>
        </w:tc>
        <w:tc>
          <w:tcPr>
            <w:tcW w:w="7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9"/>
                <w:szCs w:val="9"/>
                <w:b w:val="1"/>
                <w:bCs w:val="1"/>
                <w:color w:val="auto"/>
              </w:rPr>
              <w:t>$1,342,249</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color w:val="auto"/>
                <w:w w:val="91"/>
              </w:rPr>
              <w:t>Credits</w:t>
            </w:r>
          </w:p>
        </w:tc>
        <w:tc>
          <w:tcPr>
            <w:tcW w:w="74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$1,342,249</w:t>
            </w:r>
          </w:p>
        </w:tc>
        <w:tc>
          <w:tcPr>
            <w:tcW w:w="66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340" w:type="dxa"/>
            <w:vAlign w:val="bottom"/>
          </w:tcPr>
          <w:p>
            <w:pPr>
              <w:spacing w:after="0"/>
              <w:rPr>
                <w:sz w:val="8"/>
                <w:szCs w:val="8"/>
                <w:color w:val="auto"/>
              </w:rPr>
            </w:pPr>
          </w:p>
        </w:tc>
        <w:tc>
          <w:tcPr>
            <w:tcW w:w="200" w:type="dxa"/>
            <w:vAlign w:val="bottom"/>
            <w:tcBorders>
              <w:right w:val="single" w:sz="8" w:color="auto"/>
            </w:tcBorders>
          </w:tcPr>
          <w:p>
            <w:pPr>
              <w:jc w:val="right"/>
              <w:ind w:right="55"/>
              <w:spacing w:after="0" w:line="95" w:lineRule="exact"/>
              <w:rPr>
                <w:sz w:val="20"/>
                <w:szCs w:val="20"/>
                <w:color w:val="auto"/>
              </w:rPr>
            </w:pPr>
            <w:r>
              <w:rPr>
                <w:rFonts w:ascii="Arial" w:cs="Arial" w:eastAsia="Arial" w:hAnsi="Arial"/>
                <w:sz w:val="9"/>
                <w:szCs w:val="9"/>
                <w:color w:val="auto"/>
                <w:w w:val="79"/>
              </w:rPr>
              <w:t>$0</w:t>
            </w:r>
          </w:p>
        </w:tc>
        <w:tc>
          <w:tcPr>
            <w:tcW w:w="74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tcPr>
          <w:p>
            <w:pPr>
              <w:jc w:val="right"/>
              <w:ind w:right="77"/>
              <w:spacing w:after="0" w:line="95" w:lineRule="exact"/>
              <w:rPr>
                <w:sz w:val="20"/>
                <w:szCs w:val="20"/>
                <w:color w:val="auto"/>
              </w:rPr>
            </w:pPr>
            <w:r>
              <w:rPr>
                <w:rFonts w:ascii="Arial" w:cs="Arial" w:eastAsia="Arial" w:hAnsi="Arial"/>
                <w:sz w:val="9"/>
                <w:szCs w:val="9"/>
                <w:color w:val="auto"/>
              </w:rPr>
              <w:t>$1,342,249</w:t>
            </w:r>
          </w:p>
        </w:tc>
        <w:tc>
          <w:tcPr>
            <w:tcW w:w="740" w:type="dxa"/>
            <w:vAlign w:val="bottom"/>
            <w:tcBorders>
              <w:right w:val="single" w:sz="8" w:color="auto"/>
            </w:tcBorders>
          </w:tcPr>
          <w:p>
            <w:pPr>
              <w:jc w:val="right"/>
              <w:ind w:right="78"/>
              <w:spacing w:after="0" w:line="95" w:lineRule="exact"/>
              <w:rPr>
                <w:sz w:val="20"/>
                <w:szCs w:val="20"/>
                <w:color w:val="auto"/>
              </w:rPr>
            </w:pPr>
            <w:r>
              <w:rPr>
                <w:rFonts w:ascii="Arial" w:cs="Arial" w:eastAsia="Arial" w:hAnsi="Arial"/>
                <w:sz w:val="9"/>
                <w:szCs w:val="9"/>
                <w:color w:val="auto"/>
              </w:rPr>
              <w:t>$0</w:t>
            </w:r>
          </w:p>
        </w:tc>
        <w:tc>
          <w:tcPr>
            <w:tcW w:w="20" w:type="dxa"/>
            <w:vAlign w:val="bottom"/>
          </w:tcPr>
          <w:p>
            <w:pPr>
              <w:spacing w:after="0"/>
              <w:rPr>
                <w:sz w:val="8"/>
                <w:szCs w:val="8"/>
                <w:color w:val="auto"/>
              </w:rPr>
            </w:pPr>
          </w:p>
        </w:tc>
        <w:tc>
          <w:tcPr>
            <w:tcW w:w="520" w:type="dxa"/>
            <w:vAlign w:val="bottom"/>
            <w:tcBorders>
              <w:right w:val="single" w:sz="8" w:color="auto"/>
            </w:tcBorders>
          </w:tcPr>
          <w:p>
            <w:pPr>
              <w:jc w:val="right"/>
              <w:ind w:right="77"/>
              <w:spacing w:after="0" w:line="95" w:lineRule="exact"/>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$1,342,249</w:t>
            </w:r>
          </w:p>
        </w:tc>
        <w:tc>
          <w:tcPr>
            <w:tcW w:w="58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540" w:type="dxa"/>
            <w:vAlign w:val="bottom"/>
            <w:tcBorders>
              <w:right w:val="single" w:sz="8" w:color="auto"/>
            </w:tcBorders>
          </w:tcPr>
          <w:p>
            <w:pPr>
              <w:jc w:val="right"/>
              <w:ind w:right="77"/>
              <w:spacing w:after="0" w:line="95" w:lineRule="exact"/>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auto"/>
              </w:rPr>
              <w:t>$1,342,249</w:t>
            </w:r>
          </w:p>
        </w:tc>
        <w:tc>
          <w:tcPr>
            <w:tcW w:w="600" w:type="dxa"/>
            <w:vAlign w:val="bottom"/>
            <w:tcBorders>
              <w:right w:val="single" w:sz="8" w:color="auto"/>
            </w:tcBorders>
          </w:tcPr>
          <w:p>
            <w:pPr>
              <w:jc w:val="right"/>
              <w:ind w:right="78"/>
              <w:spacing w:after="0" w:line="95" w:lineRule="exact"/>
              <w:rPr>
                <w:sz w:val="20"/>
                <w:szCs w:val="20"/>
                <w:color w:val="auto"/>
              </w:rPr>
            </w:pPr>
            <w:r>
              <w:rPr>
                <w:rFonts w:ascii="Arial" w:cs="Arial" w:eastAsia="Arial" w:hAnsi="Arial"/>
                <w:sz w:val="9"/>
                <w:szCs w:val="9"/>
                <w:color w:val="auto"/>
              </w:rPr>
              <w:t>$0</w:t>
            </w:r>
          </w:p>
        </w:tc>
        <w:tc>
          <w:tcPr>
            <w:tcW w:w="520" w:type="dxa"/>
            <w:vAlign w:val="bottom"/>
            <w:tcBorders>
              <w:right w:val="single" w:sz="8" w:color="auto"/>
            </w:tcBorders>
          </w:tcPr>
          <w:p>
            <w:pPr>
              <w:jc w:val="right"/>
              <w:ind w:right="77"/>
              <w:spacing w:after="0" w:line="95" w:lineRule="exact"/>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0" w:type="dxa"/>
            <w:vAlign w:val="bottom"/>
            <w:tcBorders>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94"/>
              </w:rPr>
              <w:t>Gross DTA</w:t>
            </w:r>
          </w:p>
        </w:tc>
        <w:tc>
          <w:tcPr>
            <w:tcW w:w="74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0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9"/>
                <w:szCs w:val="9"/>
                <w:color w:val="auto"/>
                <w:w w:val="85"/>
              </w:rPr>
              <w:t>State</w:t>
            </w:r>
          </w:p>
        </w:tc>
        <w:tc>
          <w:tcPr>
            <w:tcW w:w="74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C80812"/>
              </w:rPr>
              <w:t>($394,349)</w:t>
            </w:r>
          </w:p>
        </w:tc>
        <w:tc>
          <w:tcPr>
            <w:tcW w:w="76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C80812"/>
              </w:rPr>
              <w:t>($394,349)</w:t>
            </w:r>
          </w:p>
        </w:tc>
        <w:tc>
          <w:tcPr>
            <w:tcW w:w="720" w:type="dxa"/>
            <w:vAlign w:val="bottom"/>
            <w:tcBorders>
              <w:right w:val="single" w:sz="8" w:color="auto"/>
            </w:tcBorders>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C80812"/>
              </w:rPr>
              <w:t>($394,349)</w:t>
            </w:r>
          </w:p>
        </w:tc>
        <w:tc>
          <w:tcPr>
            <w:tcW w:w="7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9"/>
                <w:szCs w:val="9"/>
                <w:b w:val="1"/>
                <w:bCs w:val="1"/>
                <w:color w:val="C80812"/>
              </w:rPr>
              <w:t>($394,349)</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9"/>
                <w:szCs w:val="9"/>
                <w:color w:val="auto"/>
                <w:w w:val="91"/>
              </w:rPr>
              <w:t>Credits</w:t>
            </w:r>
          </w:p>
        </w:tc>
        <w:tc>
          <w:tcPr>
            <w:tcW w:w="74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C83954"/>
              </w:rPr>
              <w:t>($394,349)</w:t>
            </w:r>
          </w:p>
        </w:tc>
        <w:tc>
          <w:tcPr>
            <w:tcW w:w="66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340" w:type="dxa"/>
            <w:vAlign w:val="bottom"/>
          </w:tcPr>
          <w:p>
            <w:pPr>
              <w:spacing w:after="0"/>
              <w:rPr>
                <w:sz w:val="8"/>
                <w:szCs w:val="8"/>
                <w:color w:val="auto"/>
              </w:rPr>
            </w:pPr>
          </w:p>
        </w:tc>
        <w:tc>
          <w:tcPr>
            <w:tcW w:w="200" w:type="dxa"/>
            <w:vAlign w:val="bottom"/>
            <w:tcBorders>
              <w:right w:val="single" w:sz="8" w:color="auto"/>
            </w:tcBorders>
          </w:tcPr>
          <w:p>
            <w:pPr>
              <w:jc w:val="right"/>
              <w:ind w:right="55"/>
              <w:spacing w:after="0" w:line="95" w:lineRule="exact"/>
              <w:rPr>
                <w:sz w:val="20"/>
                <w:szCs w:val="20"/>
                <w:color w:val="auto"/>
              </w:rPr>
            </w:pPr>
            <w:r>
              <w:rPr>
                <w:rFonts w:ascii="Arial" w:cs="Arial" w:eastAsia="Arial" w:hAnsi="Arial"/>
                <w:sz w:val="9"/>
                <w:szCs w:val="9"/>
                <w:color w:val="auto"/>
                <w:w w:val="79"/>
              </w:rPr>
              <w:t>$0</w:t>
            </w:r>
          </w:p>
        </w:tc>
        <w:tc>
          <w:tcPr>
            <w:tcW w:w="74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tcPr>
          <w:p>
            <w:pPr>
              <w:jc w:val="right"/>
              <w:ind w:right="77"/>
              <w:spacing w:after="0" w:line="95" w:lineRule="exact"/>
              <w:rPr>
                <w:sz w:val="20"/>
                <w:szCs w:val="20"/>
                <w:color w:val="auto"/>
              </w:rPr>
            </w:pPr>
            <w:r>
              <w:rPr>
                <w:rFonts w:ascii="Arial" w:cs="Arial" w:eastAsia="Arial" w:hAnsi="Arial"/>
                <w:sz w:val="9"/>
                <w:szCs w:val="9"/>
                <w:color w:val="C83954"/>
              </w:rPr>
              <w:t>($394,349)</w:t>
            </w:r>
          </w:p>
        </w:tc>
        <w:tc>
          <w:tcPr>
            <w:tcW w:w="740" w:type="dxa"/>
            <w:vAlign w:val="bottom"/>
            <w:tcBorders>
              <w:right w:val="single" w:sz="8" w:color="auto"/>
            </w:tcBorders>
          </w:tcPr>
          <w:p>
            <w:pPr>
              <w:jc w:val="right"/>
              <w:ind w:right="78"/>
              <w:spacing w:after="0" w:line="95" w:lineRule="exact"/>
              <w:rPr>
                <w:sz w:val="20"/>
                <w:szCs w:val="20"/>
                <w:color w:val="auto"/>
              </w:rPr>
            </w:pPr>
            <w:r>
              <w:rPr>
                <w:rFonts w:ascii="Arial" w:cs="Arial" w:eastAsia="Arial" w:hAnsi="Arial"/>
                <w:sz w:val="9"/>
                <w:szCs w:val="9"/>
                <w:color w:val="auto"/>
              </w:rPr>
              <w:t>$0</w:t>
            </w:r>
          </w:p>
        </w:tc>
        <w:tc>
          <w:tcPr>
            <w:tcW w:w="20" w:type="dxa"/>
            <w:vAlign w:val="bottom"/>
          </w:tcPr>
          <w:p>
            <w:pPr>
              <w:spacing w:after="0"/>
              <w:rPr>
                <w:sz w:val="8"/>
                <w:szCs w:val="8"/>
                <w:color w:val="auto"/>
              </w:rPr>
            </w:pPr>
          </w:p>
        </w:tc>
        <w:tc>
          <w:tcPr>
            <w:tcW w:w="520" w:type="dxa"/>
            <w:vAlign w:val="bottom"/>
            <w:tcBorders>
              <w:right w:val="single" w:sz="8" w:color="auto"/>
            </w:tcBorders>
          </w:tcPr>
          <w:p>
            <w:pPr>
              <w:jc w:val="right"/>
              <w:ind w:right="77"/>
              <w:spacing w:after="0" w:line="95" w:lineRule="exact"/>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C83954"/>
              </w:rPr>
              <w:t>($394,349)</w:t>
            </w:r>
          </w:p>
        </w:tc>
        <w:tc>
          <w:tcPr>
            <w:tcW w:w="580" w:type="dxa"/>
            <w:vAlign w:val="bottom"/>
            <w:tcBorders>
              <w:right w:val="single" w:sz="8" w:color="auto"/>
            </w:tcBorders>
          </w:tcPr>
          <w:p>
            <w:pPr>
              <w:jc w:val="right"/>
              <w:ind w:right="58"/>
              <w:spacing w:after="0" w:line="95" w:lineRule="exact"/>
              <w:rPr>
                <w:sz w:val="20"/>
                <w:szCs w:val="20"/>
                <w:color w:val="auto"/>
              </w:rPr>
            </w:pPr>
            <w:r>
              <w:rPr>
                <w:rFonts w:ascii="Arial" w:cs="Arial" w:eastAsia="Arial" w:hAnsi="Arial"/>
                <w:sz w:val="9"/>
                <w:szCs w:val="9"/>
                <w:color w:val="auto"/>
              </w:rPr>
              <w:t>$0</w:t>
            </w:r>
          </w:p>
        </w:tc>
        <w:tc>
          <w:tcPr>
            <w:tcW w:w="540" w:type="dxa"/>
            <w:vAlign w:val="bottom"/>
            <w:tcBorders>
              <w:right w:val="single" w:sz="8" w:color="auto"/>
            </w:tcBorders>
          </w:tcPr>
          <w:p>
            <w:pPr>
              <w:jc w:val="right"/>
              <w:ind w:right="77"/>
              <w:spacing w:after="0" w:line="95" w:lineRule="exact"/>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tcPr>
          <w:p>
            <w:pPr>
              <w:jc w:val="right"/>
              <w:ind w:right="57"/>
              <w:spacing w:after="0" w:line="95" w:lineRule="exact"/>
              <w:rPr>
                <w:sz w:val="20"/>
                <w:szCs w:val="20"/>
                <w:color w:val="auto"/>
              </w:rPr>
            </w:pPr>
            <w:r>
              <w:rPr>
                <w:rFonts w:ascii="Arial" w:cs="Arial" w:eastAsia="Arial" w:hAnsi="Arial"/>
                <w:sz w:val="9"/>
                <w:szCs w:val="9"/>
                <w:color w:val="C83954"/>
              </w:rPr>
              <w:t>($394,349)</w:t>
            </w:r>
          </w:p>
        </w:tc>
        <w:tc>
          <w:tcPr>
            <w:tcW w:w="600" w:type="dxa"/>
            <w:vAlign w:val="bottom"/>
            <w:tcBorders>
              <w:right w:val="single" w:sz="8" w:color="auto"/>
            </w:tcBorders>
          </w:tcPr>
          <w:p>
            <w:pPr>
              <w:jc w:val="right"/>
              <w:ind w:right="78"/>
              <w:spacing w:after="0" w:line="95" w:lineRule="exact"/>
              <w:rPr>
                <w:sz w:val="20"/>
                <w:szCs w:val="20"/>
                <w:color w:val="auto"/>
              </w:rPr>
            </w:pPr>
            <w:r>
              <w:rPr>
                <w:rFonts w:ascii="Arial" w:cs="Arial" w:eastAsia="Arial" w:hAnsi="Arial"/>
                <w:sz w:val="9"/>
                <w:szCs w:val="9"/>
                <w:color w:val="auto"/>
              </w:rPr>
              <w:t>$0</w:t>
            </w:r>
          </w:p>
        </w:tc>
        <w:tc>
          <w:tcPr>
            <w:tcW w:w="520" w:type="dxa"/>
            <w:vAlign w:val="bottom"/>
            <w:tcBorders>
              <w:right w:val="single" w:sz="8" w:color="auto"/>
            </w:tcBorders>
          </w:tcPr>
          <w:p>
            <w:pPr>
              <w:jc w:val="right"/>
              <w:ind w:right="77"/>
              <w:spacing w:after="0" w:line="95" w:lineRule="exact"/>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0" w:type="dxa"/>
            <w:vAlign w:val="bottom"/>
            <w:tcBorders>
              <w:right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88"/>
              </w:rPr>
              <w:t>Gross VA</w:t>
            </w:r>
          </w:p>
        </w:tc>
        <w:tc>
          <w:tcPr>
            <w:tcW w:w="74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0" w:type="dxa"/>
            <w:vAlign w:val="bottom"/>
            <w:tcBorders>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jc w:val="center"/>
              <w:ind w:right="36"/>
              <w:spacing w:after="0"/>
              <w:rPr>
                <w:sz w:val="20"/>
                <w:szCs w:val="20"/>
                <w:color w:val="auto"/>
              </w:rPr>
            </w:pPr>
            <w:r>
              <w:rPr>
                <w:rFonts w:ascii="Arial" w:cs="Arial" w:eastAsia="Arial" w:hAnsi="Arial"/>
                <w:sz w:val="9"/>
                <w:szCs w:val="9"/>
                <w:color w:val="auto"/>
                <w:w w:val="89"/>
              </w:rPr>
              <w:t>Total</w:t>
            </w:r>
          </w:p>
        </w:tc>
        <w:tc>
          <w:tcPr>
            <w:tcW w:w="7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9"/>
                <w:szCs w:val="9"/>
                <w:color w:val="auto"/>
              </w:rPr>
              <w:t>$18,295,591</w:t>
            </w:r>
          </w:p>
        </w:tc>
        <w:tc>
          <w:tcPr>
            <w:tcW w:w="66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9"/>
                <w:szCs w:val="9"/>
                <w:color w:val="auto"/>
              </w:rPr>
              <w:t>$3,321,981</w:t>
            </w: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jc w:val="right"/>
              <w:ind w:right="55"/>
              <w:spacing w:after="0"/>
              <w:rPr>
                <w:sz w:val="20"/>
                <w:szCs w:val="20"/>
                <w:color w:val="auto"/>
              </w:rPr>
            </w:pPr>
            <w:r>
              <w:rPr>
                <w:rFonts w:ascii="Arial" w:cs="Arial" w:eastAsia="Arial" w:hAnsi="Arial"/>
                <w:sz w:val="9"/>
                <w:szCs w:val="9"/>
                <w:color w:val="auto"/>
                <w:w w:val="79"/>
              </w:rPr>
              <w:t>$0</w:t>
            </w:r>
          </w:p>
        </w:tc>
        <w:tc>
          <w:tcPr>
            <w:tcW w:w="74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9"/>
                <w:szCs w:val="9"/>
                <w:b w:val="1"/>
                <w:bCs w:val="1"/>
                <w:color w:val="auto"/>
              </w:rPr>
              <w:t>$14,973,609</w:t>
            </w:r>
          </w:p>
        </w:tc>
        <w:tc>
          <w:tcPr>
            <w:tcW w:w="76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9"/>
                <w:szCs w:val="9"/>
                <w:color w:val="auto"/>
              </w:rPr>
              <w:t>$14,973,609</w:t>
            </w:r>
          </w:p>
        </w:tc>
        <w:tc>
          <w:tcPr>
            <w:tcW w:w="740" w:type="dxa"/>
            <w:vAlign w:val="bottom"/>
            <w:tcBorders>
              <w:bottom w:val="single" w:sz="8" w:color="auto"/>
              <w:right w:val="single" w:sz="8" w:color="auto"/>
            </w:tcBorders>
          </w:tcPr>
          <w:p>
            <w:pPr>
              <w:jc w:val="right"/>
              <w:ind w:right="78"/>
              <w:spacing w:after="0"/>
              <w:rPr>
                <w:sz w:val="20"/>
                <w:szCs w:val="20"/>
                <w:color w:val="auto"/>
              </w:rPr>
            </w:pPr>
            <w:r>
              <w:rPr>
                <w:rFonts w:ascii="Arial" w:cs="Arial" w:eastAsia="Arial" w:hAnsi="Arial"/>
                <w:sz w:val="9"/>
                <w:szCs w:val="9"/>
                <w:color w:val="auto"/>
              </w:rPr>
              <w:t>$9,220,422</w:t>
            </w: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9"/>
                <w:szCs w:val="9"/>
                <w:color w:val="auto"/>
              </w:rPr>
              <w:t>$0</w:t>
            </w:r>
          </w:p>
        </w:tc>
        <w:tc>
          <w:tcPr>
            <w:tcW w:w="74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9"/>
                <w:szCs w:val="9"/>
                <w:b w:val="1"/>
                <w:bCs w:val="1"/>
                <w:color w:val="auto"/>
              </w:rPr>
              <w:t>$5,753,187</w:t>
            </w:r>
          </w:p>
        </w:tc>
        <w:tc>
          <w:tcPr>
            <w:tcW w:w="7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9"/>
                <w:szCs w:val="9"/>
                <w:color w:val="auto"/>
              </w:rPr>
              <w:t>$5,753,187</w:t>
            </w:r>
          </w:p>
        </w:tc>
        <w:tc>
          <w:tcPr>
            <w:tcW w:w="58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9"/>
                <w:szCs w:val="9"/>
                <w:color w:val="auto"/>
              </w:rPr>
              <w:t>$319,757</w:t>
            </w:r>
          </w:p>
        </w:tc>
        <w:tc>
          <w:tcPr>
            <w:tcW w:w="54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9"/>
                <w:szCs w:val="9"/>
                <w:color w:val="auto"/>
              </w:rPr>
              <w:t>$0</w:t>
            </w:r>
          </w:p>
        </w:tc>
        <w:tc>
          <w:tcPr>
            <w:tcW w:w="7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9"/>
                <w:szCs w:val="9"/>
                <w:b w:val="1"/>
                <w:bCs w:val="1"/>
                <w:color w:val="auto"/>
              </w:rPr>
              <w:t>$5,433,431</w:t>
            </w:r>
          </w:p>
        </w:tc>
        <w:tc>
          <w:tcPr>
            <w:tcW w:w="7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9"/>
                <w:szCs w:val="9"/>
                <w:color w:val="auto"/>
              </w:rPr>
              <w:t>$5,433,431</w:t>
            </w:r>
          </w:p>
        </w:tc>
        <w:tc>
          <w:tcPr>
            <w:tcW w:w="600" w:type="dxa"/>
            <w:vAlign w:val="bottom"/>
            <w:tcBorders>
              <w:bottom w:val="single" w:sz="8" w:color="auto"/>
              <w:right w:val="single" w:sz="8" w:color="auto"/>
            </w:tcBorders>
          </w:tcPr>
          <w:p>
            <w:pPr>
              <w:jc w:val="right"/>
              <w:ind w:right="78"/>
              <w:spacing w:after="0"/>
              <w:rPr>
                <w:sz w:val="20"/>
                <w:szCs w:val="20"/>
                <w:color w:val="auto"/>
              </w:rPr>
            </w:pPr>
            <w:r>
              <w:rPr>
                <w:rFonts w:ascii="Arial" w:cs="Arial" w:eastAsia="Arial" w:hAnsi="Arial"/>
                <w:sz w:val="9"/>
                <w:szCs w:val="9"/>
                <w:color w:val="auto"/>
              </w:rPr>
              <w:t>$319,757</w:t>
            </w:r>
          </w:p>
        </w:tc>
        <w:tc>
          <w:tcPr>
            <w:tcW w:w="5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9"/>
                <w:szCs w:val="9"/>
                <w:color w:val="auto"/>
              </w:rPr>
              <w:t>$0</w:t>
            </w:r>
          </w:p>
        </w:tc>
        <w:tc>
          <w:tcPr>
            <w:tcW w:w="72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9"/>
                <w:szCs w:val="9"/>
                <w:b w:val="1"/>
                <w:bCs w:val="1"/>
                <w:color w:val="auto"/>
              </w:rPr>
              <w:t>$5,113,674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0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9"/>
                <w:szCs w:val="9"/>
                <w:color w:val="auto"/>
                <w:w w:val="89"/>
              </w:rPr>
              <w:t>Net Federal</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C83954"/>
              </w:rPr>
              <w:t>($3,714,293)</w:t>
            </w:r>
          </w:p>
        </w:tc>
        <w:tc>
          <w:tcPr>
            <w:tcW w:w="6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C83954"/>
              </w:rPr>
              <w:t>($569,835)</w:t>
            </w:r>
          </w:p>
        </w:tc>
        <w:tc>
          <w:tcPr>
            <w:tcW w:w="340" w:type="dxa"/>
            <w:vAlign w:val="bottom"/>
          </w:tcPr>
          <w:p>
            <w:pPr>
              <w:spacing w:after="0"/>
              <w:rPr>
                <w:sz w:val="8"/>
                <w:szCs w:val="8"/>
                <w:color w:val="auto"/>
              </w:rPr>
            </w:pPr>
          </w:p>
        </w:tc>
        <w:tc>
          <w:tcPr>
            <w:tcW w:w="200" w:type="dxa"/>
            <w:vAlign w:val="bottom"/>
            <w:tcBorders>
              <w:right w:val="single" w:sz="8" w:color="auto"/>
            </w:tcBorders>
            <w:vMerge w:val="restart"/>
          </w:tcPr>
          <w:p>
            <w:pPr>
              <w:jc w:val="right"/>
              <w:ind w:right="55"/>
              <w:spacing w:after="0"/>
              <w:rPr>
                <w:sz w:val="20"/>
                <w:szCs w:val="20"/>
                <w:color w:val="auto"/>
              </w:rPr>
            </w:pPr>
            <w:r>
              <w:rPr>
                <w:rFonts w:ascii="Arial" w:cs="Arial" w:eastAsia="Arial" w:hAnsi="Arial"/>
                <w:sz w:val="9"/>
                <w:szCs w:val="9"/>
                <w:color w:val="auto"/>
                <w:w w:val="79"/>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C80812"/>
              </w:rPr>
              <w:t>($3,144,458)</w:t>
            </w:r>
          </w:p>
        </w:tc>
        <w:tc>
          <w:tcPr>
            <w:tcW w:w="76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C83954"/>
              </w:rPr>
              <w:t>($3,144,458)</w:t>
            </w:r>
          </w:p>
        </w:tc>
        <w:tc>
          <w:tcPr>
            <w:tcW w:w="7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9"/>
                <w:szCs w:val="9"/>
                <w:color w:val="C83954"/>
              </w:rPr>
              <w:t>($1,936,289)</w:t>
            </w:r>
          </w:p>
        </w:tc>
        <w:tc>
          <w:tcPr>
            <w:tcW w:w="20" w:type="dxa"/>
            <w:vAlign w:val="bottom"/>
          </w:tcPr>
          <w:p>
            <w:pPr>
              <w:spacing w:after="0"/>
              <w:rPr>
                <w:sz w:val="8"/>
                <w:szCs w:val="8"/>
                <w:color w:val="auto"/>
              </w:rPr>
            </w:pPr>
          </w:p>
        </w:tc>
        <w:tc>
          <w:tcPr>
            <w:tcW w:w="5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C80812"/>
              </w:rPr>
              <w:t>($1,208,169)</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C83954"/>
              </w:rPr>
              <w:t>($1,208,169)</w:t>
            </w:r>
          </w:p>
        </w:tc>
        <w:tc>
          <w:tcPr>
            <w:tcW w:w="58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C83954"/>
              </w:rPr>
              <w:t>($67,149)</w:t>
            </w:r>
          </w:p>
        </w:tc>
        <w:tc>
          <w:tcPr>
            <w:tcW w:w="54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C80812"/>
              </w:rPr>
              <w:t>($1,141,020)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96973"/>
              </w:rPr>
              <w:t>(</w:t>
            </w:r>
            <w:r>
              <w:rPr>
                <w:rFonts w:ascii="Arial" w:cs="Arial" w:eastAsia="Arial" w:hAnsi="Arial"/>
                <w:sz w:val="9"/>
                <w:szCs w:val="9"/>
                <w:color w:val="C83954"/>
              </w:rPr>
              <w:t>$1,141,020)</w:t>
            </w:r>
          </w:p>
        </w:tc>
        <w:tc>
          <w:tcPr>
            <w:tcW w:w="60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9"/>
                <w:szCs w:val="9"/>
                <w:color w:val="C83954"/>
              </w:rPr>
              <w:t>($67,149)</w:t>
            </w:r>
          </w:p>
        </w:tc>
        <w:tc>
          <w:tcPr>
            <w:tcW w:w="5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9"/>
                <w:szCs w:val="9"/>
                <w:b w:val="1"/>
                <w:bCs w:val="1"/>
                <w:color w:val="C80812"/>
              </w:rPr>
              <w:t>($1,073,871)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0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2"/>
              </w:rPr>
              <w:t>Benefit</w:t>
            </w:r>
          </w:p>
        </w:tc>
        <w:tc>
          <w:tcPr>
            <w:tcW w:w="7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00" w:type="dxa"/>
            <w:vAlign w:val="bottom"/>
            <w:tcBorders>
              <w:right w:val="single" w:sz="8" w:color="auto"/>
            </w:tcBorders>
          </w:tcPr>
          <w:p>
            <w:pPr>
              <w:spacing w:after="0"/>
              <w:rPr>
                <w:sz w:val="5"/>
                <w:szCs w:val="5"/>
                <w:color w:val="auto"/>
              </w:rPr>
            </w:pPr>
          </w:p>
        </w:tc>
        <w:tc>
          <w:tcPr>
            <w:tcW w:w="50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0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tcPr>
          <w:p>
            <w:pPr>
              <w:jc w:val="center"/>
              <w:ind w:right="16"/>
              <w:spacing w:after="0" w:line="101" w:lineRule="exact"/>
              <w:rPr>
                <w:sz w:val="20"/>
                <w:szCs w:val="20"/>
                <w:color w:val="auto"/>
              </w:rPr>
            </w:pPr>
            <w:r>
              <w:rPr>
                <w:rFonts w:ascii="Arial" w:cs="Arial" w:eastAsia="Arial" w:hAnsi="Arial"/>
                <w:sz w:val="9"/>
                <w:szCs w:val="9"/>
                <w:color w:val="auto"/>
                <w:w w:val="99"/>
              </w:rPr>
              <w:t>Net DTA -</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$14,581,297</w:t>
            </w:r>
          </w:p>
        </w:tc>
        <w:tc>
          <w:tcPr>
            <w:tcW w:w="66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$2,752,146</w:t>
            </w:r>
          </w:p>
        </w:tc>
        <w:tc>
          <w:tcPr>
            <w:tcW w:w="340" w:type="dxa"/>
            <w:vAlign w:val="bottom"/>
          </w:tcPr>
          <w:p>
            <w:pPr>
              <w:spacing w:after="0"/>
              <w:rPr>
                <w:sz w:val="8"/>
                <w:szCs w:val="8"/>
                <w:color w:val="auto"/>
              </w:rPr>
            </w:pPr>
          </w:p>
        </w:tc>
        <w:tc>
          <w:tcPr>
            <w:tcW w:w="200" w:type="dxa"/>
            <w:vAlign w:val="bottom"/>
            <w:tcBorders>
              <w:right w:val="single" w:sz="8" w:color="auto"/>
            </w:tcBorders>
            <w:vMerge w:val="restart"/>
          </w:tcPr>
          <w:p>
            <w:pPr>
              <w:jc w:val="right"/>
              <w:ind w:right="55"/>
              <w:spacing w:after="0"/>
              <w:rPr>
                <w:sz w:val="20"/>
                <w:szCs w:val="20"/>
                <w:color w:val="auto"/>
              </w:rPr>
            </w:pPr>
            <w:r>
              <w:rPr>
                <w:rFonts w:ascii="Arial" w:cs="Arial" w:eastAsia="Arial" w:hAnsi="Arial"/>
                <w:sz w:val="9"/>
                <w:szCs w:val="9"/>
                <w:color w:val="auto"/>
                <w:w w:val="79"/>
              </w:rPr>
              <w:t>$0</w:t>
            </w:r>
          </w:p>
        </w:tc>
        <w:tc>
          <w:tcPr>
            <w:tcW w:w="74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b w:val="1"/>
                <w:bCs w:val="1"/>
                <w:color w:val="auto"/>
              </w:rPr>
              <w:t>$11,829,151</w:t>
            </w:r>
          </w:p>
        </w:tc>
        <w:tc>
          <w:tcPr>
            <w:tcW w:w="76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$11,829,151</w:t>
            </w:r>
          </w:p>
        </w:tc>
        <w:tc>
          <w:tcPr>
            <w:tcW w:w="74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9"/>
                <w:szCs w:val="9"/>
                <w:color w:val="auto"/>
              </w:rPr>
              <w:t>$7,284,133</w:t>
            </w:r>
          </w:p>
        </w:tc>
        <w:tc>
          <w:tcPr>
            <w:tcW w:w="20" w:type="dxa"/>
            <w:vAlign w:val="bottom"/>
          </w:tcPr>
          <w:p>
            <w:pPr>
              <w:spacing w:after="0"/>
              <w:rPr>
                <w:sz w:val="8"/>
                <w:szCs w:val="8"/>
                <w:color w:val="auto"/>
              </w:rPr>
            </w:pPr>
          </w:p>
        </w:tc>
        <w:tc>
          <w:tcPr>
            <w:tcW w:w="5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4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auto"/>
              </w:rPr>
              <w:t>$4.545,018</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$4,545,018</w:t>
            </w:r>
          </w:p>
        </w:tc>
        <w:tc>
          <w:tcPr>
            <w:tcW w:w="58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9"/>
                <w:szCs w:val="9"/>
                <w:color w:val="auto"/>
              </w:rPr>
              <w:t>$252,608</w:t>
            </w:r>
          </w:p>
        </w:tc>
        <w:tc>
          <w:tcPr>
            <w:tcW w:w="54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b w:val="1"/>
                <w:bCs w:val="1"/>
                <w:color w:val="auto"/>
              </w:rPr>
              <w:t>$4,292,410</w:t>
            </w:r>
          </w:p>
        </w:tc>
        <w:tc>
          <w:tcPr>
            <w:tcW w:w="720" w:type="dxa"/>
            <w:vAlign w:val="bottom"/>
            <w:tcBorders>
              <w:right w:val="single" w:sz="8" w:color="auto"/>
            </w:tcBorders>
            <w:vMerge w:val="restart"/>
          </w:tcPr>
          <w:p>
            <w:pPr>
              <w:jc w:val="right"/>
              <w:ind w:right="57"/>
              <w:spacing w:after="0"/>
              <w:rPr>
                <w:sz w:val="20"/>
                <w:szCs w:val="20"/>
                <w:color w:val="auto"/>
              </w:rPr>
            </w:pPr>
            <w:r>
              <w:rPr>
                <w:rFonts w:ascii="Arial" w:cs="Arial" w:eastAsia="Arial" w:hAnsi="Arial"/>
                <w:sz w:val="9"/>
                <w:szCs w:val="9"/>
                <w:color w:val="auto"/>
              </w:rPr>
              <w:t>$4,292,410</w:t>
            </w:r>
          </w:p>
        </w:tc>
        <w:tc>
          <w:tcPr>
            <w:tcW w:w="600" w:type="dxa"/>
            <w:vAlign w:val="bottom"/>
            <w:tcBorders>
              <w:right w:val="single" w:sz="8" w:color="auto"/>
            </w:tcBorders>
            <w:vMerge w:val="restart"/>
          </w:tcPr>
          <w:p>
            <w:pPr>
              <w:jc w:val="right"/>
              <w:ind w:right="78"/>
              <w:spacing w:after="0"/>
              <w:rPr>
                <w:sz w:val="20"/>
                <w:szCs w:val="20"/>
                <w:color w:val="auto"/>
              </w:rPr>
            </w:pPr>
            <w:r>
              <w:rPr>
                <w:rFonts w:ascii="Arial" w:cs="Arial" w:eastAsia="Arial" w:hAnsi="Arial"/>
                <w:sz w:val="9"/>
                <w:szCs w:val="9"/>
                <w:color w:val="auto"/>
              </w:rPr>
              <w:t>$252,608</w:t>
            </w:r>
          </w:p>
        </w:tc>
        <w:tc>
          <w:tcPr>
            <w:tcW w:w="52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9"/>
                <w:szCs w:val="9"/>
                <w:color w:val="auto"/>
              </w:rPr>
              <w:t>$0</w:t>
            </w:r>
          </w:p>
        </w:tc>
        <w:tc>
          <w:tcPr>
            <w:tcW w:w="72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9"/>
                <w:szCs w:val="9"/>
                <w:b w:val="1"/>
                <w:bCs w:val="1"/>
                <w:color w:val="auto"/>
              </w:rPr>
              <w:t>$4,039,802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0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7"/>
              </w:rPr>
              <w:t>Indemnity</w:t>
            </w:r>
          </w:p>
        </w:tc>
        <w:tc>
          <w:tcPr>
            <w:tcW w:w="7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54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00" w:type="dxa"/>
            <w:vAlign w:val="bottom"/>
            <w:tcBorders>
              <w:right w:val="single" w:sz="8" w:color="auto"/>
            </w:tcBorders>
          </w:tcPr>
          <w:p>
            <w:pPr>
              <w:spacing w:after="0"/>
              <w:rPr>
                <w:sz w:val="5"/>
                <w:szCs w:val="5"/>
                <w:color w:val="auto"/>
              </w:rPr>
            </w:pPr>
          </w:p>
        </w:tc>
        <w:tc>
          <w:tcPr>
            <w:tcW w:w="50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9"/>
        </w:trPr>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color w:val="auto"/>
        </w:rPr>
        <w:t>13</w:t>
      </w:r>
    </w:p>
    <w:p>
      <w:pPr>
        <w:spacing w:after="0" w:line="9" w:lineRule="exact"/>
        <w:rPr>
          <w:sz w:val="20"/>
          <w:szCs w:val="20"/>
          <w:color w:val="auto"/>
        </w:rPr>
      </w:pPr>
    </w:p>
    <w:p>
      <w:pPr>
        <w:ind w:right="780" w:firstLine="1497"/>
        <w:spacing w:after="0" w:line="236"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date first written above.</w:t>
      </w: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ASHLAND INC.</w:t>
      </w:r>
    </w:p>
    <w:p>
      <w:pPr>
        <w:spacing w:after="0" w:line="233"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/s/Yvonne Winkler von Mohrenfels</w:t>
      </w:r>
    </w:p>
    <w:p>
      <w:pPr>
        <w:spacing w:after="0" w:line="17" w:lineRule="exact"/>
        <w:rPr>
          <w:sz w:val="20"/>
          <w:szCs w:val="20"/>
          <w:color w:val="auto"/>
        </w:rPr>
      </w:pPr>
    </w:p>
    <w:tbl>
      <w:tblPr>
        <w:tblLayout w:type="fixed"/>
        <w:tblInd w:w="6500" w:type="dxa"/>
        <w:tblCellMar>
          <w:top w:w="0" w:type="dxa"/>
          <w:left w:w="0" w:type="dxa"/>
          <w:bottom w:w="0" w:type="dxa"/>
          <w:right w:w="0" w:type="dxa"/>
        </w:tblCellMar>
      </w:tblPr>
      <w:tr>
        <w:trPr>
          <w:trHeight w:val="259"/>
        </w:trPr>
        <w:tc>
          <w:tcPr>
            <w:tcW w:w="82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rPr>
              <w:t>Name:</w:t>
            </w:r>
          </w:p>
        </w:tc>
        <w:tc>
          <w:tcPr>
            <w:tcW w:w="3920" w:type="dxa"/>
            <w:vAlign w:val="bottom"/>
            <w:tcBorders>
              <w:top w:val="single" w:sz="8" w:color="auto"/>
            </w:tcBorders>
          </w:tcPr>
          <w:p>
            <w:pPr>
              <w:ind w:left="140"/>
              <w:spacing w:after="0"/>
              <w:rPr>
                <w:sz w:val="20"/>
                <w:szCs w:val="20"/>
                <w:color w:val="auto"/>
              </w:rPr>
            </w:pPr>
            <w:r>
              <w:rPr>
                <w:rFonts w:ascii="Arial" w:cs="Arial" w:eastAsia="Arial" w:hAnsi="Arial"/>
                <w:sz w:val="22"/>
                <w:szCs w:val="22"/>
                <w:color w:val="auto"/>
              </w:rPr>
              <w:t>Yvonne Winkler von Mohrenfels</w:t>
            </w:r>
          </w:p>
        </w:tc>
      </w:tr>
      <w:tr>
        <w:trPr>
          <w:trHeight w:val="261"/>
        </w:trPr>
        <w:tc>
          <w:tcPr>
            <w:tcW w:w="820" w:type="dxa"/>
            <w:vAlign w:val="bottom"/>
          </w:tcPr>
          <w:p>
            <w:pPr>
              <w:ind w:left="100"/>
              <w:spacing w:after="0"/>
              <w:rPr>
                <w:sz w:val="20"/>
                <w:szCs w:val="20"/>
                <w:color w:val="auto"/>
              </w:rPr>
            </w:pPr>
            <w:r>
              <w:rPr>
                <w:rFonts w:ascii="Arial" w:cs="Arial" w:eastAsia="Arial" w:hAnsi="Arial"/>
                <w:sz w:val="22"/>
                <w:szCs w:val="22"/>
                <w:color w:val="auto"/>
              </w:rPr>
              <w:t>Title:</w:t>
            </w:r>
          </w:p>
        </w:tc>
        <w:tc>
          <w:tcPr>
            <w:tcW w:w="3920" w:type="dxa"/>
            <w:vAlign w:val="bottom"/>
          </w:tcPr>
          <w:p>
            <w:pPr>
              <w:ind w:left="140"/>
              <w:spacing w:after="0"/>
              <w:rPr>
                <w:sz w:val="20"/>
                <w:szCs w:val="20"/>
                <w:color w:val="auto"/>
              </w:rPr>
            </w:pPr>
            <w:r>
              <w:rPr>
                <w:rFonts w:ascii="Arial" w:cs="Arial" w:eastAsia="Arial" w:hAnsi="Arial"/>
                <w:sz w:val="22"/>
                <w:szCs w:val="22"/>
                <w:color w:val="auto"/>
                <w:w w:val="96"/>
              </w:rPr>
              <w:t>Senior Vice President, General Counsel</w:t>
            </w:r>
          </w:p>
        </w:tc>
      </w:tr>
    </w:tbl>
    <w:p>
      <w:pPr>
        <w:ind w:left="6600"/>
        <w:spacing w:after="0"/>
        <w:rPr>
          <w:sz w:val="20"/>
          <w:szCs w:val="20"/>
          <w:color w:val="auto"/>
        </w:rPr>
      </w:pPr>
      <w:r>
        <w:rPr>
          <w:rFonts w:ascii="Arial" w:cs="Arial" w:eastAsia="Arial" w:hAnsi="Arial"/>
          <w:sz w:val="22"/>
          <w:szCs w:val="22"/>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color w:val="auto"/>
        </w:rPr>
        <w:t>14</w:t>
      </w:r>
    </w:p>
    <w:p>
      <w:pPr>
        <w:spacing w:after="0" w:line="22"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VALVOLINE INC.</w:t>
      </w:r>
    </w:p>
    <w:p>
      <w:pPr>
        <w:spacing w:after="0" w:line="215"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/s/ Julie M. O’Daniel</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640" w:type="dxa"/>
            <w:vAlign w:val="bottom"/>
          </w:tcPr>
          <w:p>
            <w:pPr>
              <w:spacing w:after="0"/>
              <w:rPr>
                <w:sz w:val="22"/>
                <w:szCs w:val="22"/>
                <w:color w:val="auto"/>
              </w:rPr>
            </w:pPr>
          </w:p>
        </w:tc>
        <w:tc>
          <w:tcPr>
            <w:tcW w:w="84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rPr>
              <w:t>Name:</w:t>
            </w:r>
          </w:p>
        </w:tc>
        <w:tc>
          <w:tcPr>
            <w:tcW w:w="3760" w:type="dxa"/>
            <w:vAlign w:val="bottom"/>
            <w:tcBorders>
              <w:top w:val="single" w:sz="8" w:color="auto"/>
            </w:tcBorders>
          </w:tcPr>
          <w:p>
            <w:pPr>
              <w:ind w:left="120"/>
              <w:spacing w:after="0"/>
              <w:rPr>
                <w:sz w:val="20"/>
                <w:szCs w:val="20"/>
                <w:color w:val="auto"/>
              </w:rPr>
            </w:pPr>
            <w:r>
              <w:rPr>
                <w:rFonts w:ascii="Arial" w:cs="Arial" w:eastAsia="Arial" w:hAnsi="Arial"/>
                <w:sz w:val="22"/>
                <w:szCs w:val="22"/>
                <w:color w:val="auto"/>
              </w:rPr>
              <w:t>Julie M. O’Daniel</w:t>
            </w:r>
          </w:p>
        </w:tc>
      </w:tr>
      <w:tr>
        <w:trPr>
          <w:trHeight w:val="243"/>
        </w:trPr>
        <w:tc>
          <w:tcPr>
            <w:tcW w:w="6640" w:type="dxa"/>
            <w:vAlign w:val="bottom"/>
          </w:tcPr>
          <w:p>
            <w:pPr>
              <w:spacing w:after="0"/>
              <w:rPr>
                <w:sz w:val="21"/>
                <w:szCs w:val="21"/>
                <w:color w:val="auto"/>
              </w:rPr>
            </w:pPr>
          </w:p>
        </w:tc>
        <w:tc>
          <w:tcPr>
            <w:tcW w:w="840" w:type="dxa"/>
            <w:vAlign w:val="bottom"/>
          </w:tcPr>
          <w:p>
            <w:pPr>
              <w:ind w:left="100"/>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120"/>
              <w:spacing w:after="0" w:line="243" w:lineRule="exact"/>
              <w:rPr>
                <w:sz w:val="20"/>
                <w:szCs w:val="20"/>
                <w:color w:val="auto"/>
              </w:rPr>
            </w:pPr>
            <w:r>
              <w:rPr>
                <w:rFonts w:ascii="Arial" w:cs="Arial" w:eastAsia="Arial" w:hAnsi="Arial"/>
                <w:sz w:val="22"/>
                <w:szCs w:val="22"/>
                <w:color w:val="auto"/>
              </w:rPr>
              <w:t>General Counsel and Chief Legal</w:t>
            </w:r>
          </w:p>
        </w:tc>
      </w:tr>
      <w:tr>
        <w:trPr>
          <w:trHeight w:val="274"/>
        </w:trPr>
        <w:tc>
          <w:tcPr>
            <w:tcW w:w="6640" w:type="dxa"/>
            <w:vAlign w:val="bottom"/>
          </w:tcPr>
          <w:p>
            <w:pPr>
              <w:spacing w:after="0"/>
              <w:rPr>
                <w:sz w:val="23"/>
                <w:szCs w:val="23"/>
                <w:color w:val="auto"/>
              </w:rPr>
            </w:pPr>
          </w:p>
        </w:tc>
        <w:tc>
          <w:tcPr>
            <w:tcW w:w="840" w:type="dxa"/>
            <w:vAlign w:val="bottom"/>
          </w:tcPr>
          <w:p>
            <w:pPr>
              <w:ind w:left="100"/>
              <w:spacing w:after="0"/>
              <w:rPr>
                <w:sz w:val="20"/>
                <w:szCs w:val="20"/>
                <w:color w:val="auto"/>
              </w:rPr>
            </w:pPr>
            <w:r>
              <w:rPr>
                <w:rFonts w:ascii="Arial" w:cs="Arial" w:eastAsia="Arial" w:hAnsi="Arial"/>
                <w:sz w:val="22"/>
                <w:szCs w:val="22"/>
                <w:color w:val="auto"/>
              </w:rPr>
              <w:t>Officer</w:t>
            </w:r>
          </w:p>
        </w:tc>
        <w:tc>
          <w:tcPr>
            <w:tcW w:w="3760" w:type="dxa"/>
            <w:vAlign w:val="bottom"/>
          </w:tcPr>
          <w:p>
            <w:pPr>
              <w:spacing w:after="0"/>
              <w:rPr>
                <w:sz w:val="23"/>
                <w:szCs w:val="23"/>
                <w:color w:val="auto"/>
              </w:rPr>
            </w:pPr>
          </w:p>
        </w:tc>
      </w:tr>
      <w:tr>
        <w:trPr>
          <w:trHeight w:val="578"/>
        </w:trPr>
        <w:tc>
          <w:tcPr>
            <w:tcW w:w="6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color w:val="auto"/>
        </w:rPr>
        <w:t>EXHIBIT 31.1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Guillermo Novo, certify that:</w:t>
      </w:r>
    </w:p>
    <w:p>
      <w:pPr>
        <w:spacing w:after="0" w:line="108" w:lineRule="exact"/>
        <w:rPr>
          <w:sz w:val="20"/>
          <w:szCs w:val="20"/>
          <w:color w:val="auto"/>
        </w:rPr>
      </w:pPr>
    </w:p>
    <w:p>
      <w:pPr>
        <w:ind w:left="760" w:hanging="378"/>
        <w:spacing w:after="0"/>
        <w:tabs>
          <w:tab w:leader="none" w:pos="7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Inc.;</w:t>
      </w:r>
    </w:p>
    <w:p>
      <w:pPr>
        <w:spacing w:after="0" w:line="107" w:lineRule="exact"/>
        <w:rPr>
          <w:rFonts w:ascii="Arial" w:cs="Arial" w:eastAsia="Arial" w:hAnsi="Arial"/>
          <w:sz w:val="20"/>
          <w:szCs w:val="20"/>
          <w:color w:val="auto"/>
        </w:rPr>
      </w:pPr>
    </w:p>
    <w:p>
      <w:pPr>
        <w:jc w:val="both"/>
        <w:ind w:left="760" w:hanging="378"/>
        <w:spacing w:after="0" w:line="250" w:lineRule="auto"/>
        <w:tabs>
          <w:tab w:leader="none" w:pos="7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jc w:val="both"/>
        <w:ind w:left="760" w:hanging="378"/>
        <w:spacing w:after="0" w:line="250" w:lineRule="auto"/>
        <w:tabs>
          <w:tab w:leader="none" w:pos="7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20"/>
          <w:szCs w:val="20"/>
          <w:color w:val="auto"/>
        </w:rPr>
      </w:pPr>
    </w:p>
    <w:p>
      <w:pPr>
        <w:jc w:val="both"/>
        <w:ind w:left="760" w:hanging="378"/>
        <w:spacing w:after="0" w:line="250" w:lineRule="auto"/>
        <w:tabs>
          <w:tab w:leader="none" w:pos="7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1500" w:hanging="369"/>
        <w:spacing w:after="0" w:line="291" w:lineRule="auto"/>
        <w:tabs>
          <w:tab w:leader="none" w:pos="15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500" w:right="20" w:hanging="369"/>
        <w:spacing w:after="0" w:line="291" w:lineRule="auto"/>
        <w:tabs>
          <w:tab w:leader="none" w:pos="15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500" w:hanging="369"/>
        <w:spacing w:after="0" w:line="250" w:lineRule="auto"/>
        <w:tabs>
          <w:tab w:leader="none" w:pos="15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1500" w:hanging="369"/>
        <w:spacing w:after="0" w:line="291" w:lineRule="auto"/>
        <w:tabs>
          <w:tab w:leader="none" w:pos="15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760" w:hanging="378"/>
        <w:spacing w:after="0" w:line="250" w:lineRule="auto"/>
        <w:tabs>
          <w:tab w:leader="none" w:pos="7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jc w:val="both"/>
        <w:ind w:left="1500" w:hanging="369"/>
        <w:spacing w:after="0" w:line="250" w:lineRule="auto"/>
        <w:tabs>
          <w:tab w:leader="none" w:pos="15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500" w:hanging="369"/>
        <w:spacing w:after="0" w:line="260" w:lineRule="auto"/>
        <w:tabs>
          <w:tab w:leader="none" w:pos="15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Date: February 1, 2023</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19050</wp:posOffset>
            </wp:positionV>
            <wp:extent cx="32061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Guillermo Novo</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Chair and Chief Executive Officer</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color w:val="auto"/>
        </w:rPr>
        <w:t>EXHIBIT 31.2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108" w:lineRule="exact"/>
        <w:rPr>
          <w:sz w:val="20"/>
          <w:szCs w:val="20"/>
          <w:color w:val="auto"/>
        </w:rPr>
      </w:pPr>
    </w:p>
    <w:p>
      <w:pPr>
        <w:ind w:left="760" w:hanging="378"/>
        <w:spacing w:after="0"/>
        <w:tabs>
          <w:tab w:leader="none" w:pos="7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Inc.;</w:t>
      </w:r>
    </w:p>
    <w:p>
      <w:pPr>
        <w:spacing w:after="0" w:line="107" w:lineRule="exact"/>
        <w:rPr>
          <w:rFonts w:ascii="Arial" w:cs="Arial" w:eastAsia="Arial" w:hAnsi="Arial"/>
          <w:sz w:val="20"/>
          <w:szCs w:val="20"/>
          <w:color w:val="auto"/>
        </w:rPr>
      </w:pPr>
    </w:p>
    <w:p>
      <w:pPr>
        <w:jc w:val="both"/>
        <w:ind w:left="760" w:hanging="378"/>
        <w:spacing w:after="0" w:line="250" w:lineRule="auto"/>
        <w:tabs>
          <w:tab w:leader="none" w:pos="7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jc w:val="both"/>
        <w:ind w:left="760" w:hanging="378"/>
        <w:spacing w:after="0" w:line="250" w:lineRule="auto"/>
        <w:tabs>
          <w:tab w:leader="none" w:pos="7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20"/>
          <w:szCs w:val="20"/>
          <w:color w:val="auto"/>
        </w:rPr>
      </w:pPr>
    </w:p>
    <w:p>
      <w:pPr>
        <w:jc w:val="both"/>
        <w:ind w:left="760" w:hanging="378"/>
        <w:spacing w:after="0" w:line="250" w:lineRule="auto"/>
        <w:tabs>
          <w:tab w:leader="none" w:pos="7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1500" w:hanging="369"/>
        <w:spacing w:after="0" w:line="291" w:lineRule="auto"/>
        <w:tabs>
          <w:tab w:leader="none" w:pos="1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500" w:right="20" w:hanging="369"/>
        <w:spacing w:after="0" w:line="291" w:lineRule="auto"/>
        <w:tabs>
          <w:tab w:leader="none" w:pos="1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500" w:hanging="369"/>
        <w:spacing w:after="0" w:line="250" w:lineRule="auto"/>
        <w:tabs>
          <w:tab w:leader="none" w:pos="15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1500" w:hanging="369"/>
        <w:spacing w:after="0" w:line="291" w:lineRule="auto"/>
        <w:tabs>
          <w:tab w:leader="none" w:pos="1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760" w:hanging="378"/>
        <w:spacing w:after="0" w:line="250" w:lineRule="auto"/>
        <w:tabs>
          <w:tab w:leader="none" w:pos="7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jc w:val="both"/>
        <w:ind w:left="1500" w:hanging="369"/>
        <w:spacing w:after="0" w:line="250" w:lineRule="auto"/>
        <w:tabs>
          <w:tab w:leader="none" w:pos="15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1500" w:hanging="369"/>
        <w:spacing w:after="0" w:line="260" w:lineRule="auto"/>
        <w:tabs>
          <w:tab w:leader="none" w:pos="15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Date: February 1, 2023</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19050</wp:posOffset>
            </wp:positionV>
            <wp:extent cx="32061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J. Kevin Willis</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Chief Financial Officer</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0"/>
          <w:szCs w:val="20"/>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ASHLAND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Ashland Inc. (the “Company”) on Form 10-Q for the period ended December 31, 2022,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205" w:lineRule="exact"/>
        <w:rPr>
          <w:sz w:val="20"/>
          <w:szCs w:val="20"/>
          <w:color w:val="auto"/>
        </w:rPr>
      </w:pPr>
    </w:p>
    <w:p>
      <w:pPr>
        <w:ind w:left="760" w:hanging="378"/>
        <w:spacing w:after="0"/>
        <w:tabs>
          <w:tab w:leader="none" w:pos="7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5" w:lineRule="exact"/>
        <w:rPr>
          <w:rFonts w:ascii="Arial" w:cs="Arial" w:eastAsia="Arial" w:hAnsi="Arial"/>
          <w:sz w:val="20"/>
          <w:szCs w:val="20"/>
          <w:color w:val="auto"/>
        </w:rPr>
      </w:pPr>
    </w:p>
    <w:p>
      <w:pPr>
        <w:ind w:left="760" w:hanging="378"/>
        <w:spacing w:after="0" w:line="244" w:lineRule="auto"/>
        <w:tabs>
          <w:tab w:leader="none" w:pos="7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566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Guillermo Novo</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Executive Officer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February 1, 2023</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566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J. Kevin Willis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Financial Officer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February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lowerLetter"/>
      <w:start w:val="1"/>
    </w:lvl>
  </w:abstractNum>
  <w:abstractNum w:abstractNumId="3">
    <w:nsid w:val="1E7FF521"/>
    <w:multiLevelType w:val="hybridMultilevel"/>
    <w:lvl w:ilvl="0">
      <w:lvlJc w:val="left"/>
      <w:lvlText w:val="(%1)"/>
      <w:numFmt w:val="lowerLetter"/>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lowerLetter"/>
      <w:start w:val="1"/>
    </w:lvl>
  </w:abstractNum>
  <w:abstractNum w:abstractNumId="6">
    <w:nsid w:val="6CEAF087"/>
    <w:multiLevelType w:val="hybridMultilevel"/>
    <w:lvl w:ilvl="0">
      <w:lvlJc w:val="left"/>
      <w:lvlText w:val="(%1)"/>
      <w:numFmt w:val="lowerLetter"/>
      <w:start w:val="1"/>
    </w:lvl>
  </w:abstractNum>
  <w:abstractNum w:abstractNumId="7">
    <w:nsid w:val="22221A70"/>
    <w:multiLevelType w:val="hybridMultilevel"/>
    <w:lvl w:ilvl="0">
      <w:lvlJc w:val="left"/>
      <w:lvlText w:val="(%1)"/>
      <w:numFmt w:val="lowerLetter"/>
      <w:start w:val="1"/>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lowerLetter"/>
      <w:start w:val="1"/>
    </w:lvl>
  </w:abstractNum>
  <w:abstractNum w:abstractNumId="10">
    <w:nsid w:val="614FD4A1"/>
    <w:multiLevelType w:val="hybridMultilevel"/>
    <w:lvl w:ilvl="0">
      <w:lvlJc w:val="left"/>
      <w:lvlText w:val="(%1)"/>
      <w:numFmt w:val="lowerLetter"/>
      <w:start w:val="1"/>
    </w:lvl>
  </w:abstractNum>
  <w:abstractNum w:abstractNumId="11">
    <w:nsid w:val="419AC241"/>
    <w:multiLevelType w:val="hybridMultilevel"/>
    <w:lvl w:ilvl="0">
      <w:lvlJc w:val="left"/>
      <w:lvlText w:val="(%1)"/>
      <w:numFmt w:val="lowerLetter"/>
      <w:start w:val="1"/>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lowerLetter"/>
      <w:start w:val="1"/>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lowerLetter"/>
      <w:start w:val="1"/>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1)"/>
      <w:numFmt w:val="lowerLetter"/>
      <w:start w:val="1"/>
    </w:lvl>
  </w:abstractNum>
  <w:abstractNum w:abstractNumId="32">
    <w:nsid w:val="57E4CCAF"/>
    <w:multiLevelType w:val="hybridMultilevel"/>
    <w:lvl w:ilvl="0">
      <w:lvlJc w:val="left"/>
      <w:lvlText w:val="(%1)"/>
      <w:numFmt w:val="lowerLetter"/>
      <w:start w:val="1"/>
    </w:lvl>
  </w:abstractNum>
  <w:abstractNum w:abstractNumId="33">
    <w:nsid w:val="7A6D8D3C"/>
    <w:multiLevelType w:val="hybridMultilevel"/>
    <w:lvl w:ilvl="0">
      <w:lvlJc w:val="left"/>
      <w:lvlText w:val="%1"/>
      <w:numFmt w:val="decimal"/>
      <w:start w:val="104"/>
    </w:lvl>
    <w:lvl w:ilvl="1">
      <w:lvlJc w:val="left"/>
      <w:lvlText w:val="*"/>
      <w:numFmt w:val="bullet"/>
      <w:start w:val="1"/>
    </w:lvl>
  </w:abstractNum>
  <w:abstractNum w:abstractNumId="34">
    <w:nsid w:val="4B588F54"/>
    <w:multiLevelType w:val="hybridMultilevel"/>
    <w:lvl w:ilvl="0">
      <w:lvlJc w:val="left"/>
      <w:lvlText w:val="%1"/>
      <w:numFmt w:val="decimal"/>
      <w:start w:val="1"/>
    </w:lvl>
    <w:lvl w:ilvl="1">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lowerRoman"/>
      <w:start w:val="1"/>
    </w:lvl>
  </w:abstractNum>
  <w:abstractNum w:abstractNumId="37">
    <w:nsid w:val="38437FDB"/>
    <w:multiLevelType w:val="hybridMultilevel"/>
    <w:lvl w:ilvl="0">
      <w:lvlJc w:val="left"/>
      <w:lvlText w:val="(%1)"/>
      <w:numFmt w:val="upperLetter"/>
      <w:start w:val="1"/>
    </w:lvl>
  </w:abstractNum>
  <w:abstractNum w:abstractNumId="38">
    <w:nsid w:val="7644A45C"/>
    <w:multiLevelType w:val="hybridMultilevel"/>
    <w:lvl w:ilvl="0">
      <w:lvlJc w:val="left"/>
      <w:lvlText w:val="%1"/>
      <w:numFmt w:val="lowerLetter"/>
      <w:start w:val="1"/>
    </w:lvl>
    <w:lvl w:ilvl="1">
      <w:lvlJc w:val="left"/>
      <w:lvlText w:val="(%2)"/>
      <w:numFmt w:val="upperLetter"/>
      <w:start w:val="8"/>
    </w:lvl>
  </w:abstractNum>
  <w:abstractNum w:abstractNumId="39">
    <w:nsid w:val="32FFF902"/>
    <w:multiLevelType w:val="hybridMultilevel"/>
    <w:lvl w:ilvl="0">
      <w:lvlJc w:val="left"/>
      <w:lvlText w:val="(%1)"/>
      <w:numFmt w:val="lowerLetter"/>
      <w:start w:val="2"/>
    </w:lvl>
    <w:lvl w:ilvl="1">
      <w:lvlJc w:val="left"/>
      <w:lvlText w:val="(%2)"/>
      <w:numFmt w:val="upperLetter"/>
      <w:start w:val="1"/>
    </w:lvl>
  </w:abstractNum>
  <w:abstractNum w:abstractNumId="40">
    <w:nsid w:val="684A481A"/>
    <w:multiLevelType w:val="hybridMultilevel"/>
    <w:lvl w:ilvl="0">
      <w:lvlJc w:val="left"/>
      <w:lvlText w:val="(%1)"/>
      <w:numFmt w:val="lowerRoman"/>
      <w:start w:val="1"/>
    </w:lvl>
  </w:abstractNum>
  <w:abstractNum w:abstractNumId="41">
    <w:nsid w:val="579478FE"/>
    <w:multiLevelType w:val="hybridMultilevel"/>
    <w:lvl w:ilvl="0">
      <w:lvlJc w:val="left"/>
      <w:lvlText w:val="(%1)"/>
      <w:numFmt w:val="upperLetter"/>
      <w:start w:val="2"/>
    </w:lvl>
  </w:abstractNum>
  <w:abstractNum w:abstractNumId="42">
    <w:nsid w:val="749ABB43"/>
    <w:multiLevelType w:val="hybridMultilevel"/>
    <w:lvl w:ilvl="0">
      <w:lvlJc w:val="left"/>
      <w:lvlText w:val="(%1)"/>
      <w:numFmt w:val="lowerLetter"/>
      <w:start w:val="2"/>
    </w:lvl>
  </w:abstractNum>
  <w:abstractNum w:abstractNumId="43">
    <w:nsid w:val="3DC240FB"/>
    <w:multiLevelType w:val="hybridMultilevel"/>
    <w:lvl w:ilvl="0">
      <w:lvlJc w:val="left"/>
      <w:lvlText w:val="(%1)"/>
      <w:numFmt w:val="lowerLetter"/>
      <w:start w:val="3"/>
    </w:lvl>
  </w:abstractNum>
  <w:abstractNum w:abstractNumId="44">
    <w:nsid w:val="1BA026FA"/>
    <w:multiLevelType w:val="hybridMultilevel"/>
    <w:lvl w:ilvl="0">
      <w:lvlJc w:val="left"/>
      <w:lvlText w:val="(%1)"/>
      <w:numFmt w:val="lowerRoman"/>
      <w:start w:val="2"/>
    </w:lvl>
  </w:abstractNum>
  <w:abstractNum w:abstractNumId="45">
    <w:nsid w:val="79A1DEAA"/>
    <w:multiLevelType w:val="hybridMultilevel"/>
    <w:lvl w:ilvl="0">
      <w:lvlJc w:val="left"/>
      <w:lvlText w:val="(%1)"/>
      <w:numFmt w:val="lowerRoman"/>
      <w:start w:val="1"/>
    </w:lvl>
  </w:abstractNum>
  <w:abstractNum w:abstractNumId="46">
    <w:nsid w:val="75C6C33A"/>
    <w:multiLevelType w:val="hybridMultilevel"/>
    <w:lvl w:ilvl="0">
      <w:lvlJc w:val="left"/>
      <w:lvlText w:val="(%1)"/>
      <w:numFmt w:val="upperLetter"/>
      <w:start w:val="1"/>
    </w:lvl>
  </w:abstractNum>
  <w:abstractNum w:abstractNumId="47">
    <w:nsid w:val="12E685FB"/>
    <w:multiLevelType w:val="hybridMultilevel"/>
    <w:lvl w:ilvl="0">
      <w:lvlJc w:val="left"/>
      <w:lvlText w:val="(%1)"/>
      <w:numFmt w:val="lowerRoman"/>
      <w:start w:val="3"/>
    </w:lvl>
  </w:abstractNum>
  <w:abstractNum w:abstractNumId="48">
    <w:nsid w:val="70C6A529"/>
    <w:multiLevelType w:val="hybridMultilevel"/>
    <w:lvl w:ilvl="0">
      <w:lvlJc w:val="left"/>
      <w:lvlText w:val="(%1)"/>
      <w:numFmt w:val="upperLetter"/>
      <w:start w:val="1"/>
    </w:lvl>
  </w:abstractNum>
  <w:abstractNum w:abstractNumId="49">
    <w:nsid w:val="520EEDD1"/>
    <w:multiLevelType w:val="hybridMultilevel"/>
    <w:lvl w:ilvl="0">
      <w:lvlJc w:val="left"/>
      <w:lvlText w:val="(%1)"/>
      <w:numFmt w:val="lowerLetter"/>
      <w:start w:val="5"/>
    </w:lvl>
  </w:abstractNum>
  <w:abstractNum w:abstractNumId="50">
    <w:nsid w:val="374A3FE6"/>
    <w:multiLevelType w:val="hybridMultilevel"/>
    <w:lvl w:ilvl="0">
      <w:lvlJc w:val="left"/>
      <w:lvlText w:val="(%1)"/>
      <w:numFmt w:val="lowerLetter"/>
      <w:start w:val="6"/>
    </w:lvl>
  </w:abstractNum>
  <w:abstractNum w:abstractNumId="51">
    <w:nsid w:val="4F4EF005"/>
    <w:multiLevelType w:val="hybridMultilevel"/>
    <w:lvl w:ilvl="0">
      <w:lvlJc w:val="left"/>
      <w:lvlText w:val="(%1)"/>
      <w:numFmt w:val="lowerRoman"/>
      <w:start w:val="1"/>
    </w:lvl>
  </w:abstractNum>
  <w:abstractNum w:abstractNumId="52">
    <w:nsid w:val="23F9C13C"/>
    <w:multiLevelType w:val="hybridMultilevel"/>
    <w:lvl w:ilvl="0">
      <w:lvlJc w:val="left"/>
      <w:lvlText w:val="(%1)"/>
      <w:numFmt w:val="lowerRoman"/>
      <w:start w:val="2"/>
    </w:lvl>
  </w:abstractNum>
  <w:abstractNum w:abstractNumId="53">
    <w:nsid w:val="649BB77C"/>
    <w:multiLevelType w:val="hybridMultilevel"/>
    <w:lvl w:ilvl="0">
      <w:lvlJc w:val="left"/>
      <w:lvlText w:val="(%1)"/>
      <w:numFmt w:val="lowerLetter"/>
      <w:start w:val="6"/>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2023-02-01T15:18:39Z</dcterms:created>
  <dcterms:modified xsi:type="dcterms:W3CDTF">2023-02-01T15:18:39Z</dcterms:modified>
</cp:coreProperties>
</file>