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ash-20230331.htm"/>
      <w:bookmarkStart w:id="1" w:name="ksash20230331"/>
      <w:bookmarkEnd w:id="0"/>
      <w:bookmarkEnd w:id="1"/>
      <w:r>
        <w:rPr/>
        <w:t> </w:t>
      </w:r>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16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40" w:after="0"/>
              <w:ind w:left="0"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120" w:after="0"/>
              <w:ind w:left="0" w:right="0" w:hanging="0"/>
              <w:jc w:val="left"/>
              <w:rPr/>
            </w:pPr>
            <w:r>
              <w:rPr/>
              <w:t>☐</w:t>
            </w:r>
          </w:p>
        </w:tc>
        <w:tc>
          <w:tcPr>
            <w:tcW w:w="9874" w:type="dxa"/>
            <w:tcBorders/>
            <w:shd w:fill="auto" w:val="clear"/>
            <w:vAlign w:val="center"/>
          </w:tcPr>
          <w:p>
            <w:pPr>
              <w:pStyle w:val="TableContents"/>
              <w:spacing w:before="120" w:after="0"/>
              <w:ind w:left="0" w:right="0" w:hanging="0"/>
              <w:jc w:val="left"/>
              <w:rPr>
                <w:rFonts w:ascii="Times New Roman;serif" w:hAnsi="Times New Roman;serif"/>
                <w:b/>
                <w:sz w:val="24"/>
              </w:rPr>
            </w:pPr>
            <w:r>
              <w:rPr>
                <w:rFonts w:ascii="Times New Roman;serif" w:hAnsi="Times New Roman;serif"/>
                <w:b/>
                <w:sz w:val="24"/>
              </w:rPr>
              <w:t>TRANSITION REPORT PURSUANT TO SECTION 13 OR 15(d) OF THE SECURITIES EXCHANGE ACT OF 1934</w:t>
            </w:r>
          </w:p>
        </w:tc>
      </w:tr>
    </w:tbl>
    <w:p>
      <w:pPr>
        <w:pStyle w:val="TextBody"/>
        <w:spacing w:before="120" w:after="0"/>
        <w:jc w:val="center"/>
        <w:rPr>
          <w:rFonts w:ascii="Times New Roman" w:hAnsi="Times New Roman"/>
          <w:sz w:val="20"/>
        </w:rPr>
      </w:pPr>
      <w:r>
        <w:rPr>
          <w:rFonts w:ascii="Times New Roman;serif" w:hAnsi="Times New Roman;serif"/>
          <w:b w:val="false"/>
          <w:sz w:val="20"/>
        </w:rPr>
        <w:t>For the transition period from to</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Commission file number 333-211719</w:t>
      </w:r>
    </w:p>
    <w:p>
      <w:pPr>
        <w:pStyle w:val="TextBody"/>
        <w:spacing w:before="160" w:after="0"/>
        <w:jc w:val="center"/>
        <w:rPr>
          <w:rFonts w:ascii="Times New Roman;serif" w:hAnsi="Times New Roman;serif"/>
          <w:b/>
          <w:sz w:val="48"/>
        </w:rPr>
      </w:pPr>
      <w:r>
        <w:rPr>
          <w:rFonts w:ascii="Times New Roman;serif" w:hAnsi="Times New Roman;serif"/>
          <w:b/>
          <w:sz w:val="48"/>
        </w:rPr>
        <w:t>ASHLAND INC.</w:t>
      </w:r>
    </w:p>
    <w:p>
      <w:pPr>
        <w:pStyle w:val="TextBody"/>
        <w:spacing w:before="160" w:after="0"/>
        <w:jc w:val="center"/>
        <w:rPr>
          <w:rFonts w:ascii="Times New Roman" w:hAnsi="Times New Roman"/>
          <w:sz w:val="20"/>
        </w:rPr>
      </w:pPr>
      <w:r>
        <w:rPr>
          <w:rFonts w:ascii="Times New Roman;serif" w:hAnsi="Times New Roman;serif"/>
          <w:b w:val="false"/>
          <w:sz w:val="20"/>
        </w:rPr>
        <w:t>(a Delaware</w:t>
      </w:r>
      <w:r>
        <w:rPr>
          <w:rFonts w:ascii="Times New Roman" w:hAnsi="Times New Roman"/>
          <w:sz w:val="20"/>
        </w:rPr>
        <w:t xml:space="preserve"> </w:t>
      </w:r>
      <w:r>
        <w:rPr>
          <w:rFonts w:ascii="Times New Roman;serif" w:hAnsi="Times New Roman;serif"/>
          <w:b w:val="false"/>
          <w:sz w:val="20"/>
        </w:rPr>
        <w:t>corporation)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I.R.S. No. 81-2587835</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8145 Blazer Drive</w:t>
      </w:r>
    </w:p>
    <w:p>
      <w:pPr>
        <w:pStyle w:val="TextBody"/>
        <w:spacing w:before="0" w:after="0"/>
        <w:jc w:val="center"/>
        <w:rPr>
          <w:rFonts w:ascii="Times New Roman" w:hAnsi="Times New Roman"/>
          <w:sz w:val="20"/>
        </w:rPr>
      </w:pPr>
      <w:r>
        <w:rPr>
          <w:rFonts w:ascii="Times New Roman;serif" w:hAnsi="Times New Roman;serif"/>
          <w:b w:val="false"/>
          <w:sz w:val="20"/>
        </w:rPr>
        <w:t>Wilmington, Delaware</w:t>
      </w:r>
      <w:r>
        <w:rPr>
          <w:rFonts w:ascii="Times New Roman" w:hAnsi="Times New Roman"/>
          <w:sz w:val="20"/>
        </w:rPr>
        <w:t xml:space="preserve"> </w:t>
      </w:r>
      <w:r>
        <w:rPr>
          <w:rFonts w:ascii="Times New Roman;serif" w:hAnsi="Times New Roman;serif"/>
          <w:b w:val="false"/>
          <w:sz w:val="20"/>
        </w:rPr>
        <w:t>19808</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Telephone Number (302) 995-3000</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spacing w:before="0" w:after="0"/>
        <w:jc w:val="left"/>
        <w:rPr/>
      </w:pPr>
      <w:r>
        <w:rPr/>
        <w:t> </w:t>
      </w:r>
    </w:p>
    <w:tbl>
      <w:tblPr>
        <w:tblW w:w="7863" w:type="dxa"/>
        <w:jc w:val="left"/>
        <w:tblInd w:w="0" w:type="dxa"/>
        <w:tblCellMar>
          <w:top w:w="28" w:type="dxa"/>
          <w:left w:w="28" w:type="dxa"/>
          <w:bottom w:w="28" w:type="dxa"/>
          <w:right w:w="28" w:type="dxa"/>
        </w:tblCellMar>
      </w:tblPr>
      <w:tblGrid>
        <w:gridCol w:w="3391"/>
        <w:gridCol w:w="1246"/>
        <w:gridCol w:w="3226"/>
      </w:tblGrid>
      <w:tr>
        <w:trPr/>
        <w:tc>
          <w:tcPr>
            <w:tcW w:w="339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40"/>
              <w:ind w:left="0" w:right="0" w:hanging="0"/>
              <w:jc w:val="center"/>
              <w:rPr>
                <w:rFonts w:ascii="Times New Roman;serif" w:hAnsi="Times New Roman;serif"/>
                <w:b w:val="false"/>
                <w:sz w:val="16"/>
                <w:u w:val="single"/>
              </w:rPr>
            </w:pPr>
            <w:r>
              <w:rPr>
                <w:rFonts w:ascii="Times New Roman;serif" w:hAnsi="Times New Roman;serif"/>
                <w:b w:val="false"/>
                <w:sz w:val="16"/>
                <w:u w:val="single"/>
              </w:rPr>
              <w:t>Title of each class</w:t>
            </w:r>
          </w:p>
        </w:tc>
        <w:tc>
          <w:tcPr>
            <w:tcW w:w="1246" w:type="dxa"/>
            <w:tcBorders/>
            <w:shd w:fill="auto" w:val="clear"/>
            <w:vAlign w:val="center"/>
          </w:tcPr>
          <w:p>
            <w:pPr>
              <w:pStyle w:val="TableContents"/>
              <w:spacing w:before="0" w:after="40"/>
              <w:ind w:left="0" w:right="0" w:hanging="0"/>
              <w:jc w:val="center"/>
              <w:rPr>
                <w:rFonts w:ascii="Times New Roman;serif" w:hAnsi="Times New Roman;serif"/>
                <w:b w:val="false"/>
                <w:sz w:val="16"/>
                <w:u w:val="single"/>
              </w:rPr>
            </w:pPr>
            <w:r>
              <w:rPr>
                <w:rFonts w:ascii="Times New Roman;serif" w:hAnsi="Times New Roman;serif"/>
                <w:b w:val="false"/>
                <w:sz w:val="16"/>
                <w:u w:val="single"/>
              </w:rPr>
              <w:t>Trading Symbol</w:t>
            </w:r>
          </w:p>
        </w:tc>
        <w:tc>
          <w:tcPr>
            <w:tcW w:w="3226" w:type="dxa"/>
            <w:tcBorders/>
            <w:shd w:fill="auto" w:val="clear"/>
            <w:vAlign w:val="center"/>
          </w:tcPr>
          <w:p>
            <w:pPr>
              <w:pStyle w:val="TableContents"/>
              <w:spacing w:before="0" w:after="40"/>
              <w:ind w:left="0" w:right="0" w:hanging="0"/>
              <w:jc w:val="center"/>
              <w:rPr>
                <w:rFonts w:ascii="Times New Roman;serif" w:hAnsi="Times New Roman;serif"/>
                <w:b w:val="false"/>
                <w:sz w:val="16"/>
                <w:u w:val="single"/>
              </w:rPr>
            </w:pPr>
            <w:r>
              <w:rPr>
                <w:rFonts w:ascii="Times New Roman;serif" w:hAnsi="Times New Roman;serif"/>
                <w:b w:val="false"/>
                <w:sz w:val="16"/>
                <w:u w:val="single"/>
              </w:rPr>
              <w:t>Name of each exchange on which registered</w:t>
            </w:r>
          </w:p>
        </w:tc>
      </w:tr>
      <w:tr>
        <w:trPr/>
        <w:tc>
          <w:tcPr>
            <w:tcW w:w="3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$.01 per share</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ASH</w:t>
            </w:r>
          </w:p>
        </w:tc>
        <w:tc>
          <w:tcPr>
            <w:tcW w:w="32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New York Stock Exchange</w:t>
            </w:r>
          </w:p>
        </w:tc>
      </w:tr>
    </w:tbl>
    <w:p>
      <w:pPr>
        <w:pStyle w:val="TextBody"/>
        <w:spacing w:before="0" w:after="0"/>
        <w:jc w:val="left"/>
        <w:rPr/>
      </w:pPr>
      <w:r>
        <w:rPr/>
        <w:t> </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Securities Registered Pursuant to Section 12(g) of the Act: None</w:t>
      </w:r>
    </w:p>
    <w:p>
      <w:pPr>
        <w:pStyle w:val="TextBody"/>
        <w:spacing w:before="120" w:after="0"/>
        <w:jc w:val="both"/>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w:t>
      </w:r>
      <w:r>
        <w:rPr>
          <w:rFonts w:ascii="Times New Roman;serif" w:hAnsi="Times New Roman;serif"/>
          <w:b w:val="false"/>
          <w:sz w:val="20"/>
        </w:rPr>
        <w:t>No ☐</w:t>
      </w:r>
    </w:p>
    <w:p>
      <w:pPr>
        <w:pStyle w:val="TextBody"/>
        <w:spacing w:before="120" w:after="0"/>
        <w:jc w:val="both"/>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w:t>
      </w:r>
      <w:r>
        <w:rPr>
          <w:rFonts w:ascii="Times New Roman;serif" w:hAnsi="Times New Roman;serif"/>
          <w:b w:val="false"/>
          <w:sz w:val="20"/>
        </w:rPr>
        <w:t>No ☐</w:t>
      </w:r>
    </w:p>
    <w:p>
      <w:pPr>
        <w:pStyle w:val="TextBody"/>
        <w:spacing w:before="120" w:after="0"/>
        <w:jc w:val="both"/>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both"/>
        <w:rPr/>
      </w:pPr>
      <w:r>
        <w:rPr/>
        <w:t> </w:t>
      </w:r>
    </w:p>
    <w:tbl>
      <w:tblPr>
        <w:tblW w:w="5557" w:type="dxa"/>
        <w:jc w:val="left"/>
        <w:tblInd w:w="0" w:type="dxa"/>
        <w:tblCellMar>
          <w:top w:w="28" w:type="dxa"/>
          <w:left w:w="28" w:type="dxa"/>
          <w:bottom w:w="28" w:type="dxa"/>
          <w:right w:w="28" w:type="dxa"/>
        </w:tblCellMar>
      </w:tblPr>
      <w:tblGrid>
        <w:gridCol w:w="2011"/>
        <w:gridCol w:w="316"/>
        <w:gridCol w:w="146"/>
        <w:gridCol w:w="146"/>
        <w:gridCol w:w="2431"/>
        <w:gridCol w:w="146"/>
        <w:gridCol w:w="361"/>
      </w:tblGrid>
      <w:tr>
        <w:trPr/>
        <w:tc>
          <w:tcPr>
            <w:tcW w:w="20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4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Accelerated Filer</w:t>
            </w:r>
          </w:p>
        </w:tc>
        <w:tc>
          <w:tcPr>
            <w:tcW w:w="146" w:type="dxa"/>
            <w:tcBorders/>
            <w:shd w:fill="auto" w:val="clear"/>
            <w:vAlign w:val="center"/>
          </w:tcPr>
          <w:p>
            <w:pPr>
              <w:pStyle w:val="TableContents"/>
              <w:spacing w:before="0" w:after="0"/>
              <w:ind w:left="0" w:right="0" w:hanging="0"/>
              <w:jc w:val="both"/>
              <w:rPr/>
            </w:pPr>
            <w:r>
              <w:rPr/>
              <w:t> </w:t>
            </w:r>
          </w:p>
        </w:tc>
        <w:tc>
          <w:tcPr>
            <w:tcW w:w="361" w:type="dxa"/>
            <w:tcBorders/>
            <w:shd w:fill="auto" w:val="clear"/>
            <w:vAlign w:val="center"/>
          </w:tcPr>
          <w:p>
            <w:pPr>
              <w:pStyle w:val="TableContents"/>
              <w:spacing w:before="0" w:after="0"/>
              <w:ind w:left="0" w:right="0" w:hanging="0"/>
              <w:jc w:val="right"/>
              <w:rPr/>
            </w:pPr>
            <w:r>
              <w:rPr/>
              <w:t>☐</w:t>
            </w:r>
          </w:p>
        </w:tc>
      </w:tr>
      <w:tr>
        <w:trPr/>
        <w:tc>
          <w:tcPr>
            <w:tcW w:w="20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Non-Accelerated Filer</w:t>
            </w:r>
          </w:p>
        </w:tc>
        <w:tc>
          <w:tcPr>
            <w:tcW w:w="3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shd w:fill="auto" w:val="clear"/>
            <w:vAlign w:val="center"/>
          </w:tcPr>
          <w:p>
            <w:pPr>
              <w:pStyle w:val="TableContents"/>
              <w:spacing w:before="0" w:after="0"/>
              <w:ind w:left="0" w:right="0" w:hanging="0"/>
              <w:jc w:val="both"/>
              <w:rPr/>
            </w:pPr>
            <w:r>
              <w:rPr/>
              <w:t> </w:t>
            </w:r>
          </w:p>
        </w:tc>
        <w:tc>
          <w:tcPr>
            <w:tcW w:w="361" w:type="dxa"/>
            <w:tcBorders/>
            <w:shd w:fill="auto" w:val="clear"/>
            <w:vAlign w:val="center"/>
          </w:tcPr>
          <w:p>
            <w:pPr>
              <w:pStyle w:val="TableContents"/>
              <w:spacing w:before="0" w:after="0"/>
              <w:ind w:left="0" w:right="0" w:hanging="0"/>
              <w:jc w:val="right"/>
              <w:rPr/>
            </w:pPr>
            <w:r>
              <w:rPr/>
              <w:t>☐</w:t>
            </w:r>
          </w:p>
        </w:tc>
      </w:tr>
      <w:tr>
        <w:trPr/>
        <w:tc>
          <w:tcPr>
            <w:tcW w:w="2473" w:type="dxa"/>
            <w:gridSpan w:val="3"/>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shd w:fill="auto" w:val="clear"/>
            <w:vAlign w:val="center"/>
          </w:tcPr>
          <w:p>
            <w:pPr>
              <w:pStyle w:val="TableContents"/>
              <w:spacing w:before="0" w:after="0"/>
              <w:ind w:left="0" w:right="0" w:hanging="0"/>
              <w:jc w:val="both"/>
              <w:rPr/>
            </w:pPr>
            <w:r>
              <w:rPr/>
              <w:t> </w:t>
            </w:r>
          </w:p>
        </w:tc>
        <w:tc>
          <w:tcPr>
            <w:tcW w:w="361" w:type="dxa"/>
            <w:tcBorders/>
            <w:shd w:fill="auto" w:val="clear"/>
            <w:vAlign w:val="center"/>
          </w:tcPr>
          <w:p>
            <w:pPr>
              <w:pStyle w:val="TableContents"/>
              <w:spacing w:before="0" w:after="0"/>
              <w:ind w:left="0" w:right="0" w:hanging="0"/>
              <w:jc w:val="right"/>
              <w:rPr/>
            </w:pPr>
            <w:r>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jc w:val="both"/>
        <w:rPr>
          <w:rFonts w:ascii="Times New Roman" w:hAnsi="Times New Roman"/>
          <w:sz w:val="20"/>
        </w:rPr>
      </w:pPr>
      <w:r>
        <w:rPr>
          <w:rFonts w:ascii="Times New Roman;serif" w:hAnsi="Times New Roman;serif"/>
          <w:b w:val="false"/>
          <w:sz w:val="20"/>
        </w:rPr>
        <w:t>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spacing w:before="120" w:after="0"/>
        <w:jc w:val="both"/>
        <w:rPr>
          <w:rFonts w:ascii="Times New Roman" w:hAnsi="Times New Roman"/>
          <w:sz w:val="20"/>
        </w:rPr>
      </w:pPr>
      <w:r>
        <w:rPr>
          <w:rFonts w:ascii="Times New Roman;serif" w:hAnsi="Times New Roman;serif"/>
          <w:b w:val="false"/>
          <w:sz w:val="20"/>
        </w:rPr>
        <w:t>At March 31, 2023, there were 52,800,273</w:t>
      </w:r>
      <w:r>
        <w:rPr>
          <w:rFonts w:ascii="Times New Roman" w:hAnsi="Times New Roman"/>
          <w:sz w:val="20"/>
        </w:rPr>
        <w:t xml:space="preserve"> </w:t>
      </w:r>
      <w:r>
        <w:rPr>
          <w:rFonts w:ascii="Times New Roman;serif" w:hAnsi="Times New Roman;serif"/>
          <w:b w:val="false"/>
          <w:sz w:val="20"/>
        </w:rPr>
        <w:t>shares of Registrant’s Common Stock outstanding.</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2"/>
          <w:u w:val="single"/>
        </w:rPr>
      </w:pPr>
      <w:r>
        <w:rPr>
          <w:rFonts w:ascii="Times New Roman;serif" w:hAnsi="Times New Roman;serif"/>
          <w:b/>
          <w:sz w:val="22"/>
          <w:u w:val="single"/>
        </w:rPr>
        <w:t>PART I - FINANCIAL INFORMATION</w:t>
      </w:r>
    </w:p>
    <w:p>
      <w:pPr>
        <w:pStyle w:val="TextBody"/>
        <w:pBdr>
          <w:bottom w:val="single" w:sz="4" w:space="1" w:color="000000"/>
        </w:pBdr>
        <w:spacing w:before="120" w:after="0"/>
        <w:jc w:val="left"/>
        <w:rPr>
          <w:rFonts w:ascii="Times New Roman;serif" w:hAnsi="Times New Roman;serif"/>
          <w:b/>
          <w:sz w:val="22"/>
        </w:rPr>
      </w:pPr>
      <w:r>
        <w:rPr>
          <w:rFonts w:ascii="Times New Roman;serif" w:hAnsi="Times New Roman;serif"/>
          <w:b/>
          <w:sz w:val="22"/>
        </w:rPr>
        <w:t>ITEM 1. FINANCIAL STATEMENTS</w:t>
      </w:r>
    </w:p>
    <w:p>
      <w:pPr>
        <w:pStyle w:val="TextBody"/>
        <w:spacing w:before="120" w:after="0"/>
        <w:jc w:val="left"/>
        <w:rPr>
          <w:rFonts w:ascii="Times New Roman;serif" w:hAnsi="Times New Roman;serif"/>
          <w:b/>
          <w:sz w:val="22"/>
        </w:rPr>
      </w:pPr>
      <w:r>
        <w:rPr>
          <w:rFonts w:ascii="Times New Roman;serif" w:hAnsi="Times New Roman;serif"/>
          <w:b/>
          <w:sz w:val="22"/>
        </w:rPr>
        <w:t>ASHLAND INC. AND CONSOLIDATED SUBSIDIARIES</w:t>
      </w:r>
    </w:p>
    <w:p>
      <w:pPr>
        <w:pStyle w:val="TextBody"/>
        <w:spacing w:before="0" w:after="0"/>
        <w:jc w:val="left"/>
        <w:rPr>
          <w:rFonts w:ascii="Times New Roman;serif" w:hAnsi="Times New Roman;serif"/>
          <w:b/>
          <w:sz w:val="22"/>
        </w:rPr>
      </w:pPr>
      <w:r>
        <w:rPr>
          <w:rFonts w:ascii="Times New Roman;serif" w:hAnsi="Times New Roman;serif"/>
          <w:b/>
          <w:sz w:val="22"/>
        </w:rPr>
        <w:t>STATEMENTS OF CONSOLIDATED COMPREHENSIVE INCOME (LOSS)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629"/>
        <w:gridCol w:w="146"/>
        <w:gridCol w:w="211"/>
        <w:gridCol w:w="526"/>
        <w:gridCol w:w="166"/>
        <w:gridCol w:w="146"/>
        <w:gridCol w:w="211"/>
        <w:gridCol w:w="571"/>
        <w:gridCol w:w="166"/>
        <w:gridCol w:w="146"/>
        <w:gridCol w:w="211"/>
        <w:gridCol w:w="571"/>
        <w:gridCol w:w="166"/>
        <w:gridCol w:w="146"/>
        <w:gridCol w:w="211"/>
        <w:gridCol w:w="571"/>
        <w:gridCol w:w="411"/>
      </w:tblGrid>
      <w:tr>
        <w:trPr/>
        <w:tc>
          <w:tcPr>
            <w:tcW w:w="56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62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831"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8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562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 except per share data - unaudited)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Intangibles amortization expense - Note 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on acquisitions and divestitures, net - Note 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interest and other expense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net periodic benefit loss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 - Note J</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from discontinued operations (net of income taxes) - Note 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PER SHARE DATA</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earnings per share - Note M</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411" w:type="dxa"/>
            <w:tcBorders/>
            <w:shd w:fill="auto" w:val="clear"/>
            <w:vAlign w:val="center"/>
          </w:tcPr>
          <w:p>
            <w:pPr>
              <w:pStyle w:val="TableContents"/>
              <w:spacing w:before="0" w:after="0"/>
              <w:ind w:left="0" w:right="0" w:firstLine="200"/>
              <w:jc w:val="left"/>
              <w:rPr/>
            </w:pPr>
            <w:r>
              <w:rPr/>
              <w:t> </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(loss) from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629"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 - Note M</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411" w:type="dxa"/>
            <w:tcBorders/>
            <w:shd w:fill="auto" w:val="clear"/>
            <w:vAlign w:val="center"/>
          </w:tcPr>
          <w:p>
            <w:pPr>
              <w:pStyle w:val="TableContents"/>
              <w:spacing w:before="0" w:after="0"/>
              <w:ind w:left="0" w:right="0" w:firstLine="200"/>
              <w:jc w:val="left"/>
              <w:rPr/>
            </w:pPr>
            <w:r>
              <w:rPr/>
              <w:t> </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(loss) from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INCOME</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411" w:type="dxa"/>
            <w:tcBorders/>
            <w:shd w:fill="auto" w:val="clear"/>
            <w:vAlign w:val="center"/>
          </w:tcPr>
          <w:p>
            <w:pPr>
              <w:pStyle w:val="TableContents"/>
              <w:spacing w:before="0" w:after="0"/>
              <w:ind w:left="0" w:right="0" w:hanging="0"/>
              <w:jc w:val="left"/>
              <w:rPr/>
            </w:pPr>
            <w:r>
              <w:rPr/>
              <w:t> </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translation gain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commodity hedges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62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(loss) - Note 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both"/>
        <w:rPr>
          <w:rFonts w:ascii="Times New Roman;serif" w:hAnsi="Times New Roman;serif"/>
          <w:b w:val="false"/>
          <w:sz w:val="22"/>
        </w:rPr>
      </w:pPr>
      <w:r>
        <w:rPr>
          <w:rFonts w:ascii="Times New Roman;serif" w:hAnsi="Times New Roman;serif"/>
          <w:b w:val="false"/>
          <w:sz w:val="22"/>
        </w:rPr>
        <w:t>SEE NOTES TO CONDENSED CONSOLIDATED FINANCIAL STATEMENTS.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rFonts w:ascii="Times New Roman;serif" w:hAnsi="Times New Roman;serif"/>
          <w:b/>
          <w:sz w:val="22"/>
        </w:rPr>
      </w:pPr>
      <w:r>
        <w:rPr>
          <w:rFonts w:ascii="Times New Roman;serif" w:hAnsi="Times New Roman;serif"/>
          <w:b/>
          <w:sz w:val="22"/>
        </w:rPr>
        <w:t>ASHLAND INC. AND CONSOLIDATED SUBSIDIARIES</w:t>
      </w:r>
    </w:p>
    <w:p>
      <w:pPr>
        <w:pStyle w:val="TextBody"/>
        <w:spacing w:before="0" w:after="0"/>
        <w:jc w:val="left"/>
        <w:rPr>
          <w:rFonts w:ascii="Times New Roman;serif" w:hAnsi="Times New Roman;serif"/>
          <w:b/>
          <w:sz w:val="22"/>
        </w:rPr>
      </w:pPr>
      <w:r>
        <w:rPr>
          <w:rFonts w:ascii="Times New Roman;serif" w:hAnsi="Times New Roman;serif"/>
          <w:b/>
          <w:sz w:val="22"/>
        </w:rPr>
        <w:t>CONDENSED CONSOLIDATED BALANCE SHEETS</w:t>
      </w:r>
    </w:p>
    <w:p>
      <w:pPr>
        <w:pStyle w:val="TextBody"/>
        <w:spacing w:before="0" w:after="0"/>
        <w:jc w:val="left"/>
        <w:rPr/>
      </w:pPr>
      <w:r>
        <w:rPr/>
        <w:t> </w:t>
      </w:r>
    </w:p>
    <w:tbl>
      <w:tblPr>
        <w:tblW w:w="6560" w:type="dxa"/>
        <w:jc w:val="left"/>
        <w:tblInd w:w="0" w:type="dxa"/>
        <w:tblCellMar>
          <w:top w:w="28" w:type="dxa"/>
          <w:left w:w="28" w:type="dxa"/>
          <w:bottom w:w="28" w:type="dxa"/>
          <w:right w:w="28" w:type="dxa"/>
        </w:tblCellMar>
      </w:tblPr>
      <w:tblGrid>
        <w:gridCol w:w="3631"/>
        <w:gridCol w:w="146"/>
        <w:gridCol w:w="239"/>
        <w:gridCol w:w="646"/>
        <w:gridCol w:w="146"/>
        <w:gridCol w:w="146"/>
        <w:gridCol w:w="327"/>
        <w:gridCol w:w="888"/>
        <w:gridCol w:w="391"/>
      </w:tblGrid>
      <w:tr>
        <w:trPr/>
        <w:tc>
          <w:tcPr>
            <w:tcW w:w="3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 - unaudited)</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8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br/>
              <w:t>2023</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21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30</w:t>
              <w:br/>
              <w:t>2022</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ASSETS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Accounts receivable </w:t>
            </w:r>
            <w:r>
              <w:rPr>
                <w:rFonts w:ascii="Times New Roman;serif" w:hAnsi="Times New Roman;serif"/>
                <w:b w:val="false"/>
                <w:sz w:val="16"/>
              </w:rPr>
              <w:t>(a)</w:t>
            </w:r>
            <w:r>
              <w:rPr>
                <w:rFonts w:ascii="Times New Roman" w:hAnsi="Times New Roman"/>
                <w:sz w:val="20"/>
              </w:rPr>
              <w:t> </w:t>
            </w:r>
            <w:r>
              <w:rPr>
                <w:rFonts w:ascii="Times New Roman;serif" w:hAnsi="Times New Roman;serif"/>
                <w:b w:val="false"/>
                <w:sz w:val="20"/>
              </w:rPr>
              <w:t>- Note H</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 - Note F</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1,768</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Noncurrent assets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3,050</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1,338</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 - Note G</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Intangibles - Note G</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963</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assets, net - Note I</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investments - Note 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Asbestos insurance receivable </w:t>
            </w:r>
            <w:r>
              <w:rPr>
                <w:rFonts w:ascii="Times New Roman;serif" w:hAnsi="Times New Roman;serif"/>
                <w:b w:val="false"/>
                <w:sz w:val="16"/>
              </w:rPr>
              <w:t>(b)</w:t>
            </w:r>
            <w:r>
              <w:rPr>
                <w:rFonts w:ascii="Times New Roman" w:hAnsi="Times New Roman"/>
                <w:sz w:val="20"/>
              </w:rPr>
              <w:t> </w:t>
            </w:r>
            <w:r>
              <w:rPr>
                <w:rFonts w:ascii="Times New Roman;serif" w:hAnsi="Times New Roman;serif"/>
                <w:b w:val="false"/>
                <w:sz w:val="20"/>
              </w:rPr>
              <w:t>- Note L</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noncurrent assets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and other payables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operating lease obligations - Note I</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553</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 Note H</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Asbestos litigation reserve - Note L</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benefit obligations - Note K</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obligations - Note I</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2,440</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 Note L</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Stockholders’ equity - Note 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3,220</w:t>
            </w:r>
          </w:p>
        </w:tc>
        <w:tc>
          <w:tcPr>
            <w:tcW w:w="391"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pPr>
      <w:r>
        <w:rPr>
          <w:rFonts w:ascii="Times New Roman;serif" w:hAnsi="Times New Roman;serif"/>
          <w:b w:val="false"/>
          <w:sz w:val="16"/>
        </w:rPr>
        <w:t>Accounts receivable includes an allowance for credit losses of $4</w:t>
      </w:r>
      <w:r>
        <w:rPr/>
        <w:t xml:space="preserve"> </w:t>
      </w:r>
      <w:r>
        <w:rPr>
          <w:rFonts w:ascii="Times New Roman;serif" w:hAnsi="Times New Roman;serif"/>
          <w:b w:val="false"/>
          <w:sz w:val="16"/>
        </w:rPr>
        <w:t>million at both March 31, 2023 and September 30, 2022.</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283"/>
        <w:jc w:val="both"/>
        <w:rPr/>
      </w:pPr>
      <w:r>
        <w:rPr>
          <w:rFonts w:ascii="Times New Roman;serif" w:hAnsi="Times New Roman;serif"/>
          <w:b w:val="false"/>
          <w:sz w:val="16"/>
        </w:rPr>
        <w:t>Asbestos insurance receivable includes an allowance for credit losses of $3</w:t>
      </w:r>
      <w:r>
        <w:rPr/>
        <w:t xml:space="preserve"> </w:t>
      </w:r>
      <w:r>
        <w:rPr>
          <w:rFonts w:ascii="Times New Roman;serif" w:hAnsi="Times New Roman;serif"/>
          <w:b w:val="false"/>
          <w:sz w:val="16"/>
        </w:rPr>
        <w:t>million at both March 31, 2023 and September 30, 2022.</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SEE NOTES TO CONDENSED CONSOLIDATED FINANCIAL STATEMENTS.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rFonts w:ascii="Times New Roman;serif" w:hAnsi="Times New Roman;serif"/>
          <w:b/>
          <w:sz w:val="22"/>
        </w:rPr>
      </w:pPr>
      <w:r>
        <w:rPr>
          <w:rFonts w:ascii="Times New Roman;serif" w:hAnsi="Times New Roman;serif"/>
          <w:b/>
          <w:sz w:val="22"/>
        </w:rPr>
        <w:t>ASHLAND INC. AND CONSOLIDATED SUBSIDIARIES</w:t>
      </w:r>
    </w:p>
    <w:p>
      <w:pPr>
        <w:pStyle w:val="TextBody"/>
        <w:spacing w:before="0" w:after="0"/>
        <w:jc w:val="left"/>
        <w:rPr>
          <w:rFonts w:ascii="Times New Roman;serif" w:hAnsi="Times New Roman;serif"/>
          <w:b/>
          <w:sz w:val="22"/>
        </w:rPr>
      </w:pPr>
      <w:r>
        <w:rPr>
          <w:rFonts w:ascii="Times New Roman;serif" w:hAnsi="Times New Roman;serif"/>
          <w:b/>
          <w:sz w:val="22"/>
        </w:rPr>
        <w:t>STATEMENTS OF CONDENSED CONSOLIDATED CASH FLOWS</w:t>
      </w:r>
    </w:p>
    <w:p>
      <w:pPr>
        <w:pStyle w:val="TextBody"/>
        <w:spacing w:before="0" w:after="0"/>
        <w:jc w:val="left"/>
        <w:rPr/>
      </w:pPr>
      <w:r>
        <w:rPr/>
        <w:t> </w:t>
      </w:r>
    </w:p>
    <w:tbl>
      <w:tblPr>
        <w:tblW w:w="8034" w:type="dxa"/>
        <w:jc w:val="left"/>
        <w:tblInd w:w="0" w:type="dxa"/>
        <w:tblCellMar>
          <w:top w:w="28" w:type="dxa"/>
          <w:left w:w="28" w:type="dxa"/>
          <w:bottom w:w="28" w:type="dxa"/>
          <w:right w:w="28" w:type="dxa"/>
        </w:tblCellMar>
      </w:tblPr>
      <w:tblGrid>
        <w:gridCol w:w="5626"/>
        <w:gridCol w:w="146"/>
        <w:gridCol w:w="196"/>
        <w:gridCol w:w="436"/>
        <w:gridCol w:w="166"/>
        <w:gridCol w:w="146"/>
        <w:gridCol w:w="196"/>
        <w:gridCol w:w="511"/>
        <w:gridCol w:w="611"/>
      </w:tblGrid>
      <w:tr>
        <w:trPr/>
        <w:tc>
          <w:tcPr>
            <w:tcW w:w="5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62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651"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Six months ended</w:t>
            </w:r>
          </w:p>
        </w:tc>
        <w:tc>
          <w:tcPr>
            <w:tcW w:w="6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(In millions - unaudited)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CASH FLOWS PROVIDED (USED) BY OPERATING ACTIVITIES FROM</w:t>
              <w:br/>
              <w:t>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Net income</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834</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Loss (Income) from discontinued operations (net of income taxes)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(764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Adjustments to reconcile income from continuing operations to</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300"/>
              <w:jc w:val="right"/>
              <w:rPr/>
            </w:pPr>
            <w:r>
              <w:rPr/>
              <w:t> </w:t>
            </w:r>
          </w:p>
        </w:tc>
      </w:tr>
      <w:tr>
        <w:trPr/>
        <w:tc>
          <w:tcPr>
            <w:tcW w:w="5626" w:type="dxa"/>
            <w:tcBorders/>
            <w:shd w:fill="auto" w:val="clear"/>
            <w:vAlign w:val="center"/>
          </w:tcPr>
          <w:p>
            <w:pPr>
              <w:pStyle w:val="TableContents"/>
              <w:spacing w:before="0" w:after="0"/>
              <w:ind w:left="300" w:right="0" w:hanging="0"/>
              <w:jc w:val="left"/>
              <w:rPr>
                <w:rFonts w:ascii="Times New Roman;serif" w:hAnsi="Times New Roman;serif"/>
                <w:b w:val="false"/>
                <w:sz w:val="17"/>
              </w:rPr>
            </w:pPr>
            <w:r>
              <w:rPr>
                <w:rFonts w:ascii="Times New Roman;serif" w:hAnsi="Times New Roman;serif"/>
                <w:b w:val="false"/>
                <w:sz w:val="17"/>
              </w:rPr>
              <w:t>cash flows from 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Depreciation and amortization</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121</w:t>
            </w:r>
          </w:p>
        </w:tc>
        <w:tc>
          <w:tcPr>
            <w:tcW w:w="611" w:type="dxa"/>
            <w:tcBorders/>
            <w:shd w:fill="auto" w:val="cle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Original issue discount and debt issuance costs amortization</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611" w:type="dxa"/>
            <w:tcBorders/>
            <w:shd w:fill="auto" w:val="cle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Deferred income taxes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Stock based compensation expense</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w:t>
            </w:r>
          </w:p>
        </w:tc>
        <w:tc>
          <w:tcPr>
            <w:tcW w:w="611" w:type="dxa"/>
            <w:tcBorders/>
            <w:shd w:fill="auto" w:val="cle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Excess tax benefit on stock based compensation</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w:t>
            </w:r>
          </w:p>
        </w:tc>
        <w:tc>
          <w:tcPr>
            <w:tcW w:w="611" w:type="dxa"/>
            <w:tcBorders/>
            <w:shd w:fill="auto" w:val="cle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Loss (income) from restricted investments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w:t>
            </w:r>
          </w:p>
        </w:tc>
        <w:tc>
          <w:tcPr>
            <w:tcW w:w="611" w:type="dxa"/>
            <w:tcBorders/>
            <w:shd w:fill="auto" w:val="cle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Asset impairments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Pension contributions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Gain on pension and other postretirement plan remeasurements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Change in operating assets and liabilities (a)</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(180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Total cash flows provided by operating activities from continuing operations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31</w:t>
            </w:r>
          </w:p>
        </w:tc>
        <w:tc>
          <w:tcPr>
            <w:tcW w:w="6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CASH FLOWS PROVIDED (USED) BY INVESTING ACTIVITIES FROM</w:t>
              <w:br/>
              <w:t>   CONTINUING OPERATIONS</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Additions to property, plant and equipment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(37</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Proceeds from disposal of property, plant and equipment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Proceeds from settlement of company-owned life insurance contracts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Company-owned life insurance payments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Funds restricted for specific transactions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Reimbursements from restricted investments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28</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Proceeds from sale of securities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46</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Purchases of securities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Total cash flows used by investing activities from continuing operations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(42</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CASH FLOWS PROVIDED (USED) BY FINANCING ACTIVITIES FROM</w:t>
              <w:br/>
              <w:t>   CONTINUING OPERATIONS</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Repurchase of common stock</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Repayment of long-term debt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(250</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Repayment of short-term debt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(365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Cash dividends paid</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Stock based compensation employee withholding taxes paid in cash</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Total cash flows used by financing activities from continuing operations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(810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CASH USED BY CONTINUING OPERATIONS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(821</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Cash provided (used) by discontinued operations</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Operating cash flows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(73</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Investing cash flows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1,650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Total cash provided (used) by discontinued operations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1,577</w:t>
            </w:r>
          </w:p>
        </w:tc>
        <w:tc>
          <w:tcPr>
            <w:tcW w:w="6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Effect of currency exchange rate changes on cash and cash equivalents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INCREASE (DECREASE) IN CASH AND CASH EQUIVALENTS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754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CASH AND CASH EQUIVALENTS - BEGINNING OF PERIOD</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210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CASH AND CASH EQUIVALENTS - END OF PERIOD</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399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964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rFonts w:ascii="Times New Roman;serif" w:hAnsi="Times New Roman;serif"/>
          <w:b w:val="false"/>
          <w:sz w:val="16"/>
        </w:rPr>
      </w:pPr>
      <w:r>
        <w:rPr>
          <w:rFonts w:ascii="Times New Roman;serif" w:hAnsi="Times New Roman;serif"/>
          <w:b w:val="false"/>
          <w:sz w:val="16"/>
        </w:rPr>
        <w:t>Excludes changes resulting from operations acquired, sold or held for sale.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SEE NOTES TO CONDENSED CONSOLIDATED FINANCIAL STATEMENTS.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pBdr>
          <w:top w:val="single" w:sz="4" w:space="1" w:color="000000"/>
        </w:pBdr>
        <w:spacing w:before="0" w:after="0"/>
        <w:jc w:val="left"/>
        <w:rPr>
          <w:rFonts w:ascii="Times New Roman;serif" w:hAnsi="Times New Roman;serif"/>
          <w:b/>
          <w:sz w:val="22"/>
        </w:rPr>
      </w:pPr>
      <w:r>
        <w:rPr>
          <w:rFonts w:ascii="Times New Roman;serif" w:hAnsi="Times New Roman;serif"/>
          <w:b/>
          <w:sz w:val="22"/>
        </w:rPr>
        <w:t>ASHLAND INC. AND CONSOLIDATED SUBSIDIARIES</w:t>
      </w:r>
    </w:p>
    <w:p>
      <w:pPr>
        <w:pStyle w:val="TextBody"/>
        <w:spacing w:before="0" w:after="0"/>
        <w:jc w:val="left"/>
        <w:rPr>
          <w:rFonts w:ascii="Times New Roman;serif" w:hAnsi="Times New Roman;serif"/>
          <w:b/>
          <w:sz w:val="22"/>
        </w:rPr>
      </w:pPr>
      <w:r>
        <w:rPr>
          <w:rFonts w:ascii="Times New Roman;serif" w:hAnsi="Times New Roman;serif"/>
          <w:b/>
          <w:sz w:val="22"/>
        </w:rPr>
        <w:t>NOTES TO CONDENSED CONSOLIDATED FINANCIAL STATEMENTS</w:t>
      </w:r>
    </w:p>
    <w:p>
      <w:pPr>
        <w:pStyle w:val="TextBody"/>
        <w:pBdr>
          <w:bottom w:val="single" w:sz="4" w:space="1" w:color="000000"/>
        </w:pBdr>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NOTE A – SIGNIFICANT ACCOUNTING POLICIES</w:t>
      </w:r>
      <w:r>
        <w:rPr>
          <w:rFonts w:ascii="Times New Roman" w:hAnsi="Times New Roman"/>
          <w:sz w:val="20"/>
        </w:rPr>
        <w:t xml:space="preserve"> </w:t>
      </w:r>
    </w:p>
    <w:p>
      <w:pPr>
        <w:pStyle w:val="TextBody"/>
        <w:spacing w:before="120" w:after="0"/>
        <w:jc w:val="left"/>
        <w:rPr>
          <w:rFonts w:ascii="Times New Roman;serif" w:hAnsi="Times New Roman;serif"/>
          <w:b/>
          <w:sz w:val="22"/>
        </w:rPr>
      </w:pPr>
      <w:r>
        <w:rPr>
          <w:rFonts w:ascii="Times New Roman;serif" w:hAnsi="Times New Roman;serif"/>
          <w:b/>
          <w:sz w:val="22"/>
        </w:rPr>
        <w:t>Basis of presentation</w:t>
      </w:r>
    </w:p>
    <w:p>
      <w:pPr>
        <w:pStyle w:val="TextBody"/>
        <w:spacing w:before="120" w:after="0"/>
        <w:jc w:val="both"/>
        <w:rPr>
          <w:rFonts w:ascii="Times New Roman" w:hAnsi="Times New Roman"/>
          <w:sz w:val="20"/>
        </w:rPr>
      </w:pPr>
      <w:r>
        <w:rPr>
          <w:rFonts w:ascii="Times New Roman;serif" w:hAnsi="Times New Roman;serif"/>
          <w:b w:val="false"/>
          <w:sz w:val="22"/>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the Ashland Inc. and consolidated subsidiaries (Ashland) Annual Report on Form 10-K for the fiscal year ended September 30, 2022. Results of operations for the period ended March 31, 2023 are not necessarily indicative of the expected results for the remaining quarters in the fiscal year.</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is comprised of the following reportable segments: Life Sciences, Personal Care, Specialty Additives and Intermediates. Unallocated and Other includes corporate governance activities and certain legacy matters. For additional information, see Note Q.</w:t>
      </w:r>
    </w:p>
    <w:p>
      <w:pPr>
        <w:pStyle w:val="TextBody"/>
        <w:spacing w:before="120" w:after="0"/>
        <w:jc w:val="both"/>
        <w:rPr>
          <w:rFonts w:ascii="Times New Roman;serif" w:hAnsi="Times New Roman;serif"/>
          <w:b/>
          <w:sz w:val="22"/>
        </w:rPr>
      </w:pPr>
      <w:r>
        <w:rPr>
          <w:rFonts w:ascii="Times New Roman;serif" w:hAnsi="Times New Roman;serif"/>
          <w:b/>
          <w:sz w:val="22"/>
        </w:rPr>
        <w:t>Use of estimates, risks and uncertainties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pStyle w:val="TextBody"/>
        <w:spacing w:before="120" w:after="0"/>
        <w:jc w:val="both"/>
        <w:rPr>
          <w:rFonts w:ascii="Times New Roman" w:hAnsi="Times New Roman"/>
          <w:sz w:val="20"/>
        </w:rPr>
      </w:pPr>
      <w:r>
        <w:rPr>
          <w:rFonts w:ascii="Times New Roman;serif" w:hAnsi="Times New Roman;serif"/>
          <w:b/>
          <w:sz w:val="22"/>
        </w:rPr>
        <w:t>New accounting pronouncements</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2022. There were no new standards that were either issued or adopted in the current fiscal year that will have a material impact on Ashland's consolidated financial statements.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240" w:after="0"/>
        <w:jc w:val="both"/>
        <w:rPr>
          <w:rFonts w:ascii="Times New Roman" w:hAnsi="Times New Roman"/>
          <w:sz w:val="20"/>
        </w:rPr>
      </w:pPr>
      <w:r>
        <w:rPr>
          <w:rFonts w:ascii="Times New Roman;serif" w:hAnsi="Times New Roman;serif"/>
          <w:b/>
          <w:sz w:val="22"/>
        </w:rPr>
        <w:t>NOTE B</w:t>
      </w:r>
      <w:r>
        <w:rPr>
          <w:rFonts w:ascii="Times New Roman" w:hAnsi="Times New Roman"/>
          <w:sz w:val="20"/>
        </w:rPr>
        <w:t xml:space="preserve"> – </w:t>
      </w:r>
      <w:r>
        <w:rPr>
          <w:rFonts w:ascii="Times New Roman;serif" w:hAnsi="Times New Roman;serif"/>
          <w:b/>
          <w:sz w:val="22"/>
        </w:rPr>
        <w:t>DIVESTITURES</w:t>
      </w:r>
    </w:p>
    <w:p>
      <w:pPr>
        <w:pStyle w:val="TextBody"/>
        <w:spacing w:before="120" w:after="0"/>
        <w:jc w:val="both"/>
        <w:rPr>
          <w:rFonts w:ascii="Times New Roman;serif" w:hAnsi="Times New Roman;serif"/>
          <w:b/>
          <w:i/>
          <w:sz w:val="22"/>
        </w:rPr>
      </w:pPr>
      <w:r>
        <w:rPr>
          <w:rFonts w:ascii="Times New Roman;serif" w:hAnsi="Times New Roman;serif"/>
          <w:b/>
          <w:i/>
          <w:sz w:val="22"/>
        </w:rPr>
        <w:t>Performance Adhesives</w:t>
      </w:r>
    </w:p>
    <w:p>
      <w:pPr>
        <w:pStyle w:val="TextBody"/>
        <w:spacing w:before="120" w:after="0"/>
        <w:jc w:val="both"/>
        <w:rPr>
          <w:rFonts w:ascii="Times New Roman" w:hAnsi="Times New Roman"/>
          <w:sz w:val="20"/>
        </w:rPr>
      </w:pPr>
      <w:r>
        <w:rPr>
          <w:rFonts w:ascii="Times New Roman;serif" w:hAnsi="Times New Roman;serif"/>
          <w:b w:val="false"/>
          <w:sz w:val="22"/>
        </w:rPr>
        <w:t>On February 28, 2022, Ashland completed the sale of its Performance Adhesives business to Arkema, a French société anonyme. Proceeds from the sale were approximately $1.7</w:t>
      </w:r>
      <w:r>
        <w:rPr>
          <w:rFonts w:ascii="Times New Roman" w:hAnsi="Times New Roman"/>
          <w:sz w:val="20"/>
        </w:rPr>
        <w:t xml:space="preserve"> </w:t>
      </w:r>
      <w:r>
        <w:rPr>
          <w:rFonts w:ascii="Times New Roman;serif" w:hAnsi="Times New Roman;serif"/>
          <w:b w:val="false"/>
          <w:sz w:val="22"/>
        </w:rPr>
        <w:t>billion, net of transaction costs. Ashland recognized a $732</w:t>
      </w:r>
      <w:r>
        <w:rPr>
          <w:rFonts w:ascii="Times New Roman" w:hAnsi="Times New Roman"/>
          <w:sz w:val="20"/>
        </w:rPr>
        <w:t xml:space="preserve"> </w:t>
      </w:r>
      <w:r>
        <w:rPr>
          <w:rFonts w:ascii="Times New Roman;serif" w:hAnsi="Times New Roman;serif"/>
          <w:b w:val="false"/>
          <w:sz w:val="22"/>
        </w:rPr>
        <w:t>million gain on sale within the Income (Loss) from Discontinued Operations</w:t>
      </w:r>
      <w:r>
        <w:rPr>
          <w:rFonts w:ascii="Times New Roman" w:hAnsi="Times New Roman"/>
          <w:sz w:val="20"/>
        </w:rPr>
        <w:t xml:space="preserve"> </w:t>
      </w:r>
      <w:r>
        <w:rPr>
          <w:rFonts w:ascii="Times New Roman;serif" w:hAnsi="Times New Roman;serif"/>
          <w:b w:val="false"/>
          <w:sz w:val="22"/>
        </w:rPr>
        <w:t>caption of the Statements of Consolidated Comprehensive Income (Loss) for the three and six months ended March 31, 2022.</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transaction represented a strategic shift in Ashland’s business and had a major effect on Ashland’s operations and financial results. Accordingly, the operating results and cash flows related to Performance Adhesives have been reflected as discontinued operations in the Statements of Consolidated Comprehensive Income (Loss) and Statements of Condensed Consolidated Cash Flows. See Note C for the results of operations for Performance Adhesives for all affected periods.</w:t>
      </w:r>
    </w:p>
    <w:p>
      <w:pPr>
        <w:pStyle w:val="TextBody"/>
        <w:spacing w:before="120" w:after="0"/>
        <w:jc w:val="both"/>
        <w:rPr>
          <w:rFonts w:ascii="Times New Roman" w:hAnsi="Times New Roman"/>
          <w:sz w:val="20"/>
        </w:rPr>
      </w:pPr>
      <w:r>
        <w:rPr>
          <w:rFonts w:ascii="Times New Roman;serif" w:hAnsi="Times New Roman;serif"/>
          <w:b w:val="false"/>
          <w:sz w:val="22"/>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There were no</w:t>
      </w:r>
      <w:r>
        <w:rPr>
          <w:rFonts w:ascii="Times New Roman" w:hAnsi="Times New Roman"/>
          <w:sz w:val="20"/>
        </w:rPr>
        <w:t xml:space="preserve"> </w:t>
      </w:r>
      <w:r>
        <w:rPr>
          <w:rFonts w:ascii="Times New Roman;serif" w:hAnsi="Times New Roman;serif"/>
          <w:b w:val="false"/>
          <w:sz w:val="22"/>
        </w:rPr>
        <w:t>such costs for the three and six months ended March 31, 2023</w:t>
      </w:r>
      <w:r>
        <w:rPr>
          <w:rFonts w:ascii="Times New Roman" w:hAnsi="Times New Roman"/>
          <w:sz w:val="20"/>
        </w:rPr>
        <w:t xml:space="preserve"> </w:t>
      </w:r>
      <w:r>
        <w:rPr>
          <w:rFonts w:ascii="Times New Roman;serif" w:hAnsi="Times New Roman;serif"/>
          <w:b w:val="false"/>
          <w:sz w:val="22"/>
        </w:rPr>
        <w:t>and $3</w:t>
      </w:r>
      <w:r>
        <w:rPr>
          <w:rFonts w:ascii="Times New Roman" w:hAnsi="Times New Roman"/>
          <w:sz w:val="20"/>
        </w:rPr>
        <w:t xml:space="preserve"> </w:t>
      </w:r>
      <w:r>
        <w:rPr>
          <w:rFonts w:ascii="Times New Roman;serif" w:hAnsi="Times New Roman;serif"/>
          <w:b w:val="false"/>
          <w:sz w:val="22"/>
        </w:rPr>
        <w:t>million and $7</w:t>
      </w:r>
      <w:r>
        <w:rPr>
          <w:rFonts w:ascii="Times New Roman" w:hAnsi="Times New Roman"/>
          <w:sz w:val="20"/>
        </w:rPr>
        <w:t xml:space="preserve"> </w:t>
      </w:r>
      <w:r>
        <w:rPr>
          <w:rFonts w:ascii="Times New Roman;serif" w:hAnsi="Times New Roman;serif"/>
          <w:b w:val="false"/>
          <w:sz w:val="22"/>
        </w:rPr>
        <w:t>million for the three and six months ended March 31, 2022, respectively.</w:t>
      </w:r>
      <w:r>
        <w:rPr>
          <w:rFonts w:ascii="Times New Roman" w:hAnsi="Times New Roman"/>
          <w:sz w:val="20"/>
        </w:rPr>
        <w:t xml:space="preserve"> </w:t>
      </w:r>
    </w:p>
    <w:p>
      <w:pPr>
        <w:pStyle w:val="TextBody"/>
        <w:spacing w:before="120" w:after="0"/>
        <w:jc w:val="both"/>
        <w:rPr>
          <w:rFonts w:ascii="Times New Roman;serif" w:hAnsi="Times New Roman;serif"/>
          <w:b/>
          <w:i/>
          <w:sz w:val="22"/>
        </w:rPr>
      </w:pPr>
      <w:r>
        <w:rPr>
          <w:rFonts w:ascii="Times New Roman;serif" w:hAnsi="Times New Roman;serif"/>
          <w:b/>
          <w:i/>
          <w:sz w:val="22"/>
        </w:rPr>
        <w:t>Other manufacturing facility sales</w:t>
      </w:r>
    </w:p>
    <w:p>
      <w:pPr>
        <w:pStyle w:val="TextBody"/>
        <w:spacing w:before="120" w:after="0"/>
        <w:jc w:val="both"/>
        <w:rPr>
          <w:rFonts w:ascii="Times New Roman" w:hAnsi="Times New Roman"/>
          <w:sz w:val="20"/>
        </w:rPr>
      </w:pPr>
      <w:r>
        <w:rPr>
          <w:rFonts w:ascii="Times New Roman;serif" w:hAnsi="Times New Roman;serif"/>
          <w:b w:val="false"/>
          <w:sz w:val="22"/>
        </w:rPr>
        <w:t>During the December 2022 quarter, Ashland entered into a definitive sale agreement to sell a Specialty Additives manufacturing facility for less than $1</w:t>
      </w:r>
      <w:r>
        <w:rPr>
          <w:rFonts w:ascii="Times New Roman" w:hAnsi="Times New Roman"/>
          <w:sz w:val="20"/>
        </w:rPr>
        <w:t xml:space="preserve"> </w:t>
      </w:r>
      <w:r>
        <w:rPr>
          <w:rFonts w:ascii="Times New Roman;serif" w:hAnsi="Times New Roman;serif"/>
          <w:b w:val="false"/>
          <w:sz w:val="22"/>
        </w:rPr>
        <w:t>million. The net asset value related to these sites was less than $1</w:t>
      </w:r>
      <w:r>
        <w:rPr>
          <w:rFonts w:ascii="Times New Roman" w:hAnsi="Times New Roman"/>
          <w:sz w:val="20"/>
        </w:rPr>
        <w:t xml:space="preserve"> </w:t>
      </w:r>
      <w:r>
        <w:rPr>
          <w:rFonts w:ascii="Times New Roman;serif" w:hAnsi="Times New Roman;serif"/>
          <w:b w:val="false"/>
          <w:sz w:val="22"/>
        </w:rPr>
        <w:t>million and $4</w:t>
      </w:r>
      <w:r>
        <w:rPr>
          <w:rFonts w:ascii="Times New Roman" w:hAnsi="Times New Roman"/>
          <w:sz w:val="20"/>
        </w:rPr>
        <w:t xml:space="preserve"> </w:t>
      </w:r>
      <w:r>
        <w:rPr>
          <w:rFonts w:ascii="Times New Roman;serif" w:hAnsi="Times New Roman;serif"/>
          <w:b w:val="false"/>
          <w:sz w:val="22"/>
        </w:rPr>
        <w:t>million at March 31, 2023 and September 30, 2022, respectively. During the three and six months ended March 31, 2023, no</w:t>
      </w:r>
      <w:r>
        <w:rPr>
          <w:rFonts w:ascii="Times New Roman" w:hAnsi="Times New Roman"/>
          <w:sz w:val="20"/>
        </w:rPr>
        <w:t xml:space="preserve"> </w:t>
      </w:r>
      <w:r>
        <w:rPr>
          <w:rFonts w:ascii="Times New Roman;serif" w:hAnsi="Times New Roman;serif"/>
          <w:b w:val="false"/>
          <w:sz w:val="22"/>
        </w:rPr>
        <w:t>impairment charges and $4</w:t>
      </w:r>
      <w:r>
        <w:rPr>
          <w:rFonts w:ascii="Times New Roman" w:hAnsi="Times New Roman"/>
          <w:sz w:val="20"/>
        </w:rPr>
        <w:t xml:space="preserve"> </w:t>
      </w:r>
      <w:r>
        <w:rPr>
          <w:rFonts w:ascii="Times New Roman;serif" w:hAnsi="Times New Roman;serif"/>
          <w:b w:val="false"/>
          <w:sz w:val="22"/>
        </w:rPr>
        <w:t>million of impairment charges, respectively, were recorded within the selling, general and administrative expense caption of the Statement of Consolidated Comprehensive Income (Loss) for this manufacturing facility.</w:t>
      </w:r>
      <w:r>
        <w:rPr>
          <w:rFonts w:ascii="Times New Roman" w:hAnsi="Times New Roman"/>
          <w:sz w:val="20"/>
        </w:rPr>
        <w:t xml:space="preserve"> </w:t>
      </w:r>
    </w:p>
    <w:p>
      <w:pPr>
        <w:pStyle w:val="TextBody"/>
        <w:spacing w:before="120" w:after="0"/>
        <w:jc w:val="both"/>
        <w:rPr>
          <w:rFonts w:ascii="Times New Roman;serif" w:hAnsi="Times New Roman;serif"/>
          <w:b/>
          <w:i/>
          <w:sz w:val="22"/>
        </w:rPr>
      </w:pPr>
      <w:r>
        <w:rPr>
          <w:rFonts w:ascii="Times New Roman;serif" w:hAnsi="Times New Roman;serif"/>
          <w:b/>
          <w:i/>
          <w:sz w:val="22"/>
        </w:rPr>
        <w:t>Other corporate assets</w:t>
      </w:r>
    </w:p>
    <w:p>
      <w:pPr>
        <w:pStyle w:val="TextBody"/>
        <w:spacing w:before="120" w:after="0"/>
        <w:jc w:val="both"/>
        <w:rPr>
          <w:rFonts w:ascii="Times New Roman" w:hAnsi="Times New Roman"/>
          <w:sz w:val="20"/>
        </w:rPr>
      </w:pPr>
      <w:r>
        <w:rPr>
          <w:rFonts w:ascii="Times New Roman;serif" w:hAnsi="Times New Roman;serif"/>
          <w:b w:val="false"/>
          <w:sz w:val="22"/>
        </w:rPr>
        <w:t>During the three and six months ended March 31, 2022, Ashland completed a sale of excess land. Ashland received net proceeds of approximately $11</w:t>
      </w:r>
      <w:r>
        <w:rPr>
          <w:rFonts w:ascii="Times New Roman" w:hAnsi="Times New Roman"/>
          <w:sz w:val="20"/>
        </w:rPr>
        <w:t xml:space="preserve"> </w:t>
      </w:r>
      <w:r>
        <w:rPr>
          <w:rFonts w:ascii="Times New Roman;serif" w:hAnsi="Times New Roman;serif"/>
          <w:b w:val="false"/>
          <w:sz w:val="22"/>
        </w:rPr>
        <w:t>million and recorded a pre-tax gain of $7</w:t>
      </w:r>
      <w:r>
        <w:rPr>
          <w:rFonts w:ascii="Times New Roman" w:hAnsi="Times New Roman"/>
          <w:sz w:val="20"/>
        </w:rPr>
        <w:t xml:space="preserve"> </w:t>
      </w:r>
      <w:r>
        <w:rPr>
          <w:rFonts w:ascii="Times New Roman;serif" w:hAnsi="Times New Roman;serif"/>
          <w:b w:val="false"/>
          <w:sz w:val="22"/>
        </w:rPr>
        <w:t>million within the Income on acquisitions and divestitures, net caption of the Statements of Consolidated Comprehensive Income (Loss) for the three and six months ended March 31, 2022.</w:t>
      </w:r>
    </w:p>
    <w:p>
      <w:pPr>
        <w:pStyle w:val="TextBody"/>
        <w:spacing w:before="240" w:after="0"/>
        <w:jc w:val="both"/>
        <w:rPr>
          <w:rFonts w:ascii="Times New Roman;serif" w:hAnsi="Times New Roman;serif"/>
          <w:b/>
          <w:sz w:val="22"/>
        </w:rPr>
      </w:pPr>
      <w:r>
        <w:rPr>
          <w:rFonts w:ascii="Times New Roman;serif" w:hAnsi="Times New Roman;serif"/>
          <w:b/>
          <w:sz w:val="22"/>
        </w:rPr>
        <w:t>NOTE C– DISCONTINUED OPERATIONS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Components of amounts reflected in the Statements of Consolidated Comprehensive Income (Loss) related to discontinued operations are presented in the following table for the three and six months ended March 31, 2023 and 2022.</w:t>
      </w:r>
    </w:p>
    <w:tbl>
      <w:tblPr>
        <w:tblW w:w="8719" w:type="dxa"/>
        <w:jc w:val="left"/>
        <w:tblInd w:w="0" w:type="dxa"/>
        <w:tblCellMar>
          <w:top w:w="28" w:type="dxa"/>
          <w:left w:w="28" w:type="dxa"/>
          <w:bottom w:w="28" w:type="dxa"/>
          <w:right w:w="28" w:type="dxa"/>
        </w:tblCellMar>
      </w:tblPr>
      <w:tblGrid>
        <w:gridCol w:w="4741"/>
        <w:gridCol w:w="146"/>
        <w:gridCol w:w="246"/>
        <w:gridCol w:w="404"/>
        <w:gridCol w:w="194"/>
        <w:gridCol w:w="170"/>
        <w:gridCol w:w="246"/>
        <w:gridCol w:w="492"/>
        <w:gridCol w:w="166"/>
        <w:gridCol w:w="146"/>
        <w:gridCol w:w="219"/>
        <w:gridCol w:w="359"/>
        <w:gridCol w:w="172"/>
        <w:gridCol w:w="151"/>
        <w:gridCol w:w="219"/>
        <w:gridCol w:w="437"/>
        <w:gridCol w:w="211"/>
      </w:tblGrid>
      <w:tr>
        <w:trPr/>
        <w:tc>
          <w:tcPr>
            <w:tcW w:w="4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2"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7"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(loss)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650" w:type="dxa"/>
            <w:gridSpan w:val="2"/>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73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8" w:type="dxa"/>
            <w:gridSpan w:val="2"/>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656"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Adhesives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4"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9" w:type="dxa"/>
            <w:tcBorders/>
            <w:shd w:fill="auto" w:val="clear"/>
            <w:vAlign w:val="center"/>
          </w:tcPr>
          <w:p>
            <w:pPr>
              <w:pStyle w:val="TableContents"/>
              <w:spacing w:before="0" w:after="0"/>
              <w:ind w:left="0" w:right="0" w:hanging="0"/>
              <w:jc w:val="right"/>
              <w:rPr/>
            </w:pPr>
            <w:r>
              <w:rPr/>
              <w:t>—</w:t>
            </w:r>
          </w:p>
        </w:tc>
        <w:tc>
          <w:tcPr>
            <w:tcW w:w="172"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Composites/Marl facility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Distribution</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Gain on disposal of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650" w:type="dxa"/>
            <w:gridSpan w:val="2"/>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73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8" w:type="dxa"/>
            <w:gridSpan w:val="2"/>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656"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Adhesives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 w:type="dxa"/>
            <w:tcBorders/>
            <w:shd w:fill="auto" w:val="clear"/>
            <w:vAlign w:val="center"/>
          </w:tcPr>
          <w:p>
            <w:pPr>
              <w:pStyle w:val="TableContents"/>
              <w:spacing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 w:hAnsi="Times New Roman"/>
          <w:sz w:val="20"/>
        </w:rPr>
      </w:pPr>
      <w:r>
        <w:rPr>
          <w:rFonts w:ascii="Times New Roman;serif" w:hAnsi="Times New Roman;serif"/>
          <w:b w:val="false"/>
          <w:sz w:val="22"/>
        </w:rPr>
        <w:t>The following table presents a reconciliation of the captions within Ashland's Statements of Consolidated Comprehensive Income (Loss) for the income (loss) from discontinued operations attributable to Performance Adhesives for the three and six months ended March 31, 2022. This disclosure was not applicable for the three and six months ended March 31, 2023 as a result of the sale in fiscal 2022.</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6276"/>
        <w:gridCol w:w="146"/>
        <w:gridCol w:w="578"/>
        <w:gridCol w:w="1035"/>
        <w:gridCol w:w="166"/>
        <w:gridCol w:w="146"/>
        <w:gridCol w:w="440"/>
        <w:gridCol w:w="1005"/>
        <w:gridCol w:w="413"/>
      </w:tblGrid>
      <w:tr>
        <w:trPr/>
        <w:tc>
          <w:tcPr>
            <w:tcW w:w="6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627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13"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4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1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6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6276" w:type="dxa"/>
            <w:tcBorders/>
            <w:shd w:fill="auto" w:val="clear"/>
            <w:vAlign w:val="center"/>
          </w:tcPr>
          <w:p>
            <w:pPr>
              <w:pStyle w:val="TableContents"/>
              <w:spacing w:before="0" w:after="0"/>
              <w:ind w:left="100" w:right="0" w:hanging="0"/>
              <w:jc w:val="left"/>
              <w:rPr>
                <w:rFonts w:ascii="Times New Roman;serif" w:hAnsi="Times New Roman;serif"/>
                <w:b/>
                <w:sz w:val="20"/>
              </w:rPr>
            </w:pPr>
            <w:r>
              <w:rPr>
                <w:rFonts w:ascii="Times New Roman;serif" w:hAnsi="Times New Roman;serif"/>
                <w:b/>
                <w:sz w:val="20"/>
              </w:rPr>
              <w:t>Income (loss) from discontinued operations attributable to Performance Adhesives</w:t>
            </w:r>
          </w:p>
        </w:tc>
        <w:tc>
          <w:tcPr>
            <w:tcW w:w="146" w:type="dxa"/>
            <w:tcBorders/>
            <w:shd w:fill="auto" w:val="clear"/>
            <w:vAlign w:val="center"/>
          </w:tcPr>
          <w:p>
            <w:pPr>
              <w:pStyle w:val="TableContents"/>
              <w:spacing w:before="0" w:after="0"/>
              <w:ind w:left="0" w:right="0" w:hanging="0"/>
              <w:jc w:val="left"/>
              <w:rPr/>
            </w:pPr>
            <w:r>
              <w:rPr/>
              <w:t> </w:t>
            </w:r>
          </w:p>
        </w:tc>
        <w:tc>
          <w:tcPr>
            <w:tcW w:w="1613"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5"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firstLine="200"/>
              <w:jc w:val="left"/>
              <w:rPr/>
            </w:pPr>
            <w:r>
              <w:rPr/>
              <w:t> </w:t>
            </w:r>
          </w:p>
        </w:tc>
      </w:tr>
      <w:tr>
        <w:trPr/>
        <w:tc>
          <w:tcPr>
            <w:tcW w:w="6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413" w:type="dxa"/>
            <w:tcBorders/>
            <w:shd w:fill="auto" w:val="clear"/>
            <w:vAlign w:val="center"/>
          </w:tcPr>
          <w:p>
            <w:pPr>
              <w:pStyle w:val="TableContents"/>
              <w:spacing w:before="0" w:after="0"/>
              <w:ind w:left="0" w:right="0" w:firstLine="200"/>
              <w:jc w:val="left"/>
              <w:rPr/>
            </w:pPr>
            <w:r>
              <w:rPr/>
              <w:t> </w:t>
            </w:r>
          </w:p>
        </w:tc>
      </w:tr>
      <w:tr>
        <w:trPr/>
        <w:tc>
          <w:tcPr>
            <w:tcW w:w="6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41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1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expense</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Pretax income of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413" w:type="dxa"/>
            <w:tcBorders/>
            <w:shd w:fill="auto" w:val="clear"/>
            <w:vAlign w:val="center"/>
          </w:tcPr>
          <w:p>
            <w:pPr>
              <w:pStyle w:val="TableContents"/>
              <w:spacing w:before="0" w:after="0"/>
              <w:ind w:left="0" w:right="0" w:firstLine="200"/>
              <w:jc w:val="left"/>
              <w:rPr/>
            </w:pPr>
            <w:r>
              <w:rPr/>
              <w:t> </w:t>
            </w:r>
          </w:p>
        </w:tc>
      </w:tr>
      <w:tr>
        <w:trPr/>
        <w:tc>
          <w:tcPr>
            <w:tcW w:w="6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4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NOTE D – RESTRUCTURING ACTIVITIES</w:t>
      </w:r>
    </w:p>
    <w:p>
      <w:pPr>
        <w:pStyle w:val="TextBody"/>
        <w:spacing w:before="0" w:after="0"/>
        <w:jc w:val="both"/>
        <w:rPr/>
      </w:pPr>
      <w:r>
        <w:rPr/>
        <w:t> </w:t>
      </w:r>
    </w:p>
    <w:p>
      <w:pPr>
        <w:pStyle w:val="TextBody"/>
        <w:spacing w:before="120" w:after="0"/>
        <w:jc w:val="both"/>
        <w:rPr>
          <w:rFonts w:ascii="Times New Roman;serif" w:hAnsi="Times New Roman;serif"/>
          <w:b/>
          <w:sz w:val="22"/>
        </w:rPr>
      </w:pPr>
      <w:r>
        <w:rPr>
          <w:rFonts w:ascii="Times New Roman;serif" w:hAnsi="Times New Roman;serif"/>
          <w:b/>
          <w:sz w:val="22"/>
        </w:rPr>
        <w:t>Fiscal 2023 Life Sciences restructuring program</w:t>
      </w:r>
    </w:p>
    <w:p>
      <w:pPr>
        <w:pStyle w:val="TextBody"/>
        <w:spacing w:before="120" w:after="0"/>
        <w:jc w:val="both"/>
        <w:rPr>
          <w:rFonts w:ascii="Times New Roman" w:hAnsi="Times New Roman"/>
          <w:sz w:val="20"/>
        </w:rPr>
      </w:pPr>
      <w:r>
        <w:rPr>
          <w:rFonts w:ascii="Times New Roman;serif" w:hAnsi="Times New Roman;serif"/>
          <w:b w:val="false"/>
          <w:sz w:val="22"/>
        </w:rPr>
        <w:t>During December 2022, Ashland implemented a restructuring program within the Nutraceuticals business of the Life Sciences segment. Ashland recorded severance expense of zero</w:t>
      </w:r>
      <w:r>
        <w:rPr>
          <w:rFonts w:ascii="Times New Roman" w:hAnsi="Times New Roman"/>
          <w:sz w:val="20"/>
        </w:rPr>
        <w:t xml:space="preserve"> </w:t>
      </w:r>
      <w:r>
        <w:rPr>
          <w:rFonts w:ascii="Times New Roman;serif" w:hAnsi="Times New Roman;serif"/>
          <w:b w:val="false"/>
          <w:sz w:val="22"/>
        </w:rPr>
        <w:t>and $1</w:t>
      </w:r>
      <w:r>
        <w:rPr>
          <w:rFonts w:ascii="Times New Roman" w:hAnsi="Times New Roman"/>
          <w:sz w:val="20"/>
        </w:rPr>
        <w:t xml:space="preserve"> </w:t>
      </w:r>
      <w:r>
        <w:rPr>
          <w:rFonts w:ascii="Times New Roman;serif" w:hAnsi="Times New Roman;serif"/>
          <w:b w:val="false"/>
          <w:sz w:val="22"/>
        </w:rPr>
        <w:t>million during the three and six months ended March 31, 2023. As of March 31, 2023, the severance reserve associated with this program was less than $1</w:t>
      </w:r>
      <w:r>
        <w:rPr>
          <w:rFonts w:ascii="Times New Roman" w:hAnsi="Times New Roman"/>
          <w:sz w:val="20"/>
        </w:rPr>
        <w:t xml:space="preserve"> </w:t>
      </w:r>
      <w:r>
        <w:rPr>
          <w:rFonts w:ascii="Times New Roman;serif" w:hAnsi="Times New Roman;serif"/>
          <w:b w:val="false"/>
          <w:sz w:val="22"/>
        </w:rPr>
        <w:t>million.</w:t>
      </w:r>
    </w:p>
    <w:p>
      <w:pPr>
        <w:pStyle w:val="TextBody"/>
        <w:spacing w:before="0" w:after="0"/>
        <w:jc w:val="both"/>
        <w:rPr/>
      </w:pPr>
      <w:r>
        <w:rPr/>
        <w:t> </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both"/>
        <w:rPr>
          <w:rFonts w:ascii="Times New Roman;serif" w:hAnsi="Times New Roman;serif"/>
          <w:b/>
          <w:sz w:val="22"/>
        </w:rPr>
      </w:pPr>
      <w:r>
        <w:rPr>
          <w:rFonts w:ascii="Times New Roman;serif" w:hAnsi="Times New Roman;serif"/>
          <w:b/>
          <w:sz w:val="22"/>
        </w:rPr>
        <w:t>NOTE E – FAIR VALUE MEASUREMENTS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Level 1 – Observable inputs such as unadjusted quoted prices in active markets for identical assets or liabilities.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summarizes financial instruments subject to recurring fair value measurements as of March 31, 2023.</w:t>
      </w:r>
    </w:p>
    <w:p>
      <w:pPr>
        <w:pStyle w:val="TextBody"/>
        <w:spacing w:before="0" w:after="0"/>
        <w:jc w:val="both"/>
        <w:rPr/>
      </w:pPr>
      <w:r>
        <w:rPr/>
        <w:t> </w:t>
      </w:r>
    </w:p>
    <w:tbl>
      <w:tblPr>
        <w:tblW w:w="10136" w:type="dxa"/>
        <w:jc w:val="left"/>
        <w:tblInd w:w="0" w:type="dxa"/>
        <w:tblCellMar>
          <w:top w:w="28" w:type="dxa"/>
          <w:left w:w="28" w:type="dxa"/>
          <w:bottom w:w="28" w:type="dxa"/>
          <w:right w:w="28" w:type="dxa"/>
        </w:tblCellMar>
      </w:tblPr>
      <w:tblGrid>
        <w:gridCol w:w="3736"/>
        <w:gridCol w:w="146"/>
        <w:gridCol w:w="275"/>
        <w:gridCol w:w="551"/>
        <w:gridCol w:w="146"/>
        <w:gridCol w:w="146"/>
        <w:gridCol w:w="211"/>
        <w:gridCol w:w="421"/>
        <w:gridCol w:w="146"/>
        <w:gridCol w:w="146"/>
        <w:gridCol w:w="409"/>
        <w:gridCol w:w="821"/>
        <w:gridCol w:w="146"/>
        <w:gridCol w:w="146"/>
        <w:gridCol w:w="381"/>
        <w:gridCol w:w="625"/>
        <w:gridCol w:w="146"/>
        <w:gridCol w:w="146"/>
        <w:gridCol w:w="454"/>
        <w:gridCol w:w="747"/>
        <w:gridCol w:w="191"/>
      </w:tblGrid>
      <w:tr>
        <w:trPr/>
        <w:tc>
          <w:tcPr>
            <w:tcW w:w="3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2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Carrying</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br/>
              <w:t>fair</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23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Quoted prices</w:t>
              <w:br/>
              <w:t>in active</w:t>
              <w:br/>
              <w:t>markets for</w:t>
              <w:br/>
              <w:t>identical</w:t>
              <w:br/>
              <w:t>assets</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00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other</w:t>
              <w:br/>
              <w:t>observable</w:t>
              <w:br/>
              <w:t>inputs</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201"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unobservable</w:t>
              <w:br/>
              <w:t>inputs</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Restricted investments </w:t>
            </w:r>
            <w:r>
              <w:rPr>
                <w:rFonts w:ascii="Times New Roman;serif" w:hAnsi="Times New Roman;serif"/>
                <w:b w:val="false"/>
                <w:sz w:val="16"/>
              </w:rPr>
              <w:t>(a)</w:t>
            </w:r>
            <w:r>
              <w:rPr>
                <w:rFonts w:ascii="Times New Roman" w:hAnsi="Times New Roman"/>
                <w:sz w:val="20"/>
              </w:rPr>
              <w:t xml:space="preserve"> </w:t>
            </w:r>
            <w:r>
              <w:rPr>
                <w:rFonts w:ascii="Times New Roman;serif" w:hAnsi="Times New Roman;serif"/>
                <w:b w:val="false"/>
                <w:sz w:val="16"/>
              </w:rPr>
              <w:t>(b)</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Investment of captive insurance company </w:t>
            </w:r>
            <w:r>
              <w:rPr>
                <w:rFonts w:ascii="Times New Roman;serif" w:hAnsi="Times New Roman;serif"/>
                <w:b w:val="false"/>
                <w:sz w:val="16"/>
              </w:rPr>
              <w:t>(c)</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Foreign currency derivatives </w:t>
            </w:r>
            <w:r>
              <w:rPr>
                <w:rFonts w:ascii="Times New Roman;serif" w:hAnsi="Times New Roman;serif"/>
                <w:b w:val="false"/>
                <w:sz w:val="16"/>
              </w:rPr>
              <w:t>(d)</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 at fair value</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jc w:val="right"/>
              <w:rPr/>
            </w:pPr>
            <w:r>
              <w:rPr/>
              <w:t> </w:t>
            </w:r>
          </w:p>
        </w:tc>
      </w:tr>
      <w:tr>
        <w:trPr/>
        <w:tc>
          <w:tcPr>
            <w:tcW w:w="37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Foreign currency derivatives </w:t>
            </w:r>
            <w:r>
              <w:rPr>
                <w:rFonts w:ascii="Times New Roman;serif" w:hAnsi="Times New Roman;serif"/>
                <w:b w:val="false"/>
                <w:sz w:val="16"/>
              </w:rPr>
              <w:t>(e)</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20"/>
              </w:rPr>
              <w:t>Commodity derivatives</w:t>
            </w:r>
            <w:r>
              <w:rPr>
                <w:rFonts w:ascii="Times New Roman" w:hAnsi="Times New Roman"/>
                <w:sz w:val="16"/>
              </w:rPr>
              <w:t xml:space="preserve"> </w:t>
            </w:r>
            <w:r>
              <w:rPr>
                <w:rFonts w:ascii="Times New Roman;serif" w:hAnsi="Times New Roman;serif"/>
                <w:b w:val="false"/>
                <w:sz w:val="16"/>
              </w:rPr>
              <w:t>(e)</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at fair value</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sz w:val="22"/>
        </w:rPr>
      </w:pPr>
      <w:r>
        <w:rPr>
          <w:rFonts w:ascii="Times New Roman;serif" w:hAnsi="Times New Roman;serif"/>
          <w:b w:val="false"/>
          <w:sz w:val="16"/>
        </w:rPr>
        <w:t>Included in restricted investments and $61</w:t>
      </w:r>
      <w:r>
        <w:rPr>
          <w:rFonts w:ascii="Times New Roman;serif" w:hAnsi="Times New Roman;serif"/>
          <w:sz w:val="22"/>
        </w:rPr>
        <w:t xml:space="preserve"> </w:t>
      </w:r>
      <w:r>
        <w:rPr>
          <w:rFonts w:ascii="Times New Roman;serif" w:hAnsi="Times New Roman;serif"/>
          <w:b w:val="false"/>
          <w:sz w:val="16"/>
        </w:rPr>
        <w:t>million within other current assets in the Condensed Consolidated Balance Sheets.</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0"/>
        <w:jc w:val="both"/>
        <w:rPr>
          <w:rFonts w:ascii="Times New Roman;serif" w:hAnsi="Times New Roman;serif"/>
          <w:sz w:val="22"/>
        </w:rPr>
      </w:pPr>
      <w:r>
        <w:rPr>
          <w:rFonts w:ascii="Times New Roman;serif" w:hAnsi="Times New Roman;serif"/>
          <w:b w:val="false"/>
          <w:sz w:val="16"/>
        </w:rPr>
        <w:t>Includes $267</w:t>
      </w:r>
      <w:r>
        <w:rPr>
          <w:rFonts w:ascii="Times New Roman;serif" w:hAnsi="Times New Roman;serif"/>
          <w:sz w:val="22"/>
        </w:rPr>
        <w:t xml:space="preserve"> </w:t>
      </w:r>
      <w:r>
        <w:rPr>
          <w:rFonts w:ascii="Times New Roman;serif" w:hAnsi="Times New Roman;serif"/>
          <w:b w:val="false"/>
          <w:sz w:val="16"/>
        </w:rPr>
        <w:t>million related to the Asbestos trust and $143</w:t>
      </w:r>
      <w:r>
        <w:rPr>
          <w:rFonts w:ascii="Times New Roman;serif" w:hAnsi="Times New Roman;serif"/>
          <w:sz w:val="22"/>
        </w:rPr>
        <w:t xml:space="preserve"> </w:t>
      </w:r>
      <w:r>
        <w:rPr>
          <w:rFonts w:ascii="Times New Roman;serif" w:hAnsi="Times New Roman;serif"/>
          <w:b w:val="false"/>
          <w:sz w:val="16"/>
        </w:rPr>
        <w:t>million related to the Environmental trust.</w:t>
      </w:r>
    </w:p>
    <w:p>
      <w:pPr>
        <w:pStyle w:val="TextBody"/>
        <w:spacing w:before="40" w:after="0"/>
        <w:jc w:val="both"/>
        <w:rPr>
          <w:rFonts w:ascii="Times New Roman" w:hAnsi="Times New Roman"/>
          <w:b w:val="false"/>
          <w:sz w:val="16"/>
        </w:rPr>
      </w:pPr>
      <w:r>
        <w:rPr>
          <w:rFonts w:ascii="Times New Roman" w:hAnsi="Times New Roman"/>
          <w:b w:val="false"/>
          <w:sz w:val="16"/>
        </w:rPr>
        <w:t>(c)</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Included in other noncurrent assets in the Condensed Consolidated Balance Sheets.</w:t>
      </w:r>
    </w:p>
    <w:p>
      <w:pPr>
        <w:pStyle w:val="TextBody"/>
        <w:spacing w:before="40" w:after="0"/>
        <w:jc w:val="both"/>
        <w:rPr>
          <w:rFonts w:ascii="Times New Roman" w:hAnsi="Times New Roman"/>
          <w:b w:val="false"/>
          <w:sz w:val="16"/>
        </w:rPr>
      </w:pPr>
      <w:r>
        <w:rPr>
          <w:rFonts w:ascii="Times New Roman" w:hAnsi="Times New Roman"/>
          <w:b w:val="false"/>
          <w:sz w:val="16"/>
        </w:rPr>
        <w:t>(d)</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Included in accounts receivable in the Condensed Consolidated Balance Sheets.</w:t>
      </w:r>
    </w:p>
    <w:p>
      <w:pPr>
        <w:pStyle w:val="TextBody"/>
        <w:spacing w:before="40" w:after="0"/>
        <w:jc w:val="both"/>
        <w:rPr>
          <w:rFonts w:ascii="Times New Roman" w:hAnsi="Times New Roman"/>
          <w:b w:val="false"/>
          <w:sz w:val="16"/>
        </w:rPr>
      </w:pPr>
      <w:r>
        <w:rPr>
          <w:rFonts w:ascii="Times New Roman" w:hAnsi="Times New Roman"/>
          <w:b w:val="false"/>
          <w:sz w:val="16"/>
        </w:rPr>
        <w:t>(e)</w:t>
      </w:r>
    </w:p>
    <w:p>
      <w:pPr>
        <w:pStyle w:val="TextBody"/>
        <w:spacing w:before="40" w:after="283"/>
        <w:jc w:val="both"/>
        <w:rPr>
          <w:rFonts w:ascii="Times New Roman;serif" w:hAnsi="Times New Roman;serif"/>
          <w:b w:val="false"/>
          <w:sz w:val="16"/>
        </w:rPr>
      </w:pPr>
      <w:r>
        <w:rPr>
          <w:rFonts w:ascii="Times New Roman;serif" w:hAnsi="Times New Roman;serif"/>
          <w:b w:val="false"/>
          <w:sz w:val="16"/>
        </w:rPr>
        <w:t>Included in accrued expenses and other liabilities in the Condensed Consolidated Balance Sheets.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summarizes financial asset instruments subject to recurring fair value measurements as of September 30, 2022.</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665"/>
        <w:gridCol w:w="146"/>
        <w:gridCol w:w="222"/>
        <w:gridCol w:w="604"/>
        <w:gridCol w:w="146"/>
        <w:gridCol w:w="146"/>
        <w:gridCol w:w="211"/>
        <w:gridCol w:w="571"/>
        <w:gridCol w:w="146"/>
        <w:gridCol w:w="146"/>
        <w:gridCol w:w="327"/>
        <w:gridCol w:w="892"/>
        <w:gridCol w:w="146"/>
        <w:gridCol w:w="146"/>
        <w:gridCol w:w="381"/>
        <w:gridCol w:w="625"/>
        <w:gridCol w:w="146"/>
        <w:gridCol w:w="146"/>
        <w:gridCol w:w="454"/>
        <w:gridCol w:w="747"/>
        <w:gridCol w:w="192"/>
      </w:tblGrid>
      <w:tr>
        <w:trPr/>
        <w:tc>
          <w:tcPr>
            <w:tcW w:w="36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366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2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Carrying</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78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br/>
              <w:t>fair</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219"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Quoted prices</w:t>
              <w:br/>
              <w:t>in active</w:t>
              <w:br/>
              <w:t>markets for</w:t>
              <w:br/>
              <w:t>identical</w:t>
              <w:br/>
              <w:t>assets</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00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other</w:t>
              <w:br/>
              <w:t>observable</w:t>
              <w:br/>
              <w:t>inputs</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201"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unobservable</w:t>
              <w:br/>
              <w:t>inputs</w:t>
            </w:r>
          </w:p>
        </w:tc>
        <w:tc>
          <w:tcPr>
            <w:tcW w:w="19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gridSpan w:val="2"/>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Restricted investments </w:t>
            </w:r>
            <w:r>
              <w:rPr>
                <w:rFonts w:ascii="Times New Roman;serif" w:hAnsi="Times New Roman;serif"/>
                <w:b w:val="false"/>
                <w:sz w:val="16"/>
              </w:rPr>
              <w:t>(a) (b)</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Investment of captive insurance company </w:t>
            </w:r>
            <w:r>
              <w:rPr>
                <w:rFonts w:ascii="Times New Roman;serif" w:hAnsi="Times New Roman;serif"/>
                <w:b w:val="false"/>
                <w:sz w:val="16"/>
              </w:rPr>
              <w:t>(c)</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Foreign currency derivatives </w:t>
            </w:r>
            <w:r>
              <w:rPr>
                <w:rFonts w:ascii="Times New Roman;serif" w:hAnsi="Times New Roman;serif"/>
                <w:b w:val="false"/>
                <w:sz w:val="16"/>
              </w:rPr>
              <w:t>(d)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20"/>
              </w:rPr>
              <w:t>Commodity derivatives</w:t>
            </w:r>
            <w:r>
              <w:rPr>
                <w:rFonts w:ascii="Times New Roman" w:hAnsi="Times New Roman"/>
                <w:sz w:val="16"/>
              </w:rPr>
              <w:t xml:space="preserve"> </w:t>
            </w:r>
            <w:r>
              <w:rPr>
                <w:rFonts w:ascii="Times New Roman;serif" w:hAnsi="Times New Roman;serif"/>
                <w:b w:val="false"/>
                <w:sz w:val="16"/>
              </w:rPr>
              <w:t>(d)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 at fair value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gridSpan w:val="2"/>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gridSpan w:val="2"/>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r>
      <w:tr>
        <w:trPr/>
        <w:tc>
          <w:tcPr>
            <w:tcW w:w="36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Foreign currency derivatives </w:t>
            </w:r>
            <w:r>
              <w:rPr>
                <w:rFonts w:ascii="Times New Roman;serif" w:hAnsi="Times New Roman;serif"/>
                <w:b w:val="false"/>
                <w:sz w:val="16"/>
              </w:rPr>
              <w:t>(e)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20"/>
              </w:rPr>
              <w:t>Commodity derivatives</w:t>
            </w:r>
            <w:r>
              <w:rPr>
                <w:rFonts w:ascii="Times New Roman" w:hAnsi="Times New Roman"/>
                <w:sz w:val="16"/>
              </w:rPr>
              <w:t xml:space="preserve"> </w:t>
            </w:r>
            <w:r>
              <w:rPr>
                <w:rFonts w:ascii="Times New Roman;serif" w:hAnsi="Times New Roman;serif"/>
                <w:b w:val="false"/>
                <w:sz w:val="16"/>
              </w:rPr>
              <w:t>(e)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at fair value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sz w:val="22"/>
        </w:rPr>
      </w:pPr>
      <w:r>
        <w:rPr>
          <w:rFonts w:ascii="Times New Roman;serif" w:hAnsi="Times New Roman;serif"/>
          <w:b w:val="false"/>
          <w:sz w:val="16"/>
        </w:rPr>
        <w:t>Included in restricted investments and $61</w:t>
      </w:r>
      <w:r>
        <w:rPr>
          <w:rFonts w:ascii="Times New Roman;serif" w:hAnsi="Times New Roman;serif"/>
          <w:sz w:val="22"/>
        </w:rPr>
        <w:t xml:space="preserve"> </w:t>
      </w:r>
      <w:r>
        <w:rPr>
          <w:rFonts w:ascii="Times New Roman;serif" w:hAnsi="Times New Roman;serif"/>
          <w:b w:val="false"/>
          <w:sz w:val="16"/>
        </w:rPr>
        <w:t>million within other current assets in the Condensed Consolidated Balance Sheets.</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0"/>
        <w:jc w:val="both"/>
        <w:rPr>
          <w:rFonts w:ascii="Times New Roman;serif" w:hAnsi="Times New Roman;serif"/>
          <w:sz w:val="22"/>
        </w:rPr>
      </w:pPr>
      <w:r>
        <w:rPr>
          <w:rFonts w:ascii="Times New Roman;serif" w:hAnsi="Times New Roman;serif"/>
          <w:b w:val="false"/>
          <w:sz w:val="16"/>
        </w:rPr>
        <w:t>Includes $245</w:t>
      </w:r>
      <w:r>
        <w:rPr>
          <w:rFonts w:ascii="Times New Roman;serif" w:hAnsi="Times New Roman;serif"/>
          <w:sz w:val="22"/>
        </w:rPr>
        <w:t xml:space="preserve"> </w:t>
      </w:r>
      <w:r>
        <w:rPr>
          <w:rFonts w:ascii="Times New Roman;serif" w:hAnsi="Times New Roman;serif"/>
          <w:b w:val="false"/>
          <w:sz w:val="16"/>
        </w:rPr>
        <w:t>million related to the Asbestos trust and $129</w:t>
      </w:r>
      <w:r>
        <w:rPr>
          <w:rFonts w:ascii="Times New Roman;serif" w:hAnsi="Times New Roman;serif"/>
          <w:sz w:val="22"/>
        </w:rPr>
        <w:t xml:space="preserve"> </w:t>
      </w:r>
      <w:r>
        <w:rPr>
          <w:rFonts w:ascii="Times New Roman;serif" w:hAnsi="Times New Roman;serif"/>
          <w:b w:val="false"/>
          <w:sz w:val="16"/>
        </w:rPr>
        <w:t>million related to the Environmental trust.</w:t>
      </w:r>
    </w:p>
    <w:p>
      <w:pPr>
        <w:pStyle w:val="TextBody"/>
        <w:spacing w:before="40" w:after="0"/>
        <w:jc w:val="both"/>
        <w:rPr>
          <w:rFonts w:ascii="Times New Roman" w:hAnsi="Times New Roman"/>
          <w:b w:val="false"/>
          <w:sz w:val="16"/>
        </w:rPr>
      </w:pPr>
      <w:r>
        <w:rPr>
          <w:rFonts w:ascii="Times New Roman" w:hAnsi="Times New Roman"/>
          <w:b w:val="false"/>
          <w:sz w:val="16"/>
        </w:rPr>
        <w:t>(c)</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Included in other noncurrent assets in the Condensed Consolidated Balance Sheets.</w:t>
      </w:r>
    </w:p>
    <w:p>
      <w:pPr>
        <w:pStyle w:val="TextBody"/>
        <w:spacing w:before="40" w:after="0"/>
        <w:jc w:val="both"/>
        <w:rPr>
          <w:rFonts w:ascii="Times New Roman" w:hAnsi="Times New Roman"/>
          <w:b w:val="false"/>
          <w:sz w:val="16"/>
        </w:rPr>
      </w:pPr>
      <w:r>
        <w:rPr>
          <w:rFonts w:ascii="Times New Roman" w:hAnsi="Times New Roman"/>
          <w:b w:val="false"/>
          <w:sz w:val="16"/>
        </w:rPr>
        <w:t>(d)</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Included in accounts receivable in the Condensed Consolidated Balance Sheets.</w:t>
      </w:r>
    </w:p>
    <w:p>
      <w:pPr>
        <w:pStyle w:val="TextBody"/>
        <w:spacing w:before="40" w:after="0"/>
        <w:jc w:val="both"/>
        <w:rPr>
          <w:rFonts w:ascii="Times New Roman" w:hAnsi="Times New Roman"/>
          <w:b w:val="false"/>
          <w:sz w:val="16"/>
        </w:rPr>
      </w:pPr>
      <w:r>
        <w:rPr>
          <w:rFonts w:ascii="Times New Roman" w:hAnsi="Times New Roman"/>
          <w:b w:val="false"/>
          <w:sz w:val="16"/>
        </w:rPr>
        <w:t>(e)</w:t>
      </w:r>
    </w:p>
    <w:p>
      <w:pPr>
        <w:pStyle w:val="TextBody"/>
        <w:spacing w:before="40" w:after="283"/>
        <w:jc w:val="both"/>
        <w:rPr>
          <w:rFonts w:ascii="Times New Roman;serif" w:hAnsi="Times New Roman;serif"/>
          <w:b w:val="false"/>
          <w:sz w:val="16"/>
        </w:rPr>
      </w:pPr>
      <w:r>
        <w:rPr>
          <w:rFonts w:ascii="Times New Roman;serif" w:hAnsi="Times New Roman;serif"/>
          <w:b w:val="false"/>
          <w:sz w:val="16"/>
        </w:rPr>
        <w:t>Included in accrued expenses and other liabilities in the Condensed Consolidated Balance Sheets.</w:t>
      </w:r>
    </w:p>
    <w:p>
      <w:pPr>
        <w:pStyle w:val="TextBody"/>
        <w:spacing w:before="120" w:after="0"/>
        <w:jc w:val="both"/>
        <w:rPr>
          <w:rFonts w:ascii="Times New Roman;serif" w:hAnsi="Times New Roman;serif"/>
          <w:b/>
          <w:sz w:val="22"/>
        </w:rPr>
      </w:pPr>
      <w:r>
        <w:rPr>
          <w:rFonts w:ascii="Times New Roman;serif" w:hAnsi="Times New Roman;serif"/>
          <w:b/>
          <w:sz w:val="22"/>
        </w:rPr>
        <w:t>Restricted investments</w:t>
      </w:r>
    </w:p>
    <w:p>
      <w:pPr>
        <w:pStyle w:val="TextBody"/>
        <w:spacing w:before="120" w:after="0"/>
        <w:jc w:val="both"/>
        <w:rPr>
          <w:rFonts w:ascii="Times New Roman" w:hAnsi="Times New Roman"/>
          <w:sz w:val="20"/>
        </w:rPr>
      </w:pPr>
      <w:r>
        <w:rPr>
          <w:rFonts w:ascii="Times New Roman;serif" w:hAnsi="Times New Roman;serif"/>
          <w:b w:val="false"/>
          <w:sz w:val="22"/>
        </w:rPr>
        <w:t>Ashland maintains certain investments in a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securities were classified primarily as noncurrent restricted investment assets, with $61</w:t>
      </w:r>
      <w:r>
        <w:rPr>
          <w:rFonts w:ascii="Times New Roman" w:hAnsi="Times New Roman"/>
          <w:sz w:val="20"/>
        </w:rPr>
        <w:t xml:space="preserve"> </w:t>
      </w:r>
      <w:r>
        <w:rPr>
          <w:rFonts w:ascii="Times New Roman;serif" w:hAnsi="Times New Roman;serif"/>
          <w:b w:val="false"/>
          <w:sz w:val="22"/>
        </w:rPr>
        <w:t>million classified within other current assets, in the Condensed Consolidated Balance Sheets as of March 31, 2023 and September 30, 2022.</w:t>
      </w:r>
    </w:p>
    <w:p>
      <w:pPr>
        <w:pStyle w:val="TextBody"/>
        <w:spacing w:before="120" w:after="0"/>
        <w:jc w:val="both"/>
        <w:rPr>
          <w:rFonts w:ascii="Times New Roman" w:hAnsi="Times New Roman"/>
          <w:sz w:val="20"/>
        </w:rPr>
      </w:pPr>
      <w:r>
        <w:rPr>
          <w:rFonts w:ascii="Times New Roman;serif" w:hAnsi="Times New Roman;serif"/>
          <w:b w:val="false"/>
          <w:sz w:val="22"/>
        </w:rPr>
        <w:t>The following table presents gross unrealized gains and losses for the restricted securities as of March 31, 2023 and September 30, 2022:</w:t>
      </w:r>
      <w:r>
        <w:rPr>
          <w:rFonts w:ascii="Times New Roman" w:hAnsi="Times New Roman"/>
          <w:sz w:val="20"/>
        </w:rPr>
        <w:t xml:space="preserve"> </w:t>
      </w:r>
    </w:p>
    <w:p>
      <w:pPr>
        <w:pStyle w:val="TextBody"/>
        <w:spacing w:before="0" w:after="0"/>
        <w:jc w:val="both"/>
        <w:rPr/>
      </w:pPr>
      <w:r>
        <w:rPr/>
        <w:t> </w:t>
      </w:r>
    </w:p>
    <w:tbl>
      <w:tblPr>
        <w:tblW w:w="8539" w:type="dxa"/>
        <w:jc w:val="left"/>
        <w:tblInd w:w="0" w:type="dxa"/>
        <w:tblCellMar>
          <w:top w:w="28" w:type="dxa"/>
          <w:left w:w="28" w:type="dxa"/>
          <w:bottom w:w="28" w:type="dxa"/>
          <w:right w:w="28" w:type="dxa"/>
        </w:tblCellMar>
      </w:tblPr>
      <w:tblGrid>
        <w:gridCol w:w="2266"/>
        <w:gridCol w:w="146"/>
        <w:gridCol w:w="419"/>
        <w:gridCol w:w="841"/>
        <w:gridCol w:w="146"/>
        <w:gridCol w:w="146"/>
        <w:gridCol w:w="539"/>
        <w:gridCol w:w="886"/>
        <w:gridCol w:w="146"/>
        <w:gridCol w:w="146"/>
        <w:gridCol w:w="506"/>
        <w:gridCol w:w="904"/>
        <w:gridCol w:w="166"/>
        <w:gridCol w:w="146"/>
        <w:gridCol w:w="315"/>
        <w:gridCol w:w="630"/>
        <w:gridCol w:w="191"/>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26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2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Gross</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1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Gross</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94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Adjusted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Unrealized Gain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Unrealized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March 31, 2023</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Demand deposit</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mutual fund</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6" w:type="dxa"/>
            <w:tcBorders/>
            <w:shd w:fill="auto" w:val="clear"/>
            <w:vAlign w:val="center"/>
          </w:tcPr>
          <w:p>
            <w:pPr>
              <w:pStyle w:val="TableContents"/>
              <w:spacing w:before="0" w:after="0"/>
              <w:ind w:left="0" w:right="0" w:hanging="0"/>
              <w:jc w:val="left"/>
              <w:rPr/>
            </w:pPr>
            <w:r>
              <w:rPr/>
              <w:t> </w:t>
            </w:r>
          </w:p>
        </w:tc>
        <w:tc>
          <w:tcPr>
            <w:tcW w:w="9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Fixed income mutual fund</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September 30, 2022</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Demand deposit</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mutual fund</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6" w:type="dxa"/>
            <w:tcBorders/>
            <w:shd w:fill="auto" w:val="clear"/>
            <w:vAlign w:val="center"/>
          </w:tcPr>
          <w:p>
            <w:pPr>
              <w:pStyle w:val="TableContents"/>
              <w:spacing w:before="0" w:after="0"/>
              <w:ind w:left="0" w:right="0" w:hanging="0"/>
              <w:jc w:val="left"/>
              <w:rPr/>
            </w:pPr>
            <w:r>
              <w:rPr/>
              <w:t> </w:t>
            </w:r>
          </w:p>
        </w:tc>
        <w:tc>
          <w:tcPr>
            <w:tcW w:w="9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Fixed income mutual fund</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following table presents the investment income, net gains and losses realized, funds restricted for specific transactions, and disbursements related to the investments within the portfolio for the three and six months ended March 31, 2023 and 2022.</w:t>
      </w:r>
    </w:p>
    <w:p>
      <w:pPr>
        <w:pStyle w:val="TextBody"/>
        <w:spacing w:before="0" w:after="0"/>
        <w:jc w:val="both"/>
        <w:rPr/>
      </w:pPr>
      <w:r>
        <w:rPr/>
        <w:t> </w:t>
      </w:r>
    </w:p>
    <w:tbl>
      <w:tblPr>
        <w:tblW w:w="7356" w:type="dxa"/>
        <w:jc w:val="left"/>
        <w:tblInd w:w="0" w:type="dxa"/>
        <w:tblCellMar>
          <w:top w:w="28" w:type="dxa"/>
          <w:left w:w="28" w:type="dxa"/>
          <w:bottom w:w="28" w:type="dxa"/>
          <w:right w:w="28" w:type="dxa"/>
        </w:tblCellMar>
      </w:tblPr>
      <w:tblGrid>
        <w:gridCol w:w="3376"/>
        <w:gridCol w:w="146"/>
        <w:gridCol w:w="249"/>
        <w:gridCol w:w="444"/>
        <w:gridCol w:w="196"/>
        <w:gridCol w:w="172"/>
        <w:gridCol w:w="249"/>
        <w:gridCol w:w="444"/>
        <w:gridCol w:w="166"/>
        <w:gridCol w:w="146"/>
        <w:gridCol w:w="221"/>
        <w:gridCol w:w="394"/>
        <w:gridCol w:w="174"/>
        <w:gridCol w:w="153"/>
        <w:gridCol w:w="221"/>
        <w:gridCol w:w="394"/>
        <w:gridCol w:w="211"/>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7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4"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557"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Investment income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shd w:fill="auto" w:val="cle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gains (losses)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9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Funds restricted for specific transactions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11" w:type="dxa"/>
            <w:tcBorders/>
            <w:shd w:fill="auto" w:val="cle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Disbursements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rFonts w:ascii="Times New Roman;serif" w:hAnsi="Times New Roman;serif"/>
          <w:b w:val="false"/>
          <w:sz w:val="16"/>
        </w:rPr>
      </w:pPr>
      <w:r>
        <w:rPr>
          <w:rFonts w:ascii="Times New Roman;serif" w:hAnsi="Times New Roman;serif"/>
          <w:b w:val="false"/>
          <w:sz w:val="16"/>
        </w:rPr>
        <w:t>Included in the net interest and other expense (income) caption within the Statements of Consolidated Comprehensive Income (Loss).</w:t>
      </w:r>
    </w:p>
    <w:p>
      <w:pPr>
        <w:pStyle w:val="TextBody"/>
        <w:spacing w:before="120" w:after="0"/>
        <w:jc w:val="both"/>
        <w:rPr>
          <w:rFonts w:ascii="Times New Roman;serif" w:hAnsi="Times New Roman;serif"/>
          <w:b/>
          <w:sz w:val="22"/>
        </w:rPr>
      </w:pPr>
      <w:r>
        <w:rPr>
          <w:rFonts w:ascii="Times New Roman;serif" w:hAnsi="Times New Roman;serif"/>
          <w:b/>
          <w:sz w:val="22"/>
        </w:rPr>
        <w:t>Foreign currency derivatives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and six months ended March 31, 2023 and 2022 within the Statements of Consolidated Comprehensive Income (Loss).</w:t>
      </w:r>
    </w:p>
    <w:p>
      <w:pPr>
        <w:pStyle w:val="TextBody"/>
        <w:spacing w:before="0" w:after="0"/>
        <w:jc w:val="both"/>
        <w:rPr/>
      </w:pPr>
      <w:r>
        <w:rPr/>
        <w:t> </w:t>
      </w:r>
    </w:p>
    <w:tbl>
      <w:tblPr>
        <w:tblW w:w="7476" w:type="dxa"/>
        <w:jc w:val="left"/>
        <w:tblInd w:w="0" w:type="dxa"/>
        <w:tblCellMar>
          <w:top w:w="28" w:type="dxa"/>
          <w:left w:w="28" w:type="dxa"/>
          <w:bottom w:w="28" w:type="dxa"/>
          <w:right w:w="28" w:type="dxa"/>
        </w:tblCellMar>
      </w:tblPr>
      <w:tblGrid>
        <w:gridCol w:w="3496"/>
        <w:gridCol w:w="146"/>
        <w:gridCol w:w="284"/>
        <w:gridCol w:w="284"/>
        <w:gridCol w:w="197"/>
        <w:gridCol w:w="197"/>
        <w:gridCol w:w="284"/>
        <w:gridCol w:w="507"/>
        <w:gridCol w:w="166"/>
        <w:gridCol w:w="146"/>
        <w:gridCol w:w="275"/>
        <w:gridCol w:w="275"/>
        <w:gridCol w:w="190"/>
        <w:gridCol w:w="190"/>
        <w:gridCol w:w="275"/>
        <w:gridCol w:w="353"/>
        <w:gridCol w:w="21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4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3"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558"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derivative gains (losses)</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90"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summarizes the fair values of the outstanding foreign currency derivatives as of March 31, 2023 and September 30, 2022 included in accounts receivable and accrued expenses and other liabilities of the Condensed Consolidated Balance Sheets.</w:t>
      </w:r>
    </w:p>
    <w:p>
      <w:pPr>
        <w:pStyle w:val="TextBody"/>
        <w:spacing w:before="0" w:after="0"/>
        <w:jc w:val="both"/>
        <w:rPr/>
      </w:pPr>
      <w:r>
        <w:rPr/>
        <w:t> </w:t>
      </w:r>
    </w:p>
    <w:tbl>
      <w:tblPr>
        <w:tblW w:w="5925" w:type="dxa"/>
        <w:jc w:val="left"/>
        <w:tblInd w:w="0" w:type="dxa"/>
        <w:tblCellMar>
          <w:top w:w="28" w:type="dxa"/>
          <w:left w:w="28" w:type="dxa"/>
          <w:bottom w:w="28" w:type="dxa"/>
          <w:right w:w="28" w:type="dxa"/>
        </w:tblCellMar>
      </w:tblPr>
      <w:tblGrid>
        <w:gridCol w:w="3196"/>
        <w:gridCol w:w="146"/>
        <w:gridCol w:w="295"/>
        <w:gridCol w:w="590"/>
        <w:gridCol w:w="146"/>
        <w:gridCol w:w="146"/>
        <w:gridCol w:w="404"/>
        <w:gridCol w:w="811"/>
        <w:gridCol w:w="191"/>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8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21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30</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derivative assets</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Notional contract values</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Notional contract values</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w:t>
            </w:r>
          </w:p>
        </w:tc>
        <w:tc>
          <w:tcPr>
            <w:tcW w:w="191" w:type="dxa"/>
            <w:tcBorders/>
            <w:shd w:fill="auto" w:val="clear"/>
            <w:vAlign w:val="center"/>
          </w:tcPr>
          <w:p>
            <w:pPr>
              <w:pStyle w:val="TableContents"/>
              <w:spacing w:before="0" w:after="0"/>
              <w:ind w:left="0" w:right="0" w:hanging="0"/>
              <w:jc w:val="left"/>
              <w:rPr/>
            </w:pPr>
            <w:r>
              <w:rPr/>
              <w:t> </w:t>
            </w:r>
          </w:p>
        </w:tc>
      </w:tr>
      <w:tr>
        <w:trPr/>
        <w:tc>
          <w:tcPr>
            <w:tcW w:w="3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serif" w:hAnsi="Times New Roman;serif"/>
          <w:b/>
          <w:sz w:val="22"/>
        </w:rPr>
      </w:pPr>
      <w:r>
        <w:rPr>
          <w:rFonts w:ascii="Times New Roman;serif" w:hAnsi="Times New Roman;serif"/>
          <w:b/>
          <w:sz w:val="22"/>
        </w:rPr>
        <w:t>Commodity derivatives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To manage its exposure to the market price volatility of natural gas consumed by its U.S. plants during the manufacturing process, Ashland regularly enters into forward contracts that are designated as cash flow hedges.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table summarizes the net gains and losses recognized during the three and six months ended March 31, 2023 and 2022 within the cost of sales caption of the Statements of Consolidated Comprehensive Income (Loss).</w:t>
      </w:r>
    </w:p>
    <w:tbl>
      <w:tblPr>
        <w:tblW w:w="7039" w:type="dxa"/>
        <w:jc w:val="left"/>
        <w:tblInd w:w="0" w:type="dxa"/>
        <w:tblCellMar>
          <w:top w:w="28" w:type="dxa"/>
          <w:left w:w="28" w:type="dxa"/>
          <w:bottom w:w="28" w:type="dxa"/>
          <w:right w:w="28" w:type="dxa"/>
        </w:tblCellMar>
      </w:tblPr>
      <w:tblGrid>
        <w:gridCol w:w="3091"/>
        <w:gridCol w:w="146"/>
        <w:gridCol w:w="304"/>
        <w:gridCol w:w="391"/>
        <w:gridCol w:w="239"/>
        <w:gridCol w:w="210"/>
        <w:gridCol w:w="304"/>
        <w:gridCol w:w="304"/>
        <w:gridCol w:w="146"/>
        <w:gridCol w:w="146"/>
        <w:gridCol w:w="259"/>
        <w:gridCol w:w="424"/>
        <w:gridCol w:w="179"/>
        <w:gridCol w:w="179"/>
        <w:gridCol w:w="263"/>
        <w:gridCol w:w="263"/>
        <w:gridCol w:w="1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2"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567"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Commodity derivative gains (losses)</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0"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4" w:type="dxa"/>
            <w:tcBorders/>
            <w:shd w:fill="auto" w:val="clear"/>
            <w:vAlign w:val="center"/>
          </w:tcPr>
          <w:p>
            <w:pPr>
              <w:pStyle w:val="TableContents"/>
              <w:spacing w:before="0" w:after="0"/>
              <w:ind w:left="0" w:right="0" w:hanging="0"/>
              <w:jc w:val="right"/>
              <w:rPr/>
            </w:pPr>
            <w:r>
              <w:rPr/>
              <w:t>—</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table summarizes the fair values of the outstanding commodity derivatives as of March 31, 2023, and September 30, 2022 included in accounts receivable and accrued expenses and other liabilities of the Condensed Consolidated Balance Sheets.</w:t>
      </w:r>
    </w:p>
    <w:tbl>
      <w:tblPr>
        <w:tblW w:w="5520" w:type="dxa"/>
        <w:jc w:val="left"/>
        <w:tblInd w:w="0" w:type="dxa"/>
        <w:tblCellMar>
          <w:top w:w="28" w:type="dxa"/>
          <w:left w:w="28" w:type="dxa"/>
          <w:bottom w:w="28" w:type="dxa"/>
          <w:right w:w="28" w:type="dxa"/>
        </w:tblCellMar>
      </w:tblPr>
      <w:tblGrid>
        <w:gridCol w:w="2791"/>
        <w:gridCol w:w="146"/>
        <w:gridCol w:w="335"/>
        <w:gridCol w:w="550"/>
        <w:gridCol w:w="146"/>
        <w:gridCol w:w="146"/>
        <w:gridCol w:w="485"/>
        <w:gridCol w:w="730"/>
        <w:gridCol w:w="191"/>
      </w:tblGrid>
      <w:tr>
        <w:trPr/>
        <w:tc>
          <w:tcPr>
            <w:tcW w:w="27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8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21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30</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Commodity derivative assets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91" w:type="dxa"/>
            <w:tcBorders/>
            <w:shd w:fill="auto" w:val="clear"/>
            <w:vAlign w:val="center"/>
          </w:tcPr>
          <w:p>
            <w:pPr>
              <w:pStyle w:val="TableContents"/>
              <w:spacing w:before="0" w:after="0"/>
              <w:ind w:left="0" w:right="0" w:hanging="0"/>
              <w:jc w:val="left"/>
              <w:rPr/>
            </w:pPr>
            <w:r>
              <w:rPr/>
              <w:t> </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Notional contract values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91" w:type="dxa"/>
            <w:tcBorders/>
            <w:shd w:fill="auto" w:val="clear"/>
            <w:vAlign w:val="center"/>
          </w:tcPr>
          <w:p>
            <w:pPr>
              <w:pStyle w:val="TableContents"/>
              <w:spacing w:before="0" w:after="0"/>
              <w:ind w:left="0" w:right="0" w:hanging="0"/>
              <w:jc w:val="left"/>
              <w:rPr/>
            </w:pPr>
            <w:r>
              <w:rPr/>
              <w:t> </w:t>
            </w:r>
          </w:p>
        </w:tc>
      </w:tr>
      <w:tr>
        <w:trPr/>
        <w:tc>
          <w:tcPr>
            <w:tcW w:w="27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jc w:val="left"/>
              <w:rPr/>
            </w:pPr>
            <w:r>
              <w:rPr/>
              <w:t> </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Commodity 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Notional contract values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91" w:type="dxa"/>
            <w:tcBorders/>
            <w:shd w:fill="auto" w:val="clear"/>
            <w:vAlign w:val="center"/>
          </w:tcPr>
          <w:p>
            <w:pPr>
              <w:pStyle w:val="TableContents"/>
              <w:spacing w:before="0" w:after="0"/>
              <w:ind w:left="0" w:right="0" w:hanging="0"/>
              <w:jc w:val="left"/>
              <w:rPr/>
            </w:pPr>
            <w:r>
              <w:rPr/>
              <w:t> </w:t>
            </w:r>
          </w:p>
        </w:tc>
      </w:tr>
      <w:tr>
        <w:trPr/>
        <w:tc>
          <w:tcPr>
            <w:tcW w:w="2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serif" w:hAnsi="Times New Roman;serif"/>
          <w:b/>
          <w:sz w:val="22"/>
        </w:rPr>
      </w:pPr>
      <w:r>
        <w:rPr>
          <w:rFonts w:ascii="Times New Roman;serif" w:hAnsi="Times New Roman;serif"/>
          <w:b/>
          <w:sz w:val="22"/>
        </w:rPr>
        <w:t>Other financial instruments</w:t>
      </w:r>
    </w:p>
    <w:p>
      <w:pPr>
        <w:pStyle w:val="TextBody"/>
        <w:spacing w:before="120" w:after="0"/>
        <w:jc w:val="both"/>
        <w:rPr>
          <w:rFonts w:ascii="Times New Roman" w:hAnsi="Times New Roman"/>
          <w:sz w:val="20"/>
        </w:rPr>
      </w:pPr>
      <w:r>
        <w:rPr>
          <w:rFonts w:ascii="Times New Roman;serif" w:hAnsi="Times New Roman;serif"/>
          <w:b w:val="false"/>
          <w:sz w:val="22"/>
        </w:rPr>
        <w:t>At March 31, 2023 and September 30, 2022, Ashland's long-term debt (including the current portion and excluding debt issuance cost discounts) had a carrying value of $1,342</w:t>
      </w:r>
      <w:r>
        <w:rPr>
          <w:rFonts w:ascii="Times New Roman" w:hAnsi="Times New Roman"/>
          <w:sz w:val="20"/>
        </w:rPr>
        <w:t xml:space="preserve"> </w:t>
      </w:r>
      <w:r>
        <w:rPr>
          <w:rFonts w:ascii="Times New Roman;serif" w:hAnsi="Times New Roman;serif"/>
          <w:b w:val="false"/>
          <w:sz w:val="22"/>
        </w:rPr>
        <w:t>million and $1,284</w:t>
      </w:r>
      <w:r>
        <w:rPr>
          <w:rFonts w:ascii="Times New Roman" w:hAnsi="Times New Roman"/>
          <w:sz w:val="20"/>
        </w:rPr>
        <w:t xml:space="preserve"> </w:t>
      </w:r>
      <w:r>
        <w:rPr>
          <w:rFonts w:ascii="Times New Roman;serif" w:hAnsi="Times New Roman;serif"/>
          <w:b w:val="false"/>
          <w:sz w:val="22"/>
        </w:rPr>
        <w:t>million, respectively, compared to a fair value of $1,224</w:t>
      </w:r>
      <w:r>
        <w:rPr>
          <w:rFonts w:ascii="Times New Roman" w:hAnsi="Times New Roman"/>
          <w:sz w:val="20"/>
        </w:rPr>
        <w:t xml:space="preserve"> </w:t>
      </w:r>
      <w:r>
        <w:rPr>
          <w:rFonts w:ascii="Times New Roman;serif" w:hAnsi="Times New Roman;serif"/>
          <w:b w:val="false"/>
          <w:sz w:val="22"/>
        </w:rPr>
        <w:t>million and $1,102</w:t>
      </w:r>
      <w:r>
        <w:rPr>
          <w:rFonts w:ascii="Times New Roman" w:hAnsi="Times New Roman"/>
          <w:sz w:val="20"/>
        </w:rPr>
        <w:t xml:space="preserve"> </w:t>
      </w:r>
      <w:r>
        <w:rPr>
          <w:rFonts w:ascii="Times New Roman;serif" w:hAnsi="Times New Roman;serif"/>
          <w:b w:val="false"/>
          <w:sz w:val="22"/>
        </w:rPr>
        <w:t>million, respectively. The fair values of long-term debt are based on quoted market prices or, if market prices are not available, the present values of the underlying cash flows discounted at Ashland’s incremental borrowing rates. The carrying value of long-term debt with variable interest approximated fair value.</w:t>
      </w:r>
    </w:p>
    <w:p>
      <w:pPr>
        <w:pStyle w:val="TextBody"/>
        <w:spacing w:before="240" w:after="0"/>
        <w:jc w:val="both"/>
        <w:rPr>
          <w:rFonts w:ascii="Times New Roman;serif" w:hAnsi="Times New Roman;serif"/>
          <w:b/>
          <w:sz w:val="22"/>
        </w:rPr>
      </w:pPr>
      <w:r>
        <w:rPr>
          <w:rFonts w:ascii="Times New Roman;serif" w:hAnsi="Times New Roman;serif"/>
          <w:b/>
          <w:sz w:val="22"/>
        </w:rPr>
        <w:t>NOTE F – INVENTORIES</w:t>
      </w:r>
    </w:p>
    <w:p>
      <w:pPr>
        <w:pStyle w:val="TextBody"/>
        <w:spacing w:before="120" w:after="0"/>
        <w:jc w:val="both"/>
        <w:rPr>
          <w:rFonts w:ascii="Times New Roman" w:hAnsi="Times New Roman"/>
          <w:sz w:val="20"/>
        </w:rPr>
      </w:pPr>
      <w:r>
        <w:rPr>
          <w:rFonts w:ascii="Times New Roman;serif" w:hAnsi="Times New Roman;serif"/>
          <w:b w:val="false"/>
          <w:sz w:val="22"/>
        </w:rPr>
        <w:t>Inventories are carried at the lower of cost or net realizable value. Inventories are stated at cost using the weighted-average cost method. This method values inventories using average costs for raw materials and most recent production costs for labor and overhead.</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summarizes Ashland’s inventories as of the reported Condensed Consolidated Balance Sheet dates.</w:t>
      </w:r>
    </w:p>
    <w:p>
      <w:pPr>
        <w:pStyle w:val="TextBody"/>
        <w:spacing w:before="0" w:after="0"/>
        <w:jc w:val="both"/>
        <w:rPr/>
      </w:pPr>
      <w:r>
        <w:rPr/>
        <w:t> </w:t>
      </w:r>
    </w:p>
    <w:tbl>
      <w:tblPr>
        <w:tblW w:w="6015" w:type="dxa"/>
        <w:jc w:val="left"/>
        <w:tblInd w:w="0" w:type="dxa"/>
        <w:tblCellMar>
          <w:top w:w="28" w:type="dxa"/>
          <w:left w:w="28" w:type="dxa"/>
          <w:bottom w:w="28" w:type="dxa"/>
          <w:right w:w="28" w:type="dxa"/>
        </w:tblCellMar>
      </w:tblPr>
      <w:tblGrid>
        <w:gridCol w:w="3286"/>
        <w:gridCol w:w="146"/>
        <w:gridCol w:w="303"/>
        <w:gridCol w:w="582"/>
        <w:gridCol w:w="146"/>
        <w:gridCol w:w="146"/>
        <w:gridCol w:w="416"/>
        <w:gridCol w:w="799"/>
        <w:gridCol w:w="19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8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8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21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30</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Finished products</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391</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Raw materials, supplies and work in process</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NOTE G – GOODWILL AND OTHER INTANGIBLES</w:t>
      </w:r>
    </w:p>
    <w:p>
      <w:pPr>
        <w:pStyle w:val="TextBody"/>
        <w:spacing w:before="120" w:after="0"/>
        <w:jc w:val="both"/>
        <w:rPr>
          <w:rFonts w:ascii="Times New Roman;serif" w:hAnsi="Times New Roman;serif"/>
          <w:b/>
          <w:sz w:val="22"/>
        </w:rPr>
      </w:pPr>
      <w:r>
        <w:rPr>
          <w:rFonts w:ascii="Times New Roman;serif" w:hAnsi="Times New Roman;serif"/>
          <w:b/>
          <w:sz w:val="22"/>
        </w:rPr>
        <w:t>Goodwill</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tests goodwill and other indefinite-lived intangible assets for impairment annually as of July 1 and when events and circumstances indicate an impairment may have occurred.</w:t>
      </w:r>
    </w:p>
    <w:p>
      <w:pPr>
        <w:pStyle w:val="TextBody"/>
        <w:spacing w:before="120" w:after="0"/>
        <w:jc w:val="both"/>
        <w:rPr>
          <w:rFonts w:ascii="Times New Roman" w:hAnsi="Times New Roman"/>
          <w:sz w:val="20"/>
        </w:rPr>
      </w:pPr>
      <w:r>
        <w:rPr>
          <w:rFonts w:ascii="Times New Roman;serif" w:hAnsi="Times New Roman;serif"/>
          <w:b w:val="false"/>
          <w:sz w:val="20"/>
        </w:rPr>
        <w:t>N</w:t>
      </w:r>
      <w:r>
        <w:rPr>
          <w:rFonts w:ascii="Times New Roman;serif" w:hAnsi="Times New Roman;serif"/>
          <w:b w:val="false"/>
          <w:sz w:val="22"/>
        </w:rPr>
        <w:t>o indicators of impairment were identified in the three and six months ended March 31, 2023.</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is a progression of goodwill by reportable segment for the six months ended March 31, 2023.</w:t>
      </w:r>
    </w:p>
    <w:p>
      <w:pPr>
        <w:pStyle w:val="TextBody"/>
        <w:spacing w:before="0" w:after="0"/>
        <w:jc w:val="both"/>
        <w:rPr/>
      </w:pPr>
      <w:r>
        <w:rPr/>
        <w:t> </w:t>
      </w:r>
    </w:p>
    <w:tbl>
      <w:tblPr>
        <w:tblW w:w="8969" w:type="dxa"/>
        <w:jc w:val="left"/>
        <w:tblInd w:w="0" w:type="dxa"/>
        <w:tblCellMar>
          <w:top w:w="28" w:type="dxa"/>
          <w:left w:w="28" w:type="dxa"/>
          <w:bottom w:w="28" w:type="dxa"/>
          <w:right w:w="28" w:type="dxa"/>
        </w:tblCellMar>
      </w:tblPr>
      <w:tblGrid>
        <w:gridCol w:w="2641"/>
        <w:gridCol w:w="270"/>
        <w:gridCol w:w="541"/>
        <w:gridCol w:w="146"/>
        <w:gridCol w:w="146"/>
        <w:gridCol w:w="265"/>
        <w:gridCol w:w="531"/>
        <w:gridCol w:w="146"/>
        <w:gridCol w:w="146"/>
        <w:gridCol w:w="378"/>
        <w:gridCol w:w="762"/>
        <w:gridCol w:w="146"/>
        <w:gridCol w:w="146"/>
        <w:gridCol w:w="544"/>
        <w:gridCol w:w="896"/>
        <w:gridCol w:w="146"/>
        <w:gridCol w:w="146"/>
        <w:gridCol w:w="211"/>
        <w:gridCol w:w="571"/>
        <w:gridCol w:w="191"/>
      </w:tblGrid>
      <w:tr>
        <w:trPr/>
        <w:tc>
          <w:tcPr>
            <w:tcW w:w="264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11"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Life</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9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Personal</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14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Specialty</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4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8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Sciences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Care </w:t>
            </w:r>
            <w:r>
              <w:rPr>
                <w:rFonts w:ascii="Times New Roman;serif" w:hAnsi="Times New Roman;serif"/>
                <w:b w:val="false"/>
                <w:sz w:val="16"/>
              </w:rP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Additives </w:t>
            </w:r>
            <w:r>
              <w:rPr>
                <w:rFonts w:ascii="Times New Roman;serif" w:hAnsi="Times New Roman;serif"/>
                <w:b w:val="false"/>
                <w:sz w:val="16"/>
              </w:rP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Intermediates </w:t>
            </w:r>
            <w:r>
              <w:rPr>
                <w:rFonts w:ascii="Times New Roman;serif" w:hAnsi="Times New Roman;serif"/>
                <w:b w:val="false"/>
                <w:sz w:val="16"/>
              </w:rP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September 30, 2022</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w:t>
            </w:r>
          </w:p>
        </w:tc>
        <w:tc>
          <w:tcPr>
            <w:tcW w:w="1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Currency translation</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rFonts w:ascii="Times New Roman;serif" w:hAnsi="Times New Roman;serif"/>
          <w:sz w:val="22"/>
        </w:rPr>
      </w:pPr>
      <w:r>
        <w:rPr>
          <w:rFonts w:ascii="Times New Roman;serif" w:hAnsi="Times New Roman;serif"/>
          <w:b w:val="false"/>
          <w:sz w:val="16"/>
        </w:rPr>
        <w:t>As of March 31, 2023</w:t>
      </w:r>
      <w:r>
        <w:rPr>
          <w:rFonts w:ascii="Times New Roman;serif" w:hAnsi="Times New Roman;serif"/>
          <w:sz w:val="22"/>
        </w:rPr>
        <w:t xml:space="preserve"> </w:t>
      </w:r>
      <w:r>
        <w:rPr>
          <w:rFonts w:ascii="Times New Roman;serif" w:hAnsi="Times New Roman;serif"/>
          <w:b w:val="false"/>
          <w:sz w:val="16"/>
        </w:rPr>
        <w:t>and September 30, 2022, there were accumulated impairments of $356</w:t>
      </w:r>
      <w:r>
        <w:rPr>
          <w:rFonts w:ascii="Times New Roman;serif" w:hAnsi="Times New Roman;serif"/>
          <w:sz w:val="22"/>
        </w:rPr>
        <w:t xml:space="preserve"> </w:t>
      </w:r>
      <w:r>
        <w:rPr>
          <w:rFonts w:ascii="Times New Roman;serif" w:hAnsi="Times New Roman;serif"/>
          <w:b w:val="false"/>
          <w:sz w:val="16"/>
        </w:rPr>
        <w:t>million, $174</w:t>
      </w:r>
      <w:r>
        <w:rPr>
          <w:rFonts w:ascii="Times New Roman;serif" w:hAnsi="Times New Roman;serif"/>
          <w:sz w:val="22"/>
        </w:rPr>
        <w:t xml:space="preserve"> </w:t>
      </w:r>
      <w:r>
        <w:rPr>
          <w:rFonts w:ascii="Times New Roman;serif" w:hAnsi="Times New Roman;serif"/>
          <w:b w:val="false"/>
          <w:sz w:val="16"/>
        </w:rPr>
        <w:t>million and $90</w:t>
      </w:r>
      <w:r>
        <w:rPr>
          <w:rFonts w:ascii="Times New Roman;serif" w:hAnsi="Times New Roman;serif"/>
          <w:sz w:val="22"/>
        </w:rPr>
        <w:t xml:space="preserve"> </w:t>
      </w:r>
      <w:r>
        <w:rPr>
          <w:rFonts w:ascii="Times New Roman;serif" w:hAnsi="Times New Roman;serif"/>
          <w:b w:val="false"/>
          <w:sz w:val="16"/>
        </w:rPr>
        <w:t>million related to the Personal Care, Specialty Additives and Intermediates reportable segments, respectively.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120" w:after="0"/>
        <w:jc w:val="both"/>
        <w:rPr>
          <w:rFonts w:ascii="Times New Roman;serif" w:hAnsi="Times New Roman;serif"/>
          <w:b/>
          <w:sz w:val="22"/>
        </w:rPr>
      </w:pPr>
      <w:r>
        <w:rPr>
          <w:rFonts w:ascii="Times New Roman;serif" w:hAnsi="Times New Roman;serif"/>
          <w:b/>
          <w:sz w:val="22"/>
        </w:rPr>
        <w:t>Other intangible assets</w:t>
      </w:r>
    </w:p>
    <w:p>
      <w:pPr>
        <w:pStyle w:val="TextBody"/>
        <w:spacing w:before="120" w:after="0"/>
        <w:jc w:val="both"/>
        <w:rPr>
          <w:rFonts w:ascii="Times New Roman" w:hAnsi="Times New Roman"/>
          <w:sz w:val="20"/>
        </w:rPr>
      </w:pPr>
      <w:r>
        <w:rPr>
          <w:rFonts w:ascii="Times New Roman;serif" w:hAnsi="Times New Roman;serif"/>
          <w:b w:val="false"/>
          <w:sz w:val="22"/>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w:t>
      </w:r>
      <w:r>
        <w:rPr>
          <w:rFonts w:ascii="Times New Roman" w:hAnsi="Times New Roman"/>
          <w:sz w:val="20"/>
        </w:rPr>
        <w:t xml:space="preserve"> </w:t>
      </w:r>
      <w:r>
        <w:rPr>
          <w:rFonts w:ascii="Times New Roman;serif" w:hAnsi="Times New Roman;serif"/>
          <w:b w:val="false"/>
          <w:sz w:val="22"/>
        </w:rPr>
        <w:t>to 20 years, intellectual property over 3</w:t>
      </w:r>
      <w:r>
        <w:rPr>
          <w:rFonts w:ascii="Times New Roman" w:hAnsi="Times New Roman"/>
          <w:sz w:val="20"/>
        </w:rPr>
        <w:t xml:space="preserve"> </w:t>
      </w:r>
      <w:r>
        <w:rPr>
          <w:rFonts w:ascii="Times New Roman;serif" w:hAnsi="Times New Roman;serif"/>
          <w:b w:val="false"/>
          <w:sz w:val="22"/>
        </w:rPr>
        <w:t>to 20 years, and customer and supplier relationships over 10</w:t>
      </w:r>
      <w:r>
        <w:rPr>
          <w:rFonts w:ascii="Times New Roman" w:hAnsi="Times New Roman"/>
          <w:sz w:val="20"/>
        </w:rPr>
        <w:t xml:space="preserve"> </w:t>
      </w:r>
      <w:r>
        <w:rPr>
          <w:rFonts w:ascii="Times New Roman;serif" w:hAnsi="Times New Roman;serif"/>
          <w:b w:val="false"/>
          <w:sz w:val="22"/>
        </w:rPr>
        <w:t>to 24 years.</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annually reviews, as of July 1, indefinite-lived intangible assets for possible impairment or whenever events or changes in circumstances indicate that carrying amounts may not be recoverable.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No indicators of impairment were identified in the three and six months ended March 31, 2023.</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Other intangible assets were comprised of the following as of March 31, 2023 and September 30, 2022.</w:t>
      </w:r>
    </w:p>
    <w:p>
      <w:pPr>
        <w:pStyle w:val="TextBody"/>
        <w:spacing w:before="0" w:after="0"/>
        <w:jc w:val="both"/>
        <w:rPr/>
      </w:pPr>
      <w:r>
        <w:rPr/>
        <w:t> </w:t>
      </w:r>
    </w:p>
    <w:tbl>
      <w:tblPr>
        <w:tblW w:w="6690" w:type="dxa"/>
        <w:jc w:val="left"/>
        <w:tblInd w:w="0" w:type="dxa"/>
        <w:tblCellMar>
          <w:top w:w="28" w:type="dxa"/>
          <w:left w:w="28" w:type="dxa"/>
          <w:bottom w:w="28" w:type="dxa"/>
          <w:right w:w="28" w:type="dxa"/>
        </w:tblCellMar>
      </w:tblPr>
      <w:tblGrid>
        <w:gridCol w:w="3046"/>
        <w:gridCol w:w="211"/>
        <w:gridCol w:w="571"/>
        <w:gridCol w:w="146"/>
        <w:gridCol w:w="146"/>
        <w:gridCol w:w="297"/>
        <w:gridCol w:w="889"/>
        <w:gridCol w:w="166"/>
        <w:gridCol w:w="146"/>
        <w:gridCol w:w="260"/>
        <w:gridCol w:w="521"/>
        <w:gridCol w:w="291"/>
      </w:tblGrid>
      <w:tr>
        <w:trPr/>
        <w:tc>
          <w:tcPr>
            <w:tcW w:w="30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0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3353"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2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Net</w:t>
            </w:r>
          </w:p>
        </w:tc>
        <w:tc>
          <w:tcPr>
            <w:tcW w:w="291" w:type="dxa"/>
            <w:tcBorders/>
            <w:shd w:fill="auto" w:val="cle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carrying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carrying</w:t>
            </w:r>
          </w:p>
        </w:tc>
        <w:tc>
          <w:tcPr>
            <w:tcW w:w="291" w:type="dxa"/>
            <w:tcBorders/>
            <w:shd w:fill="auto" w:val="clear"/>
            <w:vAlign w:val="center"/>
          </w:tcPr>
          <w:p>
            <w:pPr>
              <w:pStyle w:val="TableContents"/>
              <w:spacing w:before="0" w:after="0"/>
              <w:ind w:left="0" w:right="0" w:hanging="0"/>
              <w:jc w:val="center"/>
              <w:rPr/>
            </w:pPr>
            <w:r>
              <w:rPr/>
              <w:t> </w:t>
            </w:r>
          </w:p>
        </w:tc>
      </w:tr>
      <w:tr>
        <w:trPr/>
        <w:tc>
          <w:tcPr>
            <w:tcW w:w="3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Definite-lived intangibles</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Trademarks and trade names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91" w:type="dxa"/>
            <w:tcBorders/>
            <w:shd w:fill="auto" w:val="clear"/>
            <w:vAlign w:val="center"/>
          </w:tcPr>
          <w:p>
            <w:pPr>
              <w:pStyle w:val="TableContents"/>
              <w:spacing w:before="0" w:after="0"/>
              <w:ind w:left="0" w:right="0" w:firstLine="100"/>
              <w:jc w:val="lef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Intellectual property</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291" w:type="dxa"/>
            <w:tcBorders/>
            <w:shd w:fill="auto" w:val="clear"/>
            <w:vAlign w:val="center"/>
          </w:tcPr>
          <w:p>
            <w:pPr>
              <w:pStyle w:val="TableContents"/>
              <w:spacing w:before="0" w:after="0"/>
              <w:ind w:left="0" w:right="0" w:firstLine="100"/>
              <w:jc w:val="lef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Customer and supplier relationships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definite-lived intangibles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283"/>
              <w:ind w:left="0" w:right="0" w:hanging="0"/>
              <w:rPr>
                <w:sz w:val="4"/>
                <w:szCs w:val="4"/>
              </w:rPr>
            </w:pPr>
            <w:r>
              <w:rPr>
                <w:sz w:val="4"/>
                <w:szCs w:val="4"/>
              </w:rPr>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Indefinite-lived intangibles</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Trademarks and trade names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tbl>
      <w:tblPr>
        <w:tblW w:w="6690" w:type="dxa"/>
        <w:jc w:val="left"/>
        <w:tblInd w:w="0" w:type="dxa"/>
        <w:tblCellMar>
          <w:top w:w="28" w:type="dxa"/>
          <w:left w:w="28" w:type="dxa"/>
          <w:bottom w:w="28" w:type="dxa"/>
          <w:right w:w="28" w:type="dxa"/>
        </w:tblCellMar>
      </w:tblPr>
      <w:tblGrid>
        <w:gridCol w:w="3046"/>
        <w:gridCol w:w="211"/>
        <w:gridCol w:w="571"/>
        <w:gridCol w:w="146"/>
        <w:gridCol w:w="146"/>
        <w:gridCol w:w="361"/>
        <w:gridCol w:w="825"/>
        <w:gridCol w:w="166"/>
        <w:gridCol w:w="146"/>
        <w:gridCol w:w="260"/>
        <w:gridCol w:w="521"/>
        <w:gridCol w:w="291"/>
      </w:tblGrid>
      <w:tr>
        <w:trPr/>
        <w:tc>
          <w:tcPr>
            <w:tcW w:w="30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0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3353"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30, 2022</w:t>
            </w:r>
          </w:p>
        </w:tc>
        <w:tc>
          <w:tcPr>
            <w:tcW w:w="2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Net</w:t>
            </w:r>
          </w:p>
        </w:tc>
        <w:tc>
          <w:tcPr>
            <w:tcW w:w="291" w:type="dxa"/>
            <w:tcBorders/>
            <w:shd w:fill="auto" w:val="cle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carrying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carrying</w:t>
            </w:r>
          </w:p>
        </w:tc>
        <w:tc>
          <w:tcPr>
            <w:tcW w:w="291" w:type="dxa"/>
            <w:tcBorders/>
            <w:shd w:fill="auto" w:val="clear"/>
            <w:vAlign w:val="center"/>
          </w:tcPr>
          <w:p>
            <w:pPr>
              <w:pStyle w:val="TableContents"/>
              <w:spacing w:before="0" w:after="0"/>
              <w:ind w:left="0" w:right="0" w:hanging="0"/>
              <w:jc w:val="center"/>
              <w:rPr/>
            </w:pPr>
            <w:r>
              <w:rPr/>
              <w:t> </w:t>
            </w:r>
          </w:p>
        </w:tc>
      </w:tr>
      <w:tr>
        <w:trPr/>
        <w:tc>
          <w:tcPr>
            <w:tcW w:w="3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Definite-lived intangibles</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Trademarks and trade names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91" w:type="dxa"/>
            <w:tcBorders/>
            <w:shd w:fill="auto" w:val="clear"/>
            <w:vAlign w:val="center"/>
          </w:tcPr>
          <w:p>
            <w:pPr>
              <w:pStyle w:val="TableContents"/>
              <w:spacing w:before="0" w:after="0"/>
              <w:ind w:left="0" w:right="0" w:firstLine="100"/>
              <w:jc w:val="lef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Intellectual property</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291" w:type="dxa"/>
            <w:tcBorders/>
            <w:shd w:fill="auto" w:val="clear"/>
            <w:vAlign w:val="center"/>
          </w:tcPr>
          <w:p>
            <w:pPr>
              <w:pStyle w:val="TableContents"/>
              <w:spacing w:before="0" w:after="0"/>
              <w:ind w:left="0" w:right="0" w:firstLine="100"/>
              <w:jc w:val="lef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Customer and supplier relationships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definite-lived intangibles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Indefinite-lived intangibles</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Trademarks and trade names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963</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2"/>
        </w:rPr>
        <w:t>Amortization expense recognized on intangible assets was</w:t>
      </w:r>
      <w:r>
        <w:rPr>
          <w:rFonts w:ascii="Times New Roman" w:hAnsi="Times New Roman"/>
          <w:sz w:val="20"/>
        </w:rPr>
        <w:t xml:space="preserve"> </w:t>
      </w:r>
      <w:r>
        <w:rPr>
          <w:rFonts w:ascii="Times New Roman;serif" w:hAnsi="Times New Roman;serif"/>
          <w:b w:val="false"/>
          <w:sz w:val="22"/>
        </w:rPr>
        <w:t>$23</w:t>
      </w:r>
      <w:r>
        <w:rPr>
          <w:rFonts w:ascii="Times New Roman" w:hAnsi="Times New Roman"/>
          <w:sz w:val="20"/>
        </w:rPr>
        <w:t xml:space="preserve"> </w:t>
      </w:r>
      <w:r>
        <w:rPr>
          <w:rFonts w:ascii="Times New Roman;serif" w:hAnsi="Times New Roman;serif"/>
          <w:b w:val="false"/>
          <w:sz w:val="22"/>
        </w:rPr>
        <w:t>million and $24</w:t>
      </w:r>
      <w:r>
        <w:rPr>
          <w:rFonts w:ascii="Times New Roman" w:hAnsi="Times New Roman"/>
          <w:sz w:val="20"/>
        </w:rPr>
        <w:t xml:space="preserve"> </w:t>
      </w:r>
      <w:r>
        <w:rPr>
          <w:rFonts w:ascii="Times New Roman;serif" w:hAnsi="Times New Roman;serif"/>
          <w:b w:val="false"/>
          <w:sz w:val="22"/>
        </w:rPr>
        <w:t>million for the three months ended March 31, 2023</w:t>
      </w:r>
      <w:r>
        <w:rPr>
          <w:rFonts w:ascii="Times New Roman" w:hAnsi="Times New Roman"/>
          <w:sz w:val="20"/>
        </w:rPr>
        <w:t xml:space="preserve"> </w:t>
      </w:r>
      <w:r>
        <w:rPr>
          <w:rFonts w:ascii="Times New Roman;serif" w:hAnsi="Times New Roman;serif"/>
          <w:b w:val="false"/>
          <w:sz w:val="22"/>
        </w:rPr>
        <w:t>and 2022, respectively, and $46</w:t>
      </w:r>
      <w:r>
        <w:rPr>
          <w:rFonts w:ascii="Times New Roman" w:hAnsi="Times New Roman"/>
          <w:sz w:val="20"/>
        </w:rPr>
        <w:t xml:space="preserve"> </w:t>
      </w:r>
      <w:r>
        <w:rPr>
          <w:rFonts w:ascii="Times New Roman;serif" w:hAnsi="Times New Roman;serif"/>
          <w:b w:val="false"/>
          <w:sz w:val="22"/>
        </w:rPr>
        <w:t>million and $47</w:t>
      </w:r>
      <w:r>
        <w:rPr>
          <w:rFonts w:ascii="Times New Roman" w:hAnsi="Times New Roman"/>
          <w:sz w:val="20"/>
        </w:rPr>
        <w:t xml:space="preserve"> </w:t>
      </w:r>
      <w:r>
        <w:rPr>
          <w:rFonts w:ascii="Times New Roman;serif" w:hAnsi="Times New Roman;serif"/>
          <w:b w:val="false"/>
          <w:sz w:val="22"/>
        </w:rPr>
        <w:t>million for the six months ended March 31, 2023</w:t>
      </w:r>
      <w:r>
        <w:rPr>
          <w:rFonts w:ascii="Times New Roman" w:hAnsi="Times New Roman"/>
          <w:sz w:val="20"/>
        </w:rPr>
        <w:t xml:space="preserve"> </w:t>
      </w:r>
      <w:r>
        <w:rPr>
          <w:rFonts w:ascii="Times New Roman;serif" w:hAnsi="Times New Roman;serif"/>
          <w:b w:val="false"/>
          <w:sz w:val="22"/>
        </w:rPr>
        <w:t>and 2022, respectively, and is included in the intangibles amortization expense caption of the Statements of Consolidated Comprehensive Income (Loss). Estimated amortization expense for future periods is $93</w:t>
      </w:r>
      <w:r>
        <w:rPr>
          <w:rFonts w:ascii="Times New Roman" w:hAnsi="Times New Roman"/>
          <w:sz w:val="20"/>
        </w:rPr>
        <w:t xml:space="preserve"> </w:t>
      </w:r>
      <w:r>
        <w:rPr>
          <w:rFonts w:ascii="Times New Roman;serif" w:hAnsi="Times New Roman;serif"/>
          <w:b w:val="false"/>
          <w:sz w:val="22"/>
        </w:rPr>
        <w:t>million in 2023 (includes six</w:t>
      </w:r>
      <w:r>
        <w:rPr>
          <w:rFonts w:ascii="Times New Roman" w:hAnsi="Times New Roman"/>
          <w:sz w:val="20"/>
        </w:rPr>
        <w:t xml:space="preserve"> </w:t>
      </w:r>
      <w:r>
        <w:rPr>
          <w:rFonts w:ascii="Times New Roman;serif" w:hAnsi="Times New Roman;serif"/>
          <w:b w:val="false"/>
          <w:sz w:val="22"/>
        </w:rPr>
        <w:t>months actual and six months estimated), $79</w:t>
      </w:r>
      <w:r>
        <w:rPr>
          <w:rFonts w:ascii="Times New Roman" w:hAnsi="Times New Roman"/>
          <w:sz w:val="20"/>
        </w:rPr>
        <w:t xml:space="preserve"> </w:t>
      </w:r>
      <w:r>
        <w:rPr>
          <w:rFonts w:ascii="Times New Roman;serif" w:hAnsi="Times New Roman;serif"/>
          <w:b w:val="false"/>
          <w:sz w:val="22"/>
        </w:rPr>
        <w:t>million in 2024, $74</w:t>
      </w:r>
      <w:r>
        <w:rPr>
          <w:rFonts w:ascii="Times New Roman" w:hAnsi="Times New Roman"/>
          <w:sz w:val="20"/>
        </w:rPr>
        <w:t xml:space="preserve"> </w:t>
      </w:r>
      <w:r>
        <w:rPr>
          <w:rFonts w:ascii="Times New Roman;serif" w:hAnsi="Times New Roman;serif"/>
          <w:b w:val="false"/>
          <w:sz w:val="22"/>
        </w:rPr>
        <w:t>million in 2025, $71</w:t>
      </w:r>
      <w:r>
        <w:rPr>
          <w:rFonts w:ascii="Times New Roman" w:hAnsi="Times New Roman"/>
          <w:sz w:val="20"/>
        </w:rPr>
        <w:t xml:space="preserve"> </w:t>
      </w:r>
      <w:r>
        <w:rPr>
          <w:rFonts w:ascii="Times New Roman;serif" w:hAnsi="Times New Roman;serif"/>
          <w:b w:val="false"/>
          <w:sz w:val="22"/>
        </w:rPr>
        <w:t>million in 2026 and $50</w:t>
      </w:r>
      <w:r>
        <w:rPr>
          <w:rFonts w:ascii="Times New Roman" w:hAnsi="Times New Roman"/>
          <w:sz w:val="20"/>
        </w:rPr>
        <w:t xml:space="preserve"> </w:t>
      </w:r>
      <w:r>
        <w:rPr>
          <w:rFonts w:ascii="Times New Roman;serif" w:hAnsi="Times New Roman;serif"/>
          <w:b w:val="false"/>
          <w:sz w:val="22"/>
        </w:rPr>
        <w:t>million in 2027. Actual amounts may change from such estimated amounts due to fluctuations in foreign currency exchange rates, additional intangible asset acquisitions and divestitures, potential impairment, accelerated amortization, or other events.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240" w:after="0"/>
        <w:jc w:val="both"/>
        <w:rPr>
          <w:rFonts w:ascii="Times New Roman;serif" w:hAnsi="Times New Roman;serif"/>
          <w:b/>
          <w:sz w:val="22"/>
        </w:rPr>
      </w:pPr>
      <w:r>
        <w:rPr>
          <w:rFonts w:ascii="Times New Roman;serif" w:hAnsi="Times New Roman;serif"/>
          <w:b/>
          <w:sz w:val="22"/>
        </w:rPr>
        <w:t>NOTE H – DEBT AND OTHER FINANCING ACTIVITIES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summarizes Ashland’s current and long-term debt as of the dates reported in the Condensed Consolidated Balance Sheets.</w:t>
      </w:r>
    </w:p>
    <w:p>
      <w:pPr>
        <w:pStyle w:val="TextBody"/>
        <w:spacing w:before="0" w:after="0"/>
        <w:jc w:val="both"/>
        <w:rPr/>
      </w:pPr>
      <w:r>
        <w:rPr/>
        <w:t> </w:t>
      </w:r>
    </w:p>
    <w:tbl>
      <w:tblPr>
        <w:tblW w:w="8740" w:type="dxa"/>
        <w:jc w:val="left"/>
        <w:tblInd w:w="0" w:type="dxa"/>
        <w:tblCellMar>
          <w:top w:w="28" w:type="dxa"/>
          <w:left w:w="28" w:type="dxa"/>
          <w:bottom w:w="28" w:type="dxa"/>
          <w:right w:w="28" w:type="dxa"/>
        </w:tblCellMar>
      </w:tblPr>
      <w:tblGrid>
        <w:gridCol w:w="4951"/>
        <w:gridCol w:w="146"/>
        <w:gridCol w:w="376"/>
        <w:gridCol w:w="1019"/>
        <w:gridCol w:w="166"/>
        <w:gridCol w:w="146"/>
        <w:gridCol w:w="465"/>
        <w:gridCol w:w="1260"/>
        <w:gridCol w:w="211"/>
      </w:tblGrid>
      <w:tr>
        <w:trPr/>
        <w:tc>
          <w:tcPr>
            <w:tcW w:w="4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95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39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2023</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172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September 30, 2022</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3.375% Senior Notes, due 2031</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2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2.00% Senior Notes, due 2028</w:t>
            </w:r>
            <w:r>
              <w:rPr>
                <w:rFonts w:ascii="Times New Roman" w:hAnsi="Times New Roman"/>
                <w:sz w:val="20"/>
              </w:rPr>
              <w:t> </w:t>
            </w:r>
            <w:r>
              <w:rPr>
                <w:rFonts w:ascii="Times New Roman;serif" w:hAnsi="Times New Roman;serif"/>
                <w:b w:val="false"/>
                <w:sz w:val="20"/>
              </w:rPr>
              <w:t>(Euro 500</w:t>
            </w:r>
            <w:r>
              <w:rPr>
                <w:rFonts w:ascii="Times New Roman" w:hAnsi="Times New Roman"/>
                <w:sz w:val="20"/>
              </w:rPr>
              <w:t> </w:t>
            </w:r>
            <w:r>
              <w:rPr>
                <w:rFonts w:ascii="Times New Roman;serif" w:hAnsi="Times New Roman;serif"/>
                <w:b w:val="false"/>
                <w:sz w:val="20"/>
              </w:rPr>
              <w:t>million principal)</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2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6.875% notes, due 2043</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2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6.50% junior subordinated notes, due 2029</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Other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debt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2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debt (includes 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(less current portion)</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rFonts w:ascii="Times New Roman;serif" w:hAnsi="Times New Roman;serif"/>
          <w:sz w:val="22"/>
        </w:rPr>
      </w:pPr>
      <w:r>
        <w:rPr>
          <w:rFonts w:ascii="Times New Roman;serif" w:hAnsi="Times New Roman;serif"/>
          <w:b w:val="false"/>
          <w:sz w:val="16"/>
        </w:rPr>
        <w:t>Other includes $14</w:t>
      </w:r>
      <w:r>
        <w:rPr>
          <w:rFonts w:ascii="Times New Roman;serif" w:hAnsi="Times New Roman;serif"/>
          <w:sz w:val="22"/>
        </w:rPr>
        <w:t xml:space="preserve"> </w:t>
      </w:r>
      <w:r>
        <w:rPr>
          <w:rFonts w:ascii="Times New Roman;serif" w:hAnsi="Times New Roman;serif"/>
          <w:b w:val="false"/>
          <w:sz w:val="16"/>
        </w:rPr>
        <w:t>million of debt issuance costs as of March 31, 2023 and September 30, 2022, respectively.</w:t>
      </w:r>
    </w:p>
    <w:p>
      <w:pPr>
        <w:pStyle w:val="TextBody"/>
        <w:spacing w:before="120" w:after="0"/>
        <w:jc w:val="both"/>
        <w:rPr>
          <w:rFonts w:ascii="Times New Roman" w:hAnsi="Times New Roman"/>
          <w:sz w:val="20"/>
        </w:rPr>
      </w:pPr>
      <w:r>
        <w:rPr>
          <w:rFonts w:ascii="Times New Roman;serif" w:hAnsi="Times New Roman;serif"/>
          <w:b w:val="false"/>
          <w:sz w:val="22"/>
        </w:rPr>
        <w:t>The scheduled aggregate maturities to 2027 for long-term debt by year (including the current portion and excluding debt issuance costs) are as follows as of March 31, 2023: zero</w:t>
      </w:r>
      <w:r>
        <w:rPr>
          <w:rFonts w:ascii="Times New Roman" w:hAnsi="Times New Roman"/>
          <w:sz w:val="20"/>
        </w:rPr>
        <w:t xml:space="preserve"> </w:t>
      </w:r>
      <w:r>
        <w:rPr>
          <w:rFonts w:ascii="Times New Roman;serif" w:hAnsi="Times New Roman;serif"/>
          <w:b w:val="false"/>
          <w:sz w:val="22"/>
        </w:rPr>
        <w:t>in the next 4 years and $4</w:t>
      </w:r>
      <w:r>
        <w:rPr>
          <w:rFonts w:ascii="Times New Roman" w:hAnsi="Times New Roman"/>
          <w:sz w:val="20"/>
        </w:rPr>
        <w:t xml:space="preserve"> </w:t>
      </w:r>
      <w:r>
        <w:rPr>
          <w:rFonts w:ascii="Times New Roman;serif" w:hAnsi="Times New Roman;serif"/>
          <w:b w:val="false"/>
          <w:sz w:val="22"/>
        </w:rPr>
        <w:t>million in 2027.</w:t>
      </w:r>
    </w:p>
    <w:p>
      <w:pPr>
        <w:pStyle w:val="TextBody"/>
        <w:spacing w:before="120" w:after="0"/>
        <w:jc w:val="both"/>
        <w:rPr>
          <w:rFonts w:ascii="Times New Roman;serif" w:hAnsi="Times New Roman;serif"/>
          <w:b/>
          <w:sz w:val="22"/>
        </w:rPr>
      </w:pPr>
      <w:r>
        <w:rPr>
          <w:rFonts w:ascii="Times New Roman;serif" w:hAnsi="Times New Roman;serif"/>
          <w:b/>
          <w:sz w:val="22"/>
        </w:rPr>
        <w:t>Accounts Receivable Facilities and Off-Balance Sheet Arrangements</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U.S. Accounts Receivable Sales Program</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continues to maintain its U.S. Accounts Receivable Sales Program entered into during fiscal 2021.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Condensed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pStyle w:val="TextBody"/>
        <w:spacing w:before="120" w:after="0"/>
        <w:jc w:val="both"/>
        <w:rPr>
          <w:rFonts w:ascii="Times New Roman" w:hAnsi="Times New Roman"/>
          <w:sz w:val="20"/>
        </w:rPr>
      </w:pPr>
      <w:r>
        <w:rPr>
          <w:rFonts w:ascii="Times New Roman;serif" w:hAnsi="Times New Roman;serif"/>
          <w:b w:val="false"/>
          <w:sz w:val="22"/>
        </w:rPr>
        <w:t>Ashland recognized a loss of less than $1</w:t>
      </w:r>
      <w:r>
        <w:rPr>
          <w:rFonts w:ascii="Times New Roman" w:hAnsi="Times New Roman"/>
          <w:sz w:val="20"/>
        </w:rPr>
        <w:t xml:space="preserve"> </w:t>
      </w:r>
      <w:r>
        <w:rPr>
          <w:rFonts w:ascii="Times New Roman;serif" w:hAnsi="Times New Roman;serif"/>
          <w:b w:val="false"/>
          <w:sz w:val="22"/>
        </w:rPr>
        <w:t>million within the Statements of Consolidated Comprehensive Income (Loss) for the three months ended March 31, 2023</w:t>
      </w:r>
      <w:r>
        <w:rPr>
          <w:rFonts w:ascii="Times New Roman" w:hAnsi="Times New Roman"/>
          <w:sz w:val="20"/>
        </w:rPr>
        <w:t xml:space="preserve"> </w:t>
      </w:r>
      <w:r>
        <w:rPr>
          <w:rFonts w:ascii="Times New Roman;serif" w:hAnsi="Times New Roman;serif"/>
          <w:b w:val="false"/>
          <w:sz w:val="22"/>
        </w:rPr>
        <w:t>and March 31, 2022, respectively, and $1</w:t>
      </w:r>
      <w:r>
        <w:rPr>
          <w:rFonts w:ascii="Times New Roman" w:hAnsi="Times New Roman"/>
          <w:sz w:val="20"/>
        </w:rPr>
        <w:t xml:space="preserve"> </w:t>
      </w:r>
      <w:r>
        <w:rPr>
          <w:rFonts w:ascii="Times New Roman;serif" w:hAnsi="Times New Roman;serif"/>
          <w:b w:val="false"/>
          <w:sz w:val="22"/>
        </w:rPr>
        <w:t>million and less than $1</w:t>
      </w:r>
      <w:r>
        <w:rPr>
          <w:rFonts w:ascii="Times New Roman" w:hAnsi="Times New Roman"/>
          <w:sz w:val="20"/>
        </w:rPr>
        <w:t xml:space="preserve"> </w:t>
      </w:r>
      <w:r>
        <w:rPr>
          <w:rFonts w:ascii="Times New Roman;serif" w:hAnsi="Times New Roman;serif"/>
          <w:b w:val="false"/>
          <w:sz w:val="22"/>
        </w:rPr>
        <w:t>million for the six months ended March 31, 2023 and March 31, 2022, respectively, within the net interest and other expense (income) caption associated with sales under the program. Ashland has recorded $88</w:t>
      </w:r>
      <w:r>
        <w:rPr>
          <w:rFonts w:ascii="Times New Roman" w:hAnsi="Times New Roman"/>
          <w:sz w:val="20"/>
        </w:rPr>
        <w:t xml:space="preserve"> </w:t>
      </w:r>
      <w:r>
        <w:rPr>
          <w:rFonts w:ascii="Times New Roman;serif" w:hAnsi="Times New Roman;serif"/>
          <w:b w:val="false"/>
          <w:sz w:val="22"/>
        </w:rPr>
        <w:t>million in sales at March 31, 2023</w:t>
      </w:r>
      <w:r>
        <w:rPr>
          <w:rFonts w:ascii="Times New Roman" w:hAnsi="Times New Roman"/>
          <w:sz w:val="20"/>
        </w:rPr>
        <w:t xml:space="preserve"> </w:t>
      </w:r>
      <w:r>
        <w:rPr>
          <w:rFonts w:ascii="Times New Roman;serif" w:hAnsi="Times New Roman;serif"/>
          <w:b w:val="false"/>
          <w:sz w:val="22"/>
        </w:rPr>
        <w:t>against the buyer’s limit, which was $125</w:t>
      </w:r>
      <w:r>
        <w:rPr>
          <w:rFonts w:ascii="Times New Roman" w:hAnsi="Times New Roman"/>
          <w:sz w:val="20"/>
        </w:rPr>
        <w:t xml:space="preserve"> </w:t>
      </w:r>
      <w:r>
        <w:rPr>
          <w:rFonts w:ascii="Times New Roman;serif" w:hAnsi="Times New Roman;serif"/>
          <w:b w:val="false"/>
          <w:sz w:val="22"/>
        </w:rPr>
        <w:t>million at March 31, 2023</w:t>
      </w:r>
      <w:r>
        <w:rPr>
          <w:rFonts w:ascii="Times New Roman" w:hAnsi="Times New Roman"/>
          <w:sz w:val="20"/>
        </w:rPr>
        <w:t xml:space="preserve"> </w:t>
      </w:r>
      <w:r>
        <w:rPr>
          <w:rFonts w:ascii="Times New Roman;serif" w:hAnsi="Times New Roman;serif"/>
          <w:b w:val="false"/>
          <w:sz w:val="22"/>
        </w:rPr>
        <w:t>compared to $110</w:t>
      </w:r>
      <w:r>
        <w:rPr>
          <w:rFonts w:ascii="Times New Roman" w:hAnsi="Times New Roman"/>
          <w:sz w:val="20"/>
        </w:rPr>
        <w:t xml:space="preserve"> </w:t>
      </w:r>
      <w:r>
        <w:rPr>
          <w:rFonts w:ascii="Times New Roman;serif" w:hAnsi="Times New Roman;serif"/>
          <w:b w:val="false"/>
          <w:sz w:val="22"/>
        </w:rPr>
        <w:t>million of sales at September 30, 2022 against the buyer's limit, which was $125</w:t>
      </w:r>
      <w:r>
        <w:rPr>
          <w:rFonts w:ascii="Times New Roman" w:hAnsi="Times New Roman"/>
          <w:sz w:val="20"/>
        </w:rPr>
        <w:t xml:space="preserve"> </w:t>
      </w:r>
      <w:r>
        <w:rPr>
          <w:rFonts w:ascii="Times New Roman;serif" w:hAnsi="Times New Roman;serif"/>
          <w:b w:val="false"/>
          <w:sz w:val="22"/>
        </w:rPr>
        <w:t>million at September 30, 2022. Ashland transferred $113</w:t>
      </w:r>
      <w:r>
        <w:rPr>
          <w:rFonts w:ascii="Times New Roman" w:hAnsi="Times New Roman"/>
          <w:sz w:val="20"/>
        </w:rPr>
        <w:t xml:space="preserve"> </w:t>
      </w:r>
      <w:r>
        <w:rPr>
          <w:rFonts w:ascii="Times New Roman;serif" w:hAnsi="Times New Roman;serif"/>
          <w:b w:val="false"/>
          <w:sz w:val="22"/>
        </w:rPr>
        <w:t>million and $136</w:t>
      </w:r>
      <w:r>
        <w:rPr>
          <w:rFonts w:ascii="Times New Roman" w:hAnsi="Times New Roman"/>
          <w:sz w:val="20"/>
        </w:rPr>
        <w:t xml:space="preserve"> </w:t>
      </w:r>
      <w:r>
        <w:rPr>
          <w:rFonts w:ascii="Times New Roman;serif" w:hAnsi="Times New Roman;serif"/>
          <w:b w:val="false"/>
          <w:sz w:val="22"/>
        </w:rPr>
        <w:t>million in receivables to the special purpose entity (SPE) as of March 31, 2023 and September 30, 2022, respectively. Ashland recorded liabilities related to its service obligations and limited guarantee as of March 31, 2023 and September 30, 2022</w:t>
      </w:r>
      <w:r>
        <w:rPr>
          <w:rFonts w:ascii="Times New Roman" w:hAnsi="Times New Roman"/>
          <w:sz w:val="20"/>
        </w:rPr>
        <w:t xml:space="preserve"> </w:t>
      </w:r>
      <w:r>
        <w:rPr>
          <w:rFonts w:ascii="Times New Roman;serif" w:hAnsi="Times New Roman;serif"/>
          <w:b w:val="false"/>
          <w:sz w:val="22"/>
        </w:rPr>
        <w:t>of less than $1</w:t>
      </w:r>
      <w:r>
        <w:rPr>
          <w:rFonts w:ascii="Times New Roman" w:hAnsi="Times New Roman"/>
          <w:sz w:val="20"/>
        </w:rPr>
        <w:t xml:space="preserve"> </w:t>
      </w:r>
      <w:r>
        <w:rPr>
          <w:rFonts w:ascii="Times New Roman;serif" w:hAnsi="Times New Roman;serif"/>
          <w:b w:val="false"/>
          <w:sz w:val="22"/>
        </w:rPr>
        <w:t>million. As of March 31, 2023, the year-to-date gross cash proceeds received for receivables transferred and derecognized was $99</w:t>
      </w:r>
      <w:r>
        <w:rPr>
          <w:rFonts w:ascii="Times New Roman" w:hAnsi="Times New Roman"/>
          <w:sz w:val="20"/>
        </w:rPr>
        <w:t xml:space="preserve"> </w:t>
      </w:r>
      <w:r>
        <w:rPr>
          <w:rFonts w:ascii="Times New Roman;serif" w:hAnsi="Times New Roman;serif"/>
          <w:b w:val="false"/>
          <w:sz w:val="22"/>
        </w:rPr>
        <w:t>million, of which $122</w:t>
      </w:r>
      <w:r>
        <w:rPr>
          <w:rFonts w:ascii="Times New Roman" w:hAnsi="Times New Roman"/>
          <w:sz w:val="20"/>
        </w:rPr>
        <w:t xml:space="preserve"> </w:t>
      </w:r>
      <w:r>
        <w:rPr>
          <w:rFonts w:ascii="Times New Roman;serif" w:hAnsi="Times New Roman;serif"/>
          <w:b w:val="false"/>
          <w:sz w:val="22"/>
        </w:rPr>
        <w:t>million was collected, which includes collections from the sales in prior year transferred to the buyer. The difference of $22</w:t>
      </w:r>
      <w:r>
        <w:rPr>
          <w:rFonts w:ascii="Times New Roman" w:hAnsi="Times New Roman"/>
          <w:sz w:val="20"/>
        </w:rPr>
        <w:t xml:space="preserve"> </w:t>
      </w:r>
      <w:r>
        <w:rPr>
          <w:rFonts w:ascii="Times New Roman;serif" w:hAnsi="Times New Roman;serif"/>
          <w:b w:val="false"/>
          <w:sz w:val="22"/>
        </w:rPr>
        <w:t>million represents the impact of a net reduction in accounts receivable sales volume during the current year.</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2"/>
        </w:rPr>
        <w:t>On April 14, 2023, Ashland entered into Second and Third Amendments associated with this current program. As part of this amendment the buyer's limit was reduced to $115</w:t>
      </w:r>
      <w:r>
        <w:rPr>
          <w:rFonts w:ascii="Times New Roman" w:hAnsi="Times New Roman"/>
          <w:sz w:val="20"/>
        </w:rPr>
        <w:t xml:space="preserve"> </w:t>
      </w:r>
      <w:r>
        <w:rPr>
          <w:rFonts w:ascii="Times New Roman;serif" w:hAnsi="Times New Roman;serif"/>
          <w:b w:val="false"/>
          <w:sz w:val="22"/>
        </w:rPr>
        <w:t>million between April and October of each year, and up to $100</w:t>
      </w:r>
      <w:r>
        <w:rPr>
          <w:rFonts w:ascii="Times New Roman" w:hAnsi="Times New Roman"/>
          <w:sz w:val="20"/>
        </w:rPr>
        <w:t xml:space="preserve"> </w:t>
      </w:r>
      <w:r>
        <w:rPr>
          <w:rFonts w:ascii="Times New Roman;serif" w:hAnsi="Times New Roman;serif"/>
          <w:b w:val="false"/>
          <w:sz w:val="22"/>
        </w:rPr>
        <w:t>million at all other times. Additionally, the scheduled termination date was extended from May 31, 2023 to April 14, 2025.</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Foreign Accounts Receivable Securitization Facility</w:t>
      </w:r>
    </w:p>
    <w:p>
      <w:pPr>
        <w:pStyle w:val="TextBody"/>
        <w:spacing w:before="120" w:after="0"/>
        <w:jc w:val="both"/>
        <w:rPr>
          <w:rFonts w:ascii="Times New Roman" w:hAnsi="Times New Roman"/>
          <w:sz w:val="20"/>
        </w:rPr>
      </w:pPr>
      <w:r>
        <w:rPr>
          <w:rFonts w:ascii="Times New Roman;serif" w:hAnsi="Times New Roman;serif"/>
          <w:b w:val="false"/>
          <w:sz w:val="22"/>
        </w:rPr>
        <w:t>Ashland continues to maintain its Foreign 2018 Accounts Receivable Securitization Facility. Ashland accounts for the Foreign 2018 Accounts Receivable Securitization Facility as secured borrowings, and the receivables sold pursuant to the facility are included in the Consolidated Balance Sheets as accounts receivable. At March 31, 2023</w:t>
      </w:r>
      <w:r>
        <w:rPr>
          <w:rFonts w:ascii="Times New Roman" w:hAnsi="Times New Roman"/>
          <w:sz w:val="20"/>
        </w:rPr>
        <w:t xml:space="preserve"> </w:t>
      </w:r>
      <w:r>
        <w:rPr>
          <w:rFonts w:ascii="Times New Roman;serif" w:hAnsi="Times New Roman;serif"/>
          <w:b w:val="false"/>
          <w:sz w:val="22"/>
        </w:rPr>
        <w:t>and September 30, 2022, the outstanding amounts of accounts receivable transferred by Ashland were $150</w:t>
      </w:r>
      <w:r>
        <w:rPr>
          <w:rFonts w:ascii="Times New Roman" w:hAnsi="Times New Roman"/>
          <w:sz w:val="20"/>
        </w:rPr>
        <w:t xml:space="preserve"> </w:t>
      </w:r>
      <w:r>
        <w:rPr>
          <w:rFonts w:ascii="Times New Roman;serif" w:hAnsi="Times New Roman;serif"/>
          <w:b w:val="false"/>
          <w:sz w:val="22"/>
        </w:rPr>
        <w:t>million and $162</w:t>
      </w:r>
      <w:r>
        <w:rPr>
          <w:rFonts w:ascii="Times New Roman" w:hAnsi="Times New Roman"/>
          <w:sz w:val="20"/>
        </w:rPr>
        <w:t xml:space="preserve"> </w:t>
      </w:r>
      <w:r>
        <w:rPr>
          <w:rFonts w:ascii="Times New Roman;serif" w:hAnsi="Times New Roman;serif"/>
          <w:b w:val="false"/>
          <w:sz w:val="22"/>
        </w:rPr>
        <w:t>million, respectively, and there were zero borrowings (denominated in multiple currencies) under the facility in both periods.</w:t>
      </w:r>
      <w:r>
        <w:rPr>
          <w:rFonts w:ascii="Times New Roman" w:hAnsi="Times New Roman"/>
          <w:sz w:val="20"/>
        </w:rPr>
        <w:t xml:space="preserve"> </w:t>
      </w:r>
    </w:p>
    <w:p>
      <w:pPr>
        <w:pStyle w:val="TextBody"/>
        <w:spacing w:before="120" w:after="0"/>
        <w:jc w:val="both"/>
        <w:rPr>
          <w:rFonts w:ascii="Times New Roman;serif" w:hAnsi="Times New Roman;serif"/>
          <w:b/>
          <w:sz w:val="22"/>
        </w:rPr>
      </w:pPr>
      <w:r>
        <w:rPr>
          <w:rFonts w:ascii="Times New Roman;serif" w:hAnsi="Times New Roman;serif"/>
          <w:b/>
          <w:sz w:val="22"/>
        </w:rPr>
        <w:t>Available borrowing capacity and liquidity</w:t>
      </w:r>
    </w:p>
    <w:p>
      <w:pPr>
        <w:pStyle w:val="TextBody"/>
        <w:spacing w:before="120" w:after="0"/>
        <w:jc w:val="both"/>
        <w:rPr>
          <w:rFonts w:ascii="Times New Roman" w:hAnsi="Times New Roman"/>
          <w:sz w:val="20"/>
        </w:rPr>
      </w:pPr>
      <w:r>
        <w:rPr>
          <w:rFonts w:ascii="Times New Roman;serif" w:hAnsi="Times New Roman;serif"/>
          <w:b w:val="false"/>
          <w:sz w:val="22"/>
        </w:rPr>
        <w:t>The borrowing capacity remaining under the 2022 Credit Agreement which included the $600</w:t>
      </w:r>
      <w:r>
        <w:rPr>
          <w:rFonts w:ascii="Times New Roman" w:hAnsi="Times New Roman"/>
          <w:sz w:val="20"/>
        </w:rPr>
        <w:t xml:space="preserve"> </w:t>
      </w:r>
      <w:r>
        <w:rPr>
          <w:rFonts w:ascii="Times New Roman;serif" w:hAnsi="Times New Roman;serif"/>
          <w:b w:val="false"/>
          <w:sz w:val="22"/>
        </w:rPr>
        <w:t>million Revolving Credit Facility was $582</w:t>
      </w:r>
      <w:r>
        <w:rPr>
          <w:rFonts w:ascii="Times New Roman" w:hAnsi="Times New Roman"/>
          <w:sz w:val="20"/>
        </w:rPr>
        <w:t xml:space="preserve"> </w:t>
      </w:r>
      <w:r>
        <w:rPr>
          <w:rFonts w:ascii="Times New Roman;serif" w:hAnsi="Times New Roman;serif"/>
          <w:b w:val="false"/>
          <w:sz w:val="22"/>
        </w:rPr>
        <w:t>million due to an outstanding balance of zero, as well as a reduction of $18</w:t>
      </w:r>
      <w:r>
        <w:rPr>
          <w:rFonts w:ascii="Times New Roman" w:hAnsi="Times New Roman"/>
          <w:sz w:val="20"/>
        </w:rPr>
        <w:t xml:space="preserve"> </w:t>
      </w:r>
      <w:r>
        <w:rPr>
          <w:rFonts w:ascii="Times New Roman;serif" w:hAnsi="Times New Roman;serif"/>
          <w:b w:val="false"/>
          <w:sz w:val="22"/>
        </w:rPr>
        <w:t>million for letters of credit outstanding as of March 31, 2023. Ashland's total borrowing capacity at March 31, 2023</w:t>
      </w:r>
      <w:r>
        <w:rPr>
          <w:rFonts w:ascii="Times New Roman" w:hAnsi="Times New Roman"/>
          <w:sz w:val="20"/>
        </w:rPr>
        <w:t xml:space="preserve"> </w:t>
      </w:r>
      <w:r>
        <w:rPr>
          <w:rFonts w:ascii="Times New Roman;serif" w:hAnsi="Times New Roman;serif"/>
          <w:b w:val="false"/>
          <w:sz w:val="22"/>
        </w:rPr>
        <w:t>was $690</w:t>
      </w:r>
      <w:r>
        <w:rPr>
          <w:rFonts w:ascii="Times New Roman" w:hAnsi="Times New Roman"/>
          <w:sz w:val="20"/>
        </w:rPr>
        <w:t xml:space="preserve"> </w:t>
      </w:r>
      <w:r>
        <w:rPr>
          <w:rFonts w:ascii="Times New Roman;serif" w:hAnsi="Times New Roman;serif"/>
          <w:b w:val="false"/>
          <w:sz w:val="22"/>
        </w:rPr>
        <w:t>million, which included $108</w:t>
      </w:r>
      <w:r>
        <w:rPr>
          <w:rFonts w:ascii="Times New Roman" w:hAnsi="Times New Roman"/>
          <w:sz w:val="20"/>
        </w:rPr>
        <w:t xml:space="preserve"> </w:t>
      </w:r>
      <w:r>
        <w:rPr>
          <w:rFonts w:ascii="Times New Roman;serif" w:hAnsi="Times New Roman;serif"/>
          <w:b w:val="false"/>
          <w:sz w:val="22"/>
        </w:rPr>
        <w:t>million of available capacity from the foreign 2018 Accounts Receivable Securitization Facility.</w:t>
      </w:r>
    </w:p>
    <w:p>
      <w:pPr>
        <w:pStyle w:val="TextBody"/>
        <w:spacing w:before="120" w:after="0"/>
        <w:jc w:val="both"/>
        <w:rPr>
          <w:rFonts w:ascii="Times New Roman" w:hAnsi="Times New Roman"/>
          <w:sz w:val="20"/>
        </w:rPr>
      </w:pPr>
      <w:r>
        <w:rPr>
          <w:rFonts w:ascii="Times New Roman;serif" w:hAnsi="Times New Roman;serif"/>
          <w:b w:val="false"/>
          <w:sz w:val="22"/>
        </w:rPr>
        <w:t>Additionally, Ashland had zero</w:t>
      </w:r>
      <w:r>
        <w:rPr>
          <w:rFonts w:ascii="Times New Roman" w:hAnsi="Times New Roman"/>
          <w:sz w:val="20"/>
        </w:rPr>
        <w:t xml:space="preserve"> </w:t>
      </w:r>
      <w:r>
        <w:rPr>
          <w:rFonts w:ascii="Times New Roman;serif" w:hAnsi="Times New Roman;serif"/>
          <w:b w:val="false"/>
          <w:sz w:val="22"/>
        </w:rPr>
        <w:t>available liquidity under its current U.S. Accounts Receivable Sales Program as of March 31, 2023.</w:t>
      </w:r>
    </w:p>
    <w:p>
      <w:pPr>
        <w:pStyle w:val="TextBody"/>
        <w:spacing w:before="120" w:after="0"/>
        <w:jc w:val="both"/>
        <w:rPr>
          <w:rFonts w:ascii="Times New Roman;serif" w:hAnsi="Times New Roman;serif"/>
          <w:b/>
          <w:sz w:val="22"/>
        </w:rPr>
      </w:pPr>
      <w:r>
        <w:rPr>
          <w:rFonts w:ascii="Times New Roman;serif" w:hAnsi="Times New Roman;serif"/>
          <w:b/>
          <w:sz w:val="22"/>
        </w:rPr>
        <w:t>Covenants related to current Ashland debt agreements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2023, Ashland is in compliance with all debt agreement covenant restrictions.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maximum consolidated net leverage ratio permitted under Ashland's current credit agreement (the 2022 Credit Agreement) is 4.0. At March 31, 2023, Ashland’s calculation of the consolidated net leverage ratio was 1.6.</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minimum required consolidated interest coverage ratio under the 2022 Credit Agreement during its entire duration is 3.0. At March 31, 2023, Ashland’s calculation of the interest coverage ratio was 10.6.</w:t>
      </w:r>
    </w:p>
    <w:p>
      <w:pPr>
        <w:pStyle w:val="TextBody"/>
        <w:spacing w:before="240" w:after="0"/>
        <w:jc w:val="both"/>
        <w:rPr>
          <w:rFonts w:ascii="Times New Roman" w:hAnsi="Times New Roman"/>
          <w:sz w:val="20"/>
        </w:rPr>
      </w:pPr>
      <w:r>
        <w:rPr>
          <w:rFonts w:ascii="Times New Roman;serif" w:hAnsi="Times New Roman;serif"/>
          <w:b/>
          <w:sz w:val="22"/>
        </w:rPr>
        <w:t>NOTE I – LEASING ARRANGEMENTS</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components of lease cost recognized within the Statements of Consolidated Comprehensive Income (Loss) were as follows:</w:t>
      </w:r>
    </w:p>
    <w:p>
      <w:pPr>
        <w:pStyle w:val="TextBody"/>
        <w:spacing w:before="0" w:after="0"/>
        <w:jc w:val="both"/>
        <w:rPr/>
      </w:pPr>
      <w:r>
        <w:rPr/>
        <w:t> </w:t>
      </w:r>
    </w:p>
    <w:tbl>
      <w:tblPr>
        <w:tblW w:w="8709" w:type="dxa"/>
        <w:jc w:val="left"/>
        <w:tblInd w:w="0" w:type="dxa"/>
        <w:tblCellMar>
          <w:top w:w="28" w:type="dxa"/>
          <w:left w:w="28" w:type="dxa"/>
          <w:bottom w:w="28" w:type="dxa"/>
          <w:right w:w="28" w:type="dxa"/>
        </w:tblCellMar>
      </w:tblPr>
      <w:tblGrid>
        <w:gridCol w:w="1756"/>
        <w:gridCol w:w="146"/>
        <w:gridCol w:w="2866"/>
        <w:gridCol w:w="146"/>
        <w:gridCol w:w="275"/>
        <w:gridCol w:w="412"/>
        <w:gridCol w:w="190"/>
        <w:gridCol w:w="190"/>
        <w:gridCol w:w="275"/>
        <w:gridCol w:w="412"/>
        <w:gridCol w:w="146"/>
        <w:gridCol w:w="146"/>
        <w:gridCol w:w="244"/>
        <w:gridCol w:w="366"/>
        <w:gridCol w:w="169"/>
        <w:gridCol w:w="169"/>
        <w:gridCol w:w="244"/>
        <w:gridCol w:w="366"/>
        <w:gridCol w:w="191"/>
      </w:tblGrid>
      <w:tr>
        <w:trPr/>
        <w:tc>
          <w:tcPr>
            <w:tcW w:w="1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5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8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4"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58"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17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Lease cost:</w:t>
            </w:r>
          </w:p>
        </w:tc>
        <w:tc>
          <w:tcPr>
            <w:tcW w:w="146"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7" w:type="dxa"/>
            <w:gridSpan w:val="2"/>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61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&amp; Administrative</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0"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90"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&amp; Administrative</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0"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0"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leases</w:t>
            </w:r>
          </w:p>
        </w:tc>
        <w:tc>
          <w:tcPr>
            <w:tcW w:w="146"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sz w:val="20"/>
        </w:rPr>
      </w:pPr>
      <w:r>
        <w:rPr>
          <w:rFonts w:ascii="Times New Roman;serif" w:hAnsi="Times New Roman;serif"/>
          <w:b w:val="false"/>
          <w:sz w:val="22"/>
        </w:rPr>
        <w:t>Right-of-use assets exchanged for new operating lease obligations were $20</w:t>
      </w:r>
      <w:r>
        <w:rPr>
          <w:rFonts w:ascii="Times New Roman" w:hAnsi="Times New Roman"/>
          <w:sz w:val="20"/>
        </w:rPr>
        <w:t xml:space="preserve"> </w:t>
      </w:r>
      <w:r>
        <w:rPr>
          <w:rFonts w:ascii="Times New Roman;serif" w:hAnsi="Times New Roman;serif"/>
          <w:b w:val="false"/>
          <w:sz w:val="22"/>
        </w:rPr>
        <w:t>million and $3</w:t>
      </w:r>
      <w:r>
        <w:rPr>
          <w:rFonts w:ascii="Times New Roman" w:hAnsi="Times New Roman"/>
          <w:sz w:val="20"/>
        </w:rPr>
        <w:t xml:space="preserve"> </w:t>
      </w:r>
      <w:r>
        <w:rPr>
          <w:rFonts w:ascii="Times New Roman;serif" w:hAnsi="Times New Roman;serif"/>
          <w:b w:val="false"/>
          <w:sz w:val="22"/>
        </w:rPr>
        <w:t>million for the three months ended March 31, 2023</w:t>
      </w:r>
      <w:r>
        <w:rPr>
          <w:rFonts w:ascii="Times New Roman" w:hAnsi="Times New Roman"/>
          <w:sz w:val="20"/>
        </w:rPr>
        <w:t xml:space="preserve"> </w:t>
      </w:r>
      <w:r>
        <w:rPr>
          <w:rFonts w:ascii="Times New Roman;serif" w:hAnsi="Times New Roman;serif"/>
          <w:b w:val="false"/>
          <w:sz w:val="22"/>
        </w:rPr>
        <w:t>and 2022, respectively, and $23</w:t>
      </w:r>
      <w:r>
        <w:rPr>
          <w:rFonts w:ascii="Times New Roman" w:hAnsi="Times New Roman"/>
          <w:sz w:val="20"/>
        </w:rPr>
        <w:t xml:space="preserve"> </w:t>
      </w:r>
      <w:r>
        <w:rPr>
          <w:rFonts w:ascii="Times New Roman;serif" w:hAnsi="Times New Roman;serif"/>
          <w:b w:val="false"/>
          <w:sz w:val="22"/>
        </w:rPr>
        <w:t>and $4</w:t>
      </w:r>
      <w:r>
        <w:rPr>
          <w:rFonts w:ascii="Times New Roman" w:hAnsi="Times New Roman"/>
          <w:sz w:val="20"/>
        </w:rPr>
        <w:t xml:space="preserve"> </w:t>
      </w:r>
      <w:r>
        <w:rPr>
          <w:rFonts w:ascii="Times New Roman;serif" w:hAnsi="Times New Roman;serif"/>
          <w:b w:val="false"/>
          <w:sz w:val="22"/>
        </w:rPr>
        <w:t>million for the six months ended March 31, 2023 and 2022.</w:t>
      </w:r>
      <w:r>
        <w:rPr>
          <w:rFonts w:ascii="Times New Roman" w:hAnsi="Times New Roman"/>
          <w:sz w:val="20"/>
        </w:rPr>
        <w:t xml:space="preserve"> </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table provides cash paid for amounts included in the measurement of operating lease liabilities:</w:t>
      </w:r>
    </w:p>
    <w:tbl>
      <w:tblPr>
        <w:tblW w:w="7526" w:type="dxa"/>
        <w:jc w:val="left"/>
        <w:tblInd w:w="0" w:type="dxa"/>
        <w:tblCellMar>
          <w:top w:w="28" w:type="dxa"/>
          <w:left w:w="28" w:type="dxa"/>
          <w:bottom w:w="28" w:type="dxa"/>
          <w:right w:w="28" w:type="dxa"/>
        </w:tblCellMar>
      </w:tblPr>
      <w:tblGrid>
        <w:gridCol w:w="2847"/>
        <w:gridCol w:w="369"/>
        <w:gridCol w:w="369"/>
        <w:gridCol w:w="146"/>
        <w:gridCol w:w="326"/>
        <w:gridCol w:w="326"/>
        <w:gridCol w:w="225"/>
        <w:gridCol w:w="225"/>
        <w:gridCol w:w="326"/>
        <w:gridCol w:w="326"/>
        <w:gridCol w:w="146"/>
        <w:gridCol w:w="146"/>
        <w:gridCol w:w="244"/>
        <w:gridCol w:w="366"/>
        <w:gridCol w:w="169"/>
        <w:gridCol w:w="169"/>
        <w:gridCol w:w="244"/>
        <w:gridCol w:w="366"/>
        <w:gridCol w:w="191"/>
      </w:tblGrid>
      <w:tr>
        <w:trPr/>
        <w:tc>
          <w:tcPr>
            <w:tcW w:w="284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47"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36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36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754"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58"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5"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cash flows from operating leases</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both"/>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NOTE J – INCOME TAXES</w:t>
      </w:r>
    </w:p>
    <w:p>
      <w:pPr>
        <w:pStyle w:val="TextBody"/>
        <w:spacing w:before="120" w:after="0"/>
        <w:jc w:val="both"/>
        <w:rPr>
          <w:rFonts w:ascii="Times New Roman;serif" w:hAnsi="Times New Roman;serif"/>
          <w:b/>
          <w:sz w:val="22"/>
        </w:rPr>
      </w:pPr>
      <w:r>
        <w:rPr>
          <w:rFonts w:ascii="Times New Roman;serif" w:hAnsi="Times New Roman;serif"/>
          <w:b/>
          <w:sz w:val="22"/>
        </w:rPr>
        <w:t>Current fiscal year</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effective tax rate in any interim period is subject to adjustments related to discrete items and the mix of domestic and foreign operating results. The overall effective tax rate was a benefit 1% and 5% for the three and six months ended March 31, 2023.</w:t>
      </w:r>
    </w:p>
    <w:p>
      <w:pPr>
        <w:pStyle w:val="TextBody"/>
        <w:spacing w:before="120" w:after="0"/>
        <w:jc w:val="both"/>
        <w:rPr>
          <w:rFonts w:ascii="Times New Roman" w:hAnsi="Times New Roman"/>
          <w:sz w:val="20"/>
        </w:rPr>
      </w:pPr>
      <w:r>
        <w:rPr>
          <w:rFonts w:ascii="Times New Roman;serif" w:hAnsi="Times New Roman;serif"/>
          <w:b w:val="false"/>
          <w:sz w:val="22"/>
        </w:rPr>
        <w:t>The current</w:t>
      </w:r>
      <w:r>
        <w:rPr>
          <w:rFonts w:ascii="Times New Roman" w:hAnsi="Times New Roman"/>
          <w:sz w:val="20"/>
        </w:rPr>
        <w:t xml:space="preserve"> </w:t>
      </w:r>
      <w:r>
        <w:rPr>
          <w:rFonts w:ascii="Times New Roman;serif" w:hAnsi="Times New Roman;serif"/>
          <w:b w:val="false"/>
          <w:sz w:val="22"/>
        </w:rPr>
        <w:t>quarter tax rate was impacted by jurisdictional income mix, as well as net $20</w:t>
      </w:r>
      <w:r>
        <w:rPr>
          <w:rFonts w:ascii="Times New Roman" w:hAnsi="Times New Roman"/>
          <w:sz w:val="20"/>
        </w:rPr>
        <w:t xml:space="preserve"> </w:t>
      </w:r>
      <w:r>
        <w:rPr>
          <w:rFonts w:ascii="Times New Roman;serif" w:hAnsi="Times New Roman;serif"/>
          <w:b w:val="false"/>
          <w:sz w:val="22"/>
        </w:rPr>
        <w:t>million from favorable tax discrete items primarily related to changes in uncertain tax positions. The current six month tax rate was impacted by jurisdictional income mix, as well as net $23</w:t>
      </w:r>
      <w:r>
        <w:rPr>
          <w:rFonts w:ascii="Times New Roman" w:hAnsi="Times New Roman"/>
          <w:sz w:val="20"/>
        </w:rPr>
        <w:t xml:space="preserve"> </w:t>
      </w:r>
      <w:r>
        <w:rPr>
          <w:rFonts w:ascii="Times New Roman;serif" w:hAnsi="Times New Roman;serif"/>
          <w:b w:val="false"/>
          <w:sz w:val="22"/>
        </w:rPr>
        <w:t>million from favorable tax discrete items primarily related to changes in uncertain tax positions resulting primarily from a combination of state expirations and audit settlements.</w:t>
      </w:r>
      <w:r>
        <w:rPr>
          <w:rFonts w:ascii="Times New Roman" w:hAnsi="Times New Roman"/>
          <w:sz w:val="20"/>
        </w:rPr>
        <w:t xml:space="preserve"> </w:t>
      </w:r>
    </w:p>
    <w:p>
      <w:pPr>
        <w:pStyle w:val="TextBody"/>
        <w:spacing w:before="120" w:after="0"/>
        <w:jc w:val="both"/>
        <w:rPr>
          <w:rFonts w:ascii="Times New Roman;serif" w:hAnsi="Times New Roman;serif"/>
          <w:b/>
          <w:sz w:val="22"/>
        </w:rPr>
      </w:pPr>
      <w:r>
        <w:rPr>
          <w:rFonts w:ascii="Times New Roman;serif" w:hAnsi="Times New Roman;serif"/>
          <w:b/>
          <w:sz w:val="22"/>
        </w:rPr>
        <w:t>Prior fiscal year</w:t>
      </w:r>
    </w:p>
    <w:p>
      <w:pPr>
        <w:pStyle w:val="TextBody"/>
        <w:spacing w:before="120" w:after="0"/>
        <w:jc w:val="both"/>
        <w:rPr>
          <w:rFonts w:ascii="Times New Roman" w:hAnsi="Times New Roman"/>
          <w:sz w:val="20"/>
        </w:rPr>
      </w:pPr>
      <w:r>
        <w:rPr>
          <w:rFonts w:ascii="Times New Roman;serif" w:hAnsi="Times New Roman;serif"/>
          <w:b w:val="false"/>
          <w:sz w:val="22"/>
        </w:rPr>
        <w:t>The overall effective tax rate was 34% and 25% for the three and six months ended March 31, 2022. The quarter tax rate was impacted by jurisdictional income mix, as well as $7</w:t>
      </w:r>
      <w:r>
        <w:rPr>
          <w:rFonts w:ascii="Times New Roman" w:hAnsi="Times New Roman"/>
          <w:sz w:val="20"/>
        </w:rPr>
        <w:t xml:space="preserve"> </w:t>
      </w:r>
      <w:r>
        <w:rPr>
          <w:rFonts w:ascii="Times New Roman;serif" w:hAnsi="Times New Roman;serif"/>
          <w:b w:val="false"/>
          <w:sz w:val="22"/>
        </w:rPr>
        <w:t>million from net unfavorable tax discrete items primarily related to restructuring and separation activity partially offset by a favorable valuation allowance adjustment for certain foreign tax credits. The six months tax rate was impacted by jurisdictional income mix as well as $5</w:t>
      </w:r>
      <w:r>
        <w:rPr>
          <w:rFonts w:ascii="Times New Roman" w:hAnsi="Times New Roman"/>
          <w:sz w:val="20"/>
        </w:rPr>
        <w:t xml:space="preserve"> </w:t>
      </w:r>
      <w:r>
        <w:rPr>
          <w:rFonts w:ascii="Times New Roman;serif" w:hAnsi="Times New Roman;serif"/>
          <w:b w:val="false"/>
          <w:sz w:val="22"/>
        </w:rPr>
        <w:t>million from net unfavorable tax discrete items primarily related to restructuring and separation activity partially offset by a favorable valuation adjustment for certain foreign tax credits and adjustments to uncertain positions.</w:t>
      </w:r>
      <w:r>
        <w:rPr>
          <w:rFonts w:ascii="Times New Roman" w:hAnsi="Times New Roman"/>
          <w:sz w:val="20"/>
        </w:rPr>
        <w:t xml:space="preserve"> </w:t>
      </w:r>
    </w:p>
    <w:p>
      <w:pPr>
        <w:pStyle w:val="TextBody"/>
        <w:spacing w:before="120" w:after="0"/>
        <w:jc w:val="both"/>
        <w:rPr>
          <w:rFonts w:ascii="Times New Roman;serif" w:hAnsi="Times New Roman;serif"/>
          <w:b/>
          <w:sz w:val="22"/>
        </w:rPr>
      </w:pPr>
      <w:r>
        <w:rPr>
          <w:rFonts w:ascii="Times New Roman;serif" w:hAnsi="Times New Roman;serif"/>
          <w:b/>
          <w:sz w:val="22"/>
        </w:rPr>
        <w:t>Unrecognized tax benefits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Changes in unrecognized tax benefits are summarized as follows for the six months ended March 31, 2023.</w:t>
      </w:r>
    </w:p>
    <w:p>
      <w:pPr>
        <w:pStyle w:val="TextBody"/>
        <w:spacing w:before="0" w:after="0"/>
        <w:jc w:val="both"/>
        <w:rPr/>
      </w:pPr>
      <w:r>
        <w:rPr/>
        <w:t> </w:t>
      </w:r>
    </w:p>
    <w:tbl>
      <w:tblPr>
        <w:tblW w:w="5269" w:type="dxa"/>
        <w:jc w:val="left"/>
        <w:tblInd w:w="0" w:type="dxa"/>
        <w:tblCellMar>
          <w:top w:w="28" w:type="dxa"/>
          <w:left w:w="28" w:type="dxa"/>
          <w:bottom w:w="28" w:type="dxa"/>
          <w:right w:w="28" w:type="dxa"/>
        </w:tblCellMar>
      </w:tblPr>
      <w:tblGrid>
        <w:gridCol w:w="4471"/>
        <w:gridCol w:w="211"/>
        <w:gridCol w:w="376"/>
        <w:gridCol w:w="211"/>
      </w:tblGrid>
      <w:tr>
        <w:trPr/>
        <w:tc>
          <w:tcPr>
            <w:tcW w:w="44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7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587"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r>
      <w:tr>
        <w:trPr/>
        <w:tc>
          <w:tcPr>
            <w:tcW w:w="44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October 1, 2022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11" w:type="dxa"/>
            <w:tcBorders/>
            <w:shd w:fill="auto" w:val="clear"/>
            <w:vAlign w:val="center"/>
          </w:tcPr>
          <w:p>
            <w:pPr>
              <w:pStyle w:val="TableContents"/>
              <w:spacing w:before="0" w:after="0"/>
              <w:ind w:left="0" w:right="0" w:hanging="0"/>
              <w:jc w:val="left"/>
              <w:rPr/>
            </w:pPr>
            <w:r>
              <w:rPr/>
              <w:t> </w:t>
            </w:r>
          </w:p>
        </w:tc>
      </w:tr>
      <w:tr>
        <w:trPr/>
        <w:tc>
          <w:tcPr>
            <w:tcW w:w="4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Increases related to positions taken in prior years</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4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Decreases related to positions taken in prior years</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Increases related to positions taken in the current year</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shd w:fill="auto" w:val="clear"/>
            <w:vAlign w:val="center"/>
          </w:tcPr>
          <w:p>
            <w:pPr>
              <w:pStyle w:val="TableContents"/>
              <w:spacing w:before="0" w:after="0"/>
              <w:ind w:left="0" w:right="0" w:hanging="0"/>
              <w:jc w:val="left"/>
              <w:rPr/>
            </w:pPr>
            <w:r>
              <w:rPr/>
              <w:t> </w:t>
            </w:r>
          </w:p>
        </w:tc>
      </w:tr>
      <w:tr>
        <w:trPr/>
        <w:tc>
          <w:tcPr>
            <w:tcW w:w="4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Lapse of statute of limitations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sz w:val="20"/>
        </w:rPr>
      </w:pPr>
      <w:r>
        <w:rPr>
          <w:rFonts w:ascii="Times New Roman;serif" w:hAnsi="Times New Roman;serif"/>
          <w:b w:val="false"/>
          <w:sz w:val="22"/>
        </w:rPr>
        <w:t>From a combination of statute expirations and audit settlements in the next twelve months, Ashland expects a decrease in the amount accrued for uncertain tax positions of between $3</w:t>
      </w:r>
      <w:r>
        <w:rPr>
          <w:rFonts w:ascii="Times New Roman" w:hAnsi="Times New Roman"/>
          <w:sz w:val="20"/>
        </w:rPr>
        <w:t xml:space="preserve"> </w:t>
      </w:r>
      <w:r>
        <w:rPr>
          <w:rFonts w:ascii="Times New Roman;serif" w:hAnsi="Times New Roman;serif"/>
          <w:b w:val="false"/>
          <w:sz w:val="22"/>
        </w:rPr>
        <w:t>million and $5</w:t>
      </w:r>
      <w:r>
        <w:rPr>
          <w:rFonts w:ascii="Times New Roman" w:hAnsi="Times New Roman"/>
          <w:sz w:val="20"/>
        </w:rPr>
        <w:t xml:space="preserve"> </w:t>
      </w:r>
      <w:r>
        <w:rPr>
          <w:rFonts w:ascii="Times New Roman;serif" w:hAnsi="Times New Roman;serif"/>
          <w:b w:val="false"/>
          <w:sz w:val="22"/>
        </w:rPr>
        <w:t>million.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pStyle w:val="TextBody"/>
        <w:spacing w:before="240" w:after="0"/>
        <w:jc w:val="both"/>
        <w:rPr>
          <w:rFonts w:ascii="Times New Roman;serif" w:hAnsi="Times New Roman;serif"/>
          <w:b/>
          <w:sz w:val="22"/>
        </w:rPr>
      </w:pPr>
      <w:r>
        <w:rPr>
          <w:rFonts w:ascii="Times New Roman;serif" w:hAnsi="Times New Roman;serif"/>
          <w:b/>
          <w:sz w:val="22"/>
        </w:rPr>
        <w:t>NOTE K - EMPLOYEE BENEFIT PLANS</w:t>
      </w:r>
    </w:p>
    <w:p>
      <w:pPr>
        <w:pStyle w:val="TextBody"/>
        <w:spacing w:before="120" w:after="0"/>
        <w:jc w:val="both"/>
        <w:rPr>
          <w:rFonts w:ascii="Times New Roman;serif" w:hAnsi="Times New Roman;serif"/>
          <w:b/>
          <w:sz w:val="22"/>
        </w:rPr>
      </w:pPr>
      <w:r>
        <w:rPr>
          <w:rFonts w:ascii="Times New Roman;serif" w:hAnsi="Times New Roman;serif"/>
          <w:b/>
          <w:sz w:val="22"/>
        </w:rPr>
        <w:t>Plan contributions</w:t>
      </w:r>
    </w:p>
    <w:p>
      <w:pPr>
        <w:pStyle w:val="TextBody"/>
        <w:spacing w:before="120" w:after="0"/>
        <w:jc w:val="both"/>
        <w:rPr>
          <w:rFonts w:ascii="Times New Roman" w:hAnsi="Times New Roman"/>
          <w:sz w:val="20"/>
        </w:rPr>
      </w:pPr>
      <w:r>
        <w:rPr>
          <w:rFonts w:ascii="Times New Roman;serif" w:hAnsi="Times New Roman;serif"/>
          <w:b w:val="false"/>
          <w:sz w:val="22"/>
        </w:rPr>
        <w:t>For the six months ended March 31, 2023, Ashland contributed $3</w:t>
      </w:r>
      <w:r>
        <w:rPr>
          <w:rFonts w:ascii="Times New Roman" w:hAnsi="Times New Roman"/>
          <w:sz w:val="20"/>
        </w:rPr>
        <w:t xml:space="preserve"> </w:t>
      </w:r>
      <w:r>
        <w:rPr>
          <w:rFonts w:ascii="Times New Roman;serif" w:hAnsi="Times New Roman;serif"/>
          <w:b w:val="false"/>
          <w:sz w:val="22"/>
        </w:rPr>
        <w:t>million to its non-U.S. pension plans and zero</w:t>
      </w:r>
      <w:r>
        <w:rPr>
          <w:rFonts w:ascii="Times New Roman" w:hAnsi="Times New Roman"/>
          <w:sz w:val="20"/>
        </w:rPr>
        <w:t xml:space="preserve"> </w:t>
      </w:r>
      <w:r>
        <w:rPr>
          <w:rFonts w:ascii="Times New Roman;serif" w:hAnsi="Times New Roman;serif"/>
          <w:b w:val="false"/>
          <w:sz w:val="22"/>
        </w:rPr>
        <w:t>to its U.S. pension plans. Ashland expects to make additional contributions of approximately $3</w:t>
      </w:r>
      <w:r>
        <w:rPr>
          <w:rFonts w:ascii="Times New Roman" w:hAnsi="Times New Roman"/>
          <w:sz w:val="20"/>
        </w:rPr>
        <w:t xml:space="preserve"> </w:t>
      </w:r>
      <w:r>
        <w:rPr>
          <w:rFonts w:ascii="Times New Roman;serif" w:hAnsi="Times New Roman;serif"/>
          <w:b w:val="false"/>
          <w:sz w:val="22"/>
        </w:rPr>
        <w:t>million to its U.S. pension plans and expects to make additional contributions of approximately $1</w:t>
      </w:r>
      <w:r>
        <w:rPr>
          <w:rFonts w:ascii="Times New Roman" w:hAnsi="Times New Roman"/>
          <w:sz w:val="20"/>
        </w:rPr>
        <w:t xml:space="preserve"> </w:t>
      </w:r>
      <w:r>
        <w:rPr>
          <w:rFonts w:ascii="Times New Roman;serif" w:hAnsi="Times New Roman;serif"/>
          <w:b w:val="false"/>
          <w:sz w:val="22"/>
        </w:rPr>
        <w:t>million to its non-U.S. pension plans during the remainder of fiscal 2023.</w:t>
      </w:r>
    </w:p>
    <w:p>
      <w:pPr>
        <w:pStyle w:val="TextBody"/>
        <w:spacing w:before="120" w:after="0"/>
        <w:jc w:val="both"/>
        <w:rPr>
          <w:rFonts w:ascii="Times New Roman;serif" w:hAnsi="Times New Roman;serif"/>
          <w:b/>
          <w:sz w:val="22"/>
        </w:rPr>
      </w:pPr>
      <w:r>
        <w:rPr>
          <w:rFonts w:ascii="Times New Roman;serif" w:hAnsi="Times New Roman;serif"/>
          <w:b/>
          <w:sz w:val="22"/>
        </w:rPr>
        <w:t>Plan Remeasurements</w:t>
      </w:r>
    </w:p>
    <w:p>
      <w:pPr>
        <w:pStyle w:val="TextBody"/>
        <w:spacing w:before="120" w:after="0"/>
        <w:jc w:val="both"/>
        <w:rPr>
          <w:rFonts w:ascii="Times New Roman" w:hAnsi="Times New Roman"/>
          <w:sz w:val="20"/>
        </w:rPr>
      </w:pPr>
      <w:r>
        <w:rPr>
          <w:rFonts w:ascii="Times New Roman;serif" w:hAnsi="Times New Roman;serif"/>
          <w:b w:val="false"/>
          <w:sz w:val="22"/>
        </w:rPr>
        <w:t>Following the completion of the sale of its Performance Adhesives business segment on February 28, 2022, the post-retirement benefits for approximately 40</w:t>
      </w:r>
      <w:r>
        <w:rPr>
          <w:rFonts w:ascii="Times New Roman" w:hAnsi="Times New Roman"/>
          <w:sz w:val="20"/>
        </w:rPr>
        <w:t xml:space="preserve"> </w:t>
      </w:r>
      <w:r>
        <w:rPr>
          <w:rFonts w:ascii="Times New Roman;serif" w:hAnsi="Times New Roman;serif"/>
          <w:b w:val="false"/>
          <w:sz w:val="22"/>
        </w:rPr>
        <w:t>employees transferred to Arkema, all of whom participated in a non-contributory defined benefit plan in the U.S., were frozen. This resulted in a significant decrease in total expected future years of service within the plan and required Ashland to remeasure the plan as February 28, 2022. As a result, Ashland recorded a $1</w:t>
      </w:r>
      <w:r>
        <w:rPr>
          <w:rFonts w:ascii="Times New Roman" w:hAnsi="Times New Roman"/>
          <w:sz w:val="20"/>
        </w:rPr>
        <w:t xml:space="preserve"> </w:t>
      </w:r>
      <w:r>
        <w:rPr>
          <w:rFonts w:ascii="Times New Roman;serif" w:hAnsi="Times New Roman;serif"/>
          <w:b w:val="false"/>
          <w:sz w:val="22"/>
        </w:rPr>
        <w:t>million actuarial gain within the other net periodic benefits income caption of the Statements of Consolidated Comprehensive Income (Loss) for the three and six months ended March 31,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120" w:after="0"/>
        <w:jc w:val="both"/>
        <w:rPr>
          <w:rFonts w:ascii="Times New Roman;serif" w:hAnsi="Times New Roman;serif"/>
          <w:b/>
          <w:sz w:val="22"/>
        </w:rPr>
      </w:pPr>
      <w:r>
        <w:rPr>
          <w:rFonts w:ascii="Times New Roman;serif" w:hAnsi="Times New Roman;serif"/>
          <w:b/>
          <w:sz w:val="22"/>
        </w:rPr>
        <w:t>Components of net periodic benefit costs (income)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details the components of pension and other postretirement benefit costs for continuing operations.</w:t>
      </w:r>
    </w:p>
    <w:p>
      <w:pPr>
        <w:pStyle w:val="TextBody"/>
        <w:spacing w:before="0" w:after="0"/>
        <w:jc w:val="both"/>
        <w:rPr/>
      </w:pPr>
      <w:r>
        <w:rPr/>
        <w:t> </w:t>
      </w:r>
    </w:p>
    <w:tbl>
      <w:tblPr>
        <w:tblW w:w="6554" w:type="dxa"/>
        <w:jc w:val="left"/>
        <w:tblInd w:w="0" w:type="dxa"/>
        <w:tblCellMar>
          <w:top w:w="28" w:type="dxa"/>
          <w:left w:w="28" w:type="dxa"/>
          <w:bottom w:w="28" w:type="dxa"/>
          <w:right w:w="28" w:type="dxa"/>
        </w:tblCellMar>
      </w:tblPr>
      <w:tblGrid>
        <w:gridCol w:w="2701"/>
        <w:gridCol w:w="146"/>
        <w:gridCol w:w="213"/>
        <w:gridCol w:w="349"/>
        <w:gridCol w:w="167"/>
        <w:gridCol w:w="147"/>
        <w:gridCol w:w="213"/>
        <w:gridCol w:w="349"/>
        <w:gridCol w:w="166"/>
        <w:gridCol w:w="146"/>
        <w:gridCol w:w="265"/>
        <w:gridCol w:w="435"/>
        <w:gridCol w:w="183"/>
        <w:gridCol w:w="183"/>
        <w:gridCol w:w="265"/>
        <w:gridCol w:w="435"/>
        <w:gridCol w:w="1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0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38" w:type="dxa"/>
            <w:gridSpan w:val="6"/>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Pension benefits</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766" w:type="dxa"/>
            <w:gridSpan w:val="6"/>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Other postretirement</w:t>
              <w:br/>
              <w:t>benefits</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Three months ended March 31</w:t>
            </w:r>
          </w:p>
        </w:tc>
        <w:tc>
          <w:tcPr>
            <w:tcW w:w="146" w:type="dxa"/>
            <w:tcBorders/>
            <w:shd w:fill="auto" w:val="clear"/>
            <w:vAlign w:val="center"/>
          </w:tcPr>
          <w:p>
            <w:pPr>
              <w:pStyle w:val="TableContents"/>
              <w:spacing w:before="0" w:after="0"/>
              <w:ind w:left="0" w:right="0" w:hanging="0"/>
              <w:jc w:val="left"/>
              <w:rPr/>
            </w:pPr>
            <w:r>
              <w:rPr/>
              <w:t> </w:t>
            </w:r>
          </w:p>
        </w:tc>
        <w:tc>
          <w:tcPr>
            <w:tcW w:w="562" w:type="dxa"/>
            <w:gridSpan w:val="2"/>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56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00"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cost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 w:type="dxa"/>
            <w:tcBorders/>
            <w:shd w:fill="auto" w:val="clear"/>
            <w:vAlign w:val="center"/>
          </w:tcPr>
          <w:p>
            <w:pPr>
              <w:pStyle w:val="TableContents"/>
              <w:spacing w:before="0" w:after="0"/>
              <w:ind w:left="0" w:right="0" w:hanging="0"/>
              <w:jc w:val="righ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4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4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return on plan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435" w:type="dxa"/>
            <w:tcBorders/>
            <w:shd w:fill="auto" w:val="clear"/>
            <w:vAlign w:val="center"/>
          </w:tcPr>
          <w:p>
            <w:pPr>
              <w:pStyle w:val="TableContents"/>
              <w:spacing w:before="0" w:after="0"/>
              <w:ind w:left="0" w:right="0" w:hanging="0"/>
              <w:jc w:val="righ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43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Actuarial (gain)</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periodic benefit costs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Six months ended March 31</w:t>
            </w:r>
          </w:p>
        </w:tc>
        <w:tc>
          <w:tcPr>
            <w:tcW w:w="146" w:type="dxa"/>
            <w:tcBorders/>
            <w:shd w:fill="auto" w:val="clear"/>
            <w:vAlign w:val="center"/>
          </w:tcPr>
          <w:p>
            <w:pPr>
              <w:pStyle w:val="TableContents"/>
              <w:spacing w:before="0" w:after="0"/>
              <w:ind w:left="0" w:right="0" w:hanging="0"/>
              <w:jc w:val="left"/>
              <w:rPr/>
            </w:pPr>
            <w:r>
              <w:rPr/>
              <w:t> </w:t>
            </w:r>
          </w:p>
        </w:tc>
        <w:tc>
          <w:tcPr>
            <w:tcW w:w="562" w:type="dxa"/>
            <w:gridSpan w:val="2"/>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56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0"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cost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 w:type="dxa"/>
            <w:tcBorders/>
            <w:shd w:fill="auto" w:val="clear"/>
            <w:vAlign w:val="center"/>
          </w:tcPr>
          <w:p>
            <w:pPr>
              <w:pStyle w:val="TableContents"/>
              <w:spacing w:before="0" w:after="0"/>
              <w:ind w:left="0" w:right="0" w:hanging="0"/>
              <w:jc w:val="righ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4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4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return on plan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435" w:type="dxa"/>
            <w:tcBorders/>
            <w:shd w:fill="auto" w:val="clear"/>
            <w:vAlign w:val="center"/>
          </w:tcPr>
          <w:p>
            <w:pPr>
              <w:pStyle w:val="TableContents"/>
              <w:spacing w:before="0" w:after="0"/>
              <w:ind w:left="0" w:right="0" w:hanging="0"/>
              <w:jc w:val="righ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43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Actuarial (gain)</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periodic benefit costs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sz w:val="20"/>
        </w:rPr>
      </w:pPr>
      <w:r>
        <w:rPr>
          <w:rFonts w:ascii="Times New Roman;serif" w:hAnsi="Times New Roman;serif"/>
          <w:b w:val="false"/>
          <w:sz w:val="22"/>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Income (Loss).</w:t>
      </w:r>
      <w:r>
        <w:rPr>
          <w:rFonts w:ascii="Times New Roman" w:hAnsi="Times New Roman"/>
          <w:sz w:val="20"/>
        </w:rPr>
        <w:t xml:space="preserve"> </w:t>
      </w:r>
      <w:r>
        <w:rPr>
          <w:rFonts w:ascii="Times New Roman;serif" w:hAnsi="Times New Roman;serif"/>
          <w:b w:val="false"/>
          <w:sz w:val="22"/>
        </w:rPr>
        <w:t>All other components are recorded within the other net periodic benefit loss caption on the Statements of Consolidated Comprehensive Income (Loss), which netted to a loss of $2</w:t>
      </w:r>
      <w:r>
        <w:rPr>
          <w:rFonts w:ascii="Times New Roman" w:hAnsi="Times New Roman"/>
          <w:sz w:val="20"/>
        </w:rPr>
        <w:t xml:space="preserve"> </w:t>
      </w:r>
      <w:r>
        <w:rPr>
          <w:rFonts w:ascii="Times New Roman;serif" w:hAnsi="Times New Roman;serif"/>
          <w:b w:val="false"/>
          <w:sz w:val="22"/>
        </w:rPr>
        <w:t>million and $3</w:t>
      </w:r>
      <w:r>
        <w:rPr>
          <w:rFonts w:ascii="Times New Roman" w:hAnsi="Times New Roman"/>
          <w:sz w:val="20"/>
        </w:rPr>
        <w:t xml:space="preserve"> </w:t>
      </w:r>
      <w:r>
        <w:rPr>
          <w:rFonts w:ascii="Times New Roman;serif" w:hAnsi="Times New Roman;serif"/>
          <w:b w:val="false"/>
          <w:sz w:val="22"/>
        </w:rPr>
        <w:t>million for the three and six months ended March 31, 2023, respectively, and a gain of $1</w:t>
      </w:r>
      <w:r>
        <w:rPr>
          <w:rFonts w:ascii="Times New Roman" w:hAnsi="Times New Roman"/>
          <w:sz w:val="20"/>
        </w:rPr>
        <w:t xml:space="preserve"> </w:t>
      </w:r>
      <w:r>
        <w:rPr>
          <w:rFonts w:ascii="Times New Roman;serif" w:hAnsi="Times New Roman;serif"/>
          <w:b w:val="false"/>
          <w:sz w:val="22"/>
        </w:rPr>
        <w:t>million for the three and six months ended March 31, 2022.</w:t>
      </w:r>
    </w:p>
    <w:p>
      <w:pPr>
        <w:pStyle w:val="TextBody"/>
        <w:spacing w:before="240" w:after="0"/>
        <w:jc w:val="both"/>
        <w:rPr>
          <w:rFonts w:ascii="Times New Roman" w:hAnsi="Times New Roman"/>
          <w:sz w:val="20"/>
        </w:rPr>
      </w:pPr>
      <w:r>
        <w:rPr>
          <w:rFonts w:ascii="Times New Roman;serif" w:hAnsi="Times New Roman;serif"/>
          <w:b/>
          <w:sz w:val="22"/>
        </w:rPr>
        <w:t>NOTE L</w:t>
      </w:r>
      <w:r>
        <w:rPr>
          <w:rFonts w:ascii="Times New Roman" w:hAnsi="Times New Roman"/>
          <w:sz w:val="20"/>
        </w:rPr>
        <w:t xml:space="preserve"> – </w:t>
      </w:r>
      <w:r>
        <w:rPr>
          <w:rFonts w:ascii="Times New Roman;serif" w:hAnsi="Times New Roman;serif"/>
          <w:b/>
          <w:sz w:val="22"/>
        </w:rPr>
        <w:t>LITIGATION, CLAIMS AND CONTINGENCIES</w:t>
      </w:r>
    </w:p>
    <w:p>
      <w:pPr>
        <w:pStyle w:val="TextBody"/>
        <w:spacing w:before="120" w:after="0"/>
        <w:jc w:val="left"/>
        <w:rPr>
          <w:rFonts w:ascii="Times New Roman;serif" w:hAnsi="Times New Roman;serif"/>
          <w:b/>
          <w:sz w:val="22"/>
        </w:rPr>
      </w:pPr>
      <w:r>
        <w:rPr>
          <w:rFonts w:ascii="Times New Roman;serif" w:hAnsi="Times New Roman;serif"/>
          <w:b/>
          <w:sz w:val="22"/>
        </w:rPr>
        <w:t>Asbestos litigation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Ashland asbestos-related litigation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pStyle w:val="TextBody"/>
        <w:spacing w:before="120" w:after="0"/>
        <w:jc w:val="both"/>
        <w:rPr/>
      </w:pPr>
      <w:r>
        <w:rPr/>
        <w:t> </w:t>
      </w:r>
    </w:p>
    <w:tbl>
      <w:tblPr>
        <w:tblW w:w="7218" w:type="dxa"/>
        <w:jc w:val="left"/>
        <w:tblInd w:w="0" w:type="dxa"/>
        <w:tblCellMar>
          <w:top w:w="28" w:type="dxa"/>
          <w:left w:w="28" w:type="dxa"/>
          <w:bottom w:w="28" w:type="dxa"/>
          <w:right w:w="28" w:type="dxa"/>
        </w:tblCellMar>
      </w:tblPr>
      <w:tblGrid>
        <w:gridCol w:w="2716"/>
        <w:gridCol w:w="146"/>
        <w:gridCol w:w="180"/>
        <w:gridCol w:w="426"/>
        <w:gridCol w:w="204"/>
        <w:gridCol w:w="180"/>
        <w:gridCol w:w="180"/>
        <w:gridCol w:w="389"/>
        <w:gridCol w:w="166"/>
        <w:gridCol w:w="146"/>
        <w:gridCol w:w="166"/>
        <w:gridCol w:w="360"/>
        <w:gridCol w:w="185"/>
        <w:gridCol w:w="163"/>
        <w:gridCol w:w="166"/>
        <w:gridCol w:w="360"/>
        <w:gridCol w:w="185"/>
        <w:gridCol w:w="163"/>
        <w:gridCol w:w="166"/>
        <w:gridCol w:w="360"/>
        <w:gridCol w:w="211"/>
      </w:tblGrid>
      <w:tr>
        <w:trPr/>
        <w:tc>
          <w:tcPr>
            <w:tcW w:w="2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1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59"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52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8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52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8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2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r>
      <w:tr>
        <w:trPr/>
        <w:tc>
          <w:tcPr>
            <w:tcW w:w="2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7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Years ended September 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Open claims - beginning of year</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11" w:type="dxa"/>
            <w:tcBorders/>
            <w:shd w:fill="auto" w:val="clear"/>
            <w:vAlign w:val="center"/>
          </w:tcPr>
          <w:p>
            <w:pPr>
              <w:pStyle w:val="TableContents"/>
              <w:spacing w:before="0" w:after="0"/>
              <w:ind w:left="0" w:right="0" w:hanging="0"/>
              <w:jc w:val="left"/>
              <w:rPr/>
            </w:pPr>
            <w:r>
              <w:rPr/>
              <w:t> </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claims filed</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shd w:fill="auto" w:val="clear"/>
            <w:vAlign w:val="center"/>
          </w:tcPr>
          <w:p>
            <w:pPr>
              <w:pStyle w:val="TableContents"/>
              <w:spacing w:before="0" w:after="0"/>
              <w:ind w:left="0" w:right="0" w:hanging="0"/>
              <w:jc w:val="left"/>
              <w:rPr/>
            </w:pPr>
            <w:r>
              <w:rPr/>
              <w:t> </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Claims settled</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right"/>
              <w:rPr/>
            </w:pPr>
            <w:r>
              <w:rPr/>
              <w:t>—</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Claims dismissed</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Open claims - end of period</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i/>
          <w:sz w:val="22"/>
        </w:rPr>
      </w:pPr>
      <w:r>
        <w:rPr>
          <w:rFonts w:ascii="Times New Roman;serif" w:hAnsi="Times New Roman;serif"/>
          <w:b w:val="false"/>
          <w:i/>
          <w:sz w:val="22"/>
        </w:rPr>
        <w:t>Ashland asbestos-related liability</w:t>
      </w:r>
    </w:p>
    <w:p>
      <w:pPr>
        <w:pStyle w:val="TextBody"/>
        <w:spacing w:before="120" w:after="0"/>
        <w:jc w:val="both"/>
        <w:rPr>
          <w:rFonts w:ascii="Times New Roman" w:hAnsi="Times New Roman"/>
          <w:sz w:val="20"/>
        </w:rPr>
      </w:pPr>
      <w:r>
        <w:rPr>
          <w:rFonts w:ascii="Times New Roman;serif" w:hAnsi="Times New Roman;serif"/>
          <w:b w:val="false"/>
          <w:sz w:val="22"/>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2"/>
        </w:rPr>
        <w:t>During the most recent update completed during 2022, it was determined that the liability for Ashland asbestos-related claims should be increased by $16</w:t>
      </w:r>
      <w:r>
        <w:rPr>
          <w:rFonts w:ascii="Times New Roman" w:hAnsi="Times New Roman"/>
          <w:sz w:val="20"/>
        </w:rPr>
        <w:t xml:space="preserve"> </w:t>
      </w:r>
      <w:r>
        <w:rPr>
          <w:rFonts w:ascii="Times New Roman;serif" w:hAnsi="Times New Roman;serif"/>
          <w:b w:val="false"/>
          <w:sz w:val="22"/>
        </w:rPr>
        <w:t>million. Total reserves for asbestos claims were $285</w:t>
      </w:r>
      <w:r>
        <w:rPr>
          <w:rFonts w:ascii="Times New Roman" w:hAnsi="Times New Roman"/>
          <w:sz w:val="20"/>
        </w:rPr>
        <w:t xml:space="preserve"> </w:t>
      </w:r>
      <w:r>
        <w:rPr>
          <w:rFonts w:ascii="Times New Roman;serif" w:hAnsi="Times New Roman;serif"/>
          <w:b w:val="false"/>
          <w:sz w:val="22"/>
        </w:rPr>
        <w:t>million at March 31, 2023</w:t>
      </w:r>
      <w:r>
        <w:rPr>
          <w:rFonts w:ascii="Times New Roman" w:hAnsi="Times New Roman"/>
          <w:sz w:val="20"/>
        </w:rPr>
        <w:t xml:space="preserve"> </w:t>
      </w:r>
      <w:r>
        <w:rPr>
          <w:rFonts w:ascii="Times New Roman;serif" w:hAnsi="Times New Roman;serif"/>
          <w:b w:val="false"/>
          <w:sz w:val="22"/>
        </w:rPr>
        <w:t>compared to $305</w:t>
      </w:r>
      <w:r>
        <w:rPr>
          <w:rFonts w:ascii="Times New Roman" w:hAnsi="Times New Roman"/>
          <w:sz w:val="20"/>
        </w:rPr>
        <w:t xml:space="preserve"> </w:t>
      </w:r>
      <w:r>
        <w:rPr>
          <w:rFonts w:ascii="Times New Roman;serif" w:hAnsi="Times New Roman;serif"/>
          <w:b w:val="false"/>
          <w:sz w:val="22"/>
        </w:rPr>
        <w:t>million at September 30, 2022.</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 progression of activity in the asbestos reserve is presented in the following table.</w:t>
      </w:r>
    </w:p>
    <w:p>
      <w:pPr>
        <w:pStyle w:val="TextBody"/>
        <w:spacing w:before="0" w:after="0"/>
        <w:jc w:val="both"/>
        <w:rPr/>
      </w:pPr>
      <w:r>
        <w:rPr/>
        <w:t> </w:t>
      </w:r>
    </w:p>
    <w:tbl>
      <w:tblPr>
        <w:tblW w:w="7811" w:type="dxa"/>
        <w:jc w:val="left"/>
        <w:tblInd w:w="0" w:type="dxa"/>
        <w:tblCellMar>
          <w:top w:w="28" w:type="dxa"/>
          <w:left w:w="28" w:type="dxa"/>
          <w:bottom w:w="28" w:type="dxa"/>
          <w:right w:w="28" w:type="dxa"/>
        </w:tblCellMar>
      </w:tblPr>
      <w:tblGrid>
        <w:gridCol w:w="3046"/>
        <w:gridCol w:w="146"/>
        <w:gridCol w:w="211"/>
        <w:gridCol w:w="421"/>
        <w:gridCol w:w="166"/>
        <w:gridCol w:w="146"/>
        <w:gridCol w:w="211"/>
        <w:gridCol w:w="421"/>
        <w:gridCol w:w="166"/>
        <w:gridCol w:w="146"/>
        <w:gridCol w:w="211"/>
        <w:gridCol w:w="421"/>
        <w:gridCol w:w="166"/>
        <w:gridCol w:w="146"/>
        <w:gridCol w:w="211"/>
        <w:gridCol w:w="421"/>
        <w:gridCol w:w="166"/>
        <w:gridCol w:w="146"/>
        <w:gridCol w:w="211"/>
        <w:gridCol w:w="421"/>
        <w:gridCol w:w="21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Years ended September 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Asbestos reserve - beginning of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21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Reserve adjustment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Asbestos reserve - end of period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rFonts w:ascii="Times New Roman;serif" w:hAnsi="Times New Roman;serif"/>
          <w:sz w:val="22"/>
        </w:rPr>
      </w:pPr>
      <w:r>
        <w:rPr>
          <w:rFonts w:ascii="Times New Roman;serif" w:hAnsi="Times New Roman;serif"/>
          <w:b w:val="false"/>
          <w:sz w:val="16"/>
        </w:rPr>
        <w:t>Included</w:t>
      </w:r>
      <w:r>
        <w:rPr>
          <w:rFonts w:ascii="Times New Roman;serif" w:hAnsi="Times New Roman;serif"/>
          <w:sz w:val="22"/>
        </w:rPr>
        <w:t xml:space="preserve"> </w:t>
      </w:r>
      <w:r>
        <w:rPr>
          <w:rFonts w:ascii="Times New Roman;serif" w:hAnsi="Times New Roman;serif"/>
          <w:b w:val="false"/>
          <w:sz w:val="16"/>
        </w:rPr>
        <w:t>$29</w:t>
      </w:r>
      <w:r>
        <w:rPr>
          <w:rFonts w:ascii="Times New Roman;serif" w:hAnsi="Times New Roman;serif"/>
          <w:sz w:val="22"/>
        </w:rPr>
        <w:t xml:space="preserve"> </w:t>
      </w:r>
      <w:r>
        <w:rPr>
          <w:rFonts w:ascii="Times New Roman;serif" w:hAnsi="Times New Roman;serif"/>
          <w:b w:val="false"/>
          <w:sz w:val="16"/>
        </w:rPr>
        <w:t>million classified in accrued expenses and other liabilities on the Condensed Consolidated Balance Sheets as of March 31, 2023 and September 30, 2022.</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Ashland asbestos-related receivables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pStyle w:val="TextBody"/>
        <w:spacing w:before="120" w:after="0"/>
        <w:jc w:val="both"/>
        <w:rPr>
          <w:rFonts w:ascii="Times New Roman" w:hAnsi="Times New Roman"/>
          <w:sz w:val="20"/>
        </w:rPr>
      </w:pPr>
      <w:r>
        <w:rPr>
          <w:rFonts w:ascii="Times New Roman;serif" w:hAnsi="Times New Roman;serif"/>
          <w:b w:val="false"/>
          <w:sz w:val="22"/>
        </w:rPr>
        <w:t>At March 31, 2023, Ashland’s receivable for recoveries of litigation defense and claim settlement costs from insurers amounted to $96</w:t>
      </w:r>
      <w:r>
        <w:rPr>
          <w:rFonts w:ascii="Times New Roman" w:hAnsi="Times New Roman"/>
          <w:sz w:val="20"/>
        </w:rPr>
        <w:t xml:space="preserve"> </w:t>
      </w:r>
      <w:r>
        <w:rPr>
          <w:rFonts w:ascii="Times New Roman;serif" w:hAnsi="Times New Roman;serif"/>
          <w:b w:val="false"/>
          <w:sz w:val="22"/>
        </w:rPr>
        <w:t>million (excluding the Hercules receivable for asbestos claims discussed below) compared to $101</w:t>
      </w:r>
      <w:r>
        <w:rPr>
          <w:rFonts w:ascii="Times New Roman" w:hAnsi="Times New Roman"/>
          <w:sz w:val="20"/>
        </w:rPr>
        <w:t xml:space="preserve"> </w:t>
      </w:r>
      <w:r>
        <w:rPr>
          <w:rFonts w:ascii="Times New Roman;serif" w:hAnsi="Times New Roman;serif"/>
          <w:b w:val="false"/>
          <w:sz w:val="22"/>
        </w:rPr>
        <w:t>million at September 30, 2022. During fiscal year 2022, the annual update of the model used for purposes of valuing the asbestos reserve and its impact on valuation of future recoveries from insurers was completed. This model update resulted in a $7</w:t>
      </w:r>
      <w:r>
        <w:rPr>
          <w:rFonts w:ascii="Times New Roman" w:hAnsi="Times New Roman"/>
          <w:sz w:val="20"/>
        </w:rPr>
        <w:t xml:space="preserve"> </w:t>
      </w:r>
      <w:r>
        <w:rPr>
          <w:rFonts w:ascii="Times New Roman;serif" w:hAnsi="Times New Roman;serif"/>
          <w:b w:val="false"/>
          <w:sz w:val="22"/>
        </w:rPr>
        <w:t>million increase in the receivable for probable insurance recoveries.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 progression of activity in the Ashland insurance receivable is presented in the following table.</w:t>
      </w:r>
    </w:p>
    <w:p>
      <w:pPr>
        <w:pStyle w:val="TextBody"/>
        <w:spacing w:before="0" w:after="0"/>
        <w:jc w:val="both"/>
        <w:rPr/>
      </w:pPr>
      <w:r>
        <w:rPr/>
        <w:t> </w:t>
      </w:r>
    </w:p>
    <w:tbl>
      <w:tblPr>
        <w:tblW w:w="8141" w:type="dxa"/>
        <w:jc w:val="left"/>
        <w:tblInd w:w="0" w:type="dxa"/>
        <w:tblCellMar>
          <w:top w:w="28" w:type="dxa"/>
          <w:left w:w="28" w:type="dxa"/>
          <w:bottom w:w="28" w:type="dxa"/>
          <w:right w:w="28" w:type="dxa"/>
        </w:tblCellMar>
      </w:tblPr>
      <w:tblGrid>
        <w:gridCol w:w="3376"/>
        <w:gridCol w:w="146"/>
        <w:gridCol w:w="211"/>
        <w:gridCol w:w="421"/>
        <w:gridCol w:w="166"/>
        <w:gridCol w:w="146"/>
        <w:gridCol w:w="211"/>
        <w:gridCol w:w="421"/>
        <w:gridCol w:w="166"/>
        <w:gridCol w:w="146"/>
        <w:gridCol w:w="211"/>
        <w:gridCol w:w="421"/>
        <w:gridCol w:w="166"/>
        <w:gridCol w:w="146"/>
        <w:gridCol w:w="211"/>
        <w:gridCol w:w="421"/>
        <w:gridCol w:w="166"/>
        <w:gridCol w:w="146"/>
        <w:gridCol w:w="211"/>
        <w:gridCol w:w="421"/>
        <w:gridCol w:w="211"/>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7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Years ended September 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 receivable - beginning of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11" w:type="dxa"/>
            <w:tcBorders/>
            <w:shd w:fill="auto" w:val="cle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Receivable adjustment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 settlement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collected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Insurance receivable - end of period </w:t>
            </w:r>
            <w:r>
              <w:rPr>
                <w:rFonts w:ascii="Times New Roman;serif" w:hAnsi="Times New Roman;serif"/>
                <w:b w:val="false"/>
                <w:sz w:val="16"/>
              </w:rPr>
              <w:t>(b)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sz w:val="22"/>
        </w:rPr>
      </w:pPr>
      <w:r>
        <w:rPr>
          <w:rFonts w:ascii="Times New Roman;serif" w:hAnsi="Times New Roman;serif"/>
          <w:b w:val="false"/>
          <w:sz w:val="16"/>
        </w:rPr>
        <w:t>2021 includes a $2</w:t>
      </w:r>
      <w:r>
        <w:rPr>
          <w:rFonts w:ascii="Times New Roman;serif" w:hAnsi="Times New Roman;serif"/>
          <w:sz w:val="22"/>
        </w:rPr>
        <w:t xml:space="preserve"> </w:t>
      </w:r>
      <w:r>
        <w:rPr>
          <w:rFonts w:ascii="Times New Roman;serif" w:hAnsi="Times New Roman;serif"/>
          <w:b w:val="false"/>
          <w:sz w:val="16"/>
        </w:rPr>
        <w:t>million reserve adjustment related to allowances for credit losses as a result of Ashland's adoption of the new credit measurement standard. The total allowance for credit losses was $2</w:t>
      </w:r>
      <w:r>
        <w:rPr>
          <w:rFonts w:ascii="Times New Roman;serif" w:hAnsi="Times New Roman;serif"/>
          <w:sz w:val="22"/>
        </w:rPr>
        <w:t xml:space="preserve"> </w:t>
      </w:r>
      <w:r>
        <w:rPr>
          <w:rFonts w:ascii="Times New Roman;serif" w:hAnsi="Times New Roman;serif"/>
          <w:b w:val="false"/>
          <w:sz w:val="16"/>
        </w:rPr>
        <w:t>million as of March 31, 2023</w:t>
      </w:r>
      <w:r>
        <w:rPr>
          <w:rFonts w:ascii="Times New Roman;serif" w:hAnsi="Times New Roman;serif"/>
          <w:sz w:val="22"/>
        </w:rPr>
        <w:t xml:space="preserve"> </w:t>
      </w:r>
      <w:r>
        <w:rPr>
          <w:rFonts w:ascii="Times New Roman;serif" w:hAnsi="Times New Roman;serif"/>
          <w:b w:val="false"/>
          <w:sz w:val="16"/>
        </w:rPr>
        <w:t>and September 30, 2022.</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283"/>
        <w:jc w:val="both"/>
        <w:rPr>
          <w:rFonts w:ascii="Times New Roman;serif" w:hAnsi="Times New Roman;serif"/>
          <w:sz w:val="22"/>
        </w:rPr>
      </w:pPr>
      <w:r>
        <w:rPr>
          <w:rFonts w:ascii="Times New Roman;serif" w:hAnsi="Times New Roman;serif"/>
          <w:b w:val="false"/>
          <w:sz w:val="16"/>
        </w:rPr>
        <w:t>Includes</w:t>
      </w:r>
      <w:r>
        <w:rPr>
          <w:rFonts w:ascii="Times New Roman;serif" w:hAnsi="Times New Roman;serif"/>
          <w:sz w:val="22"/>
        </w:rPr>
        <w:t xml:space="preserve"> </w:t>
      </w:r>
      <w:r>
        <w:rPr>
          <w:rFonts w:ascii="Times New Roman;serif" w:hAnsi="Times New Roman;serif"/>
          <w:b w:val="false"/>
          <w:sz w:val="16"/>
        </w:rPr>
        <w:t>$12</w:t>
      </w:r>
      <w:r>
        <w:rPr>
          <w:rFonts w:ascii="Times New Roman;serif" w:hAnsi="Times New Roman;serif"/>
          <w:sz w:val="22"/>
        </w:rPr>
        <w:t xml:space="preserve"> </w:t>
      </w:r>
      <w:r>
        <w:rPr>
          <w:rFonts w:ascii="Times New Roman;serif" w:hAnsi="Times New Roman;serif"/>
          <w:b w:val="false"/>
          <w:sz w:val="16"/>
        </w:rPr>
        <w:t>million classified in accounts receivable on the Condensed Consolidated Balance Sheets as of March 31, 2023 and September 30, 2022.</w:t>
      </w:r>
    </w:p>
    <w:p>
      <w:pPr>
        <w:pStyle w:val="TextBody"/>
        <w:spacing w:before="120" w:after="120"/>
        <w:jc w:val="both"/>
        <w:rPr>
          <w:rFonts w:ascii="Times New Roman;serif" w:hAnsi="Times New Roman;serif"/>
          <w:b w:val="false"/>
          <w:i/>
          <w:sz w:val="22"/>
        </w:rPr>
      </w:pPr>
      <w:r>
        <w:rPr>
          <w:rFonts w:ascii="Times New Roman;serif" w:hAnsi="Times New Roman;serif"/>
          <w:b w:val="false"/>
          <w:i/>
          <w:sz w:val="22"/>
        </w:rPr>
        <w:t>Hercules asbestos-related litigation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pStyle w:val="TextBody"/>
        <w:spacing w:before="0" w:after="0"/>
        <w:jc w:val="both"/>
        <w:rPr/>
      </w:pPr>
      <w:r>
        <w:rPr/>
        <w:t> </w:t>
      </w:r>
    </w:p>
    <w:tbl>
      <w:tblPr>
        <w:tblW w:w="7215" w:type="dxa"/>
        <w:jc w:val="left"/>
        <w:tblInd w:w="0" w:type="dxa"/>
        <w:tblCellMar>
          <w:top w:w="28" w:type="dxa"/>
          <w:left w:w="28" w:type="dxa"/>
          <w:bottom w:w="28" w:type="dxa"/>
          <w:right w:w="28" w:type="dxa"/>
        </w:tblCellMar>
      </w:tblPr>
      <w:tblGrid>
        <w:gridCol w:w="2716"/>
        <w:gridCol w:w="146"/>
        <w:gridCol w:w="182"/>
        <w:gridCol w:w="433"/>
        <w:gridCol w:w="182"/>
        <w:gridCol w:w="182"/>
        <w:gridCol w:w="182"/>
        <w:gridCol w:w="395"/>
        <w:gridCol w:w="166"/>
        <w:gridCol w:w="146"/>
        <w:gridCol w:w="166"/>
        <w:gridCol w:w="360"/>
        <w:gridCol w:w="185"/>
        <w:gridCol w:w="163"/>
        <w:gridCol w:w="166"/>
        <w:gridCol w:w="360"/>
        <w:gridCol w:w="185"/>
        <w:gridCol w:w="163"/>
        <w:gridCol w:w="166"/>
        <w:gridCol w:w="360"/>
        <w:gridCol w:w="211"/>
      </w:tblGrid>
      <w:tr>
        <w:trPr/>
        <w:tc>
          <w:tcPr>
            <w:tcW w:w="2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1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5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52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8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52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8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26"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r>
      <w:tr>
        <w:trPr/>
        <w:tc>
          <w:tcPr>
            <w:tcW w:w="2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7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Years ended September 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Open claims - beginning of year</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3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shd w:fill="auto" w:val="clear"/>
            <w:vAlign w:val="center"/>
          </w:tcPr>
          <w:p>
            <w:pPr>
              <w:pStyle w:val="TableContents"/>
              <w:spacing w:before="0" w:after="0"/>
              <w:ind w:left="0" w:right="0" w:hanging="0"/>
              <w:jc w:val="left"/>
              <w:rPr/>
            </w:pPr>
            <w:r>
              <w:rPr/>
              <w:t> </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claims filed</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3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Claims dismissed</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Open claims - end of period</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i/>
          <w:sz w:val="22"/>
        </w:rPr>
      </w:pPr>
      <w:r>
        <w:rPr>
          <w:rFonts w:ascii="Times New Roman;serif" w:hAnsi="Times New Roman;serif"/>
          <w:b w:val="false"/>
          <w:i/>
          <w:sz w:val="22"/>
        </w:rPr>
        <w:t>Hercules asbestos-related liability</w:t>
      </w:r>
    </w:p>
    <w:p>
      <w:pPr>
        <w:pStyle w:val="TextBody"/>
        <w:spacing w:before="120" w:after="0"/>
        <w:jc w:val="both"/>
        <w:rPr>
          <w:rFonts w:ascii="Times New Roman" w:hAnsi="Times New Roman"/>
          <w:sz w:val="20"/>
        </w:rPr>
      </w:pPr>
      <w:r>
        <w:rPr>
          <w:rFonts w:ascii="Times New Roman;serif" w:hAnsi="Times New Roman;serif"/>
          <w:b w:val="false"/>
          <w:sz w:val="22"/>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As a result of the most recent annual update of this estimate, completed during fiscal year 2022, it was determined that the liability for Hercules asbestos-related claims should be increased by $15</w:t>
      </w:r>
      <w:r>
        <w:rPr>
          <w:rFonts w:ascii="Times New Roman" w:hAnsi="Times New Roman"/>
          <w:sz w:val="20"/>
        </w:rPr>
        <w:t xml:space="preserve"> </w:t>
      </w:r>
      <w:r>
        <w:rPr>
          <w:rFonts w:ascii="Times New Roman;serif" w:hAnsi="Times New Roman;serif"/>
          <w:b w:val="false"/>
          <w:sz w:val="22"/>
        </w:rPr>
        <w:t>million. Total reserves for asbestos claims were $205</w:t>
      </w:r>
      <w:r>
        <w:rPr>
          <w:rFonts w:ascii="Times New Roman" w:hAnsi="Times New Roman"/>
          <w:sz w:val="20"/>
        </w:rPr>
        <w:t xml:space="preserve"> </w:t>
      </w:r>
      <w:r>
        <w:rPr>
          <w:rFonts w:ascii="Times New Roman;serif" w:hAnsi="Times New Roman;serif"/>
          <w:b w:val="false"/>
          <w:sz w:val="22"/>
        </w:rPr>
        <w:t>million at March 31, 2023 compared to $213</w:t>
      </w:r>
      <w:r>
        <w:rPr>
          <w:rFonts w:ascii="Times New Roman" w:hAnsi="Times New Roman"/>
          <w:sz w:val="20"/>
        </w:rPr>
        <w:t xml:space="preserve"> </w:t>
      </w:r>
      <w:r>
        <w:rPr>
          <w:rFonts w:ascii="Times New Roman;serif" w:hAnsi="Times New Roman;serif"/>
          <w:b w:val="false"/>
          <w:sz w:val="22"/>
        </w:rPr>
        <w:t>million at September 30, 2022.</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 progression of activity in the asbestos reserve is presented in the following table.</w:t>
      </w:r>
    </w:p>
    <w:p>
      <w:pPr>
        <w:pStyle w:val="TextBody"/>
        <w:spacing w:before="0" w:after="0"/>
        <w:jc w:val="both"/>
        <w:rPr/>
      </w:pPr>
      <w:r>
        <w:rPr/>
        <w:t> </w:t>
      </w:r>
    </w:p>
    <w:tbl>
      <w:tblPr>
        <w:tblW w:w="7811" w:type="dxa"/>
        <w:jc w:val="left"/>
        <w:tblInd w:w="0" w:type="dxa"/>
        <w:tblCellMar>
          <w:top w:w="28" w:type="dxa"/>
          <w:left w:w="28" w:type="dxa"/>
          <w:bottom w:w="28" w:type="dxa"/>
          <w:right w:w="28" w:type="dxa"/>
        </w:tblCellMar>
      </w:tblPr>
      <w:tblGrid>
        <w:gridCol w:w="3046"/>
        <w:gridCol w:w="146"/>
        <w:gridCol w:w="211"/>
        <w:gridCol w:w="421"/>
        <w:gridCol w:w="166"/>
        <w:gridCol w:w="146"/>
        <w:gridCol w:w="211"/>
        <w:gridCol w:w="421"/>
        <w:gridCol w:w="166"/>
        <w:gridCol w:w="146"/>
        <w:gridCol w:w="211"/>
        <w:gridCol w:w="421"/>
        <w:gridCol w:w="166"/>
        <w:gridCol w:w="146"/>
        <w:gridCol w:w="211"/>
        <w:gridCol w:w="421"/>
        <w:gridCol w:w="166"/>
        <w:gridCol w:w="146"/>
        <w:gridCol w:w="211"/>
        <w:gridCol w:w="421"/>
        <w:gridCol w:w="21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3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Years ended September 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Asbestos reserve - beginning of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w:t>
            </w:r>
          </w:p>
        </w:tc>
        <w:tc>
          <w:tcPr>
            <w:tcW w:w="21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Reserve adjustments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Asbestos reserve - end of period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rFonts w:ascii="Times New Roman;serif" w:hAnsi="Times New Roman;serif"/>
          <w:sz w:val="22"/>
        </w:rPr>
      </w:pPr>
      <w:r>
        <w:rPr>
          <w:rFonts w:ascii="Times New Roman;serif" w:hAnsi="Times New Roman;serif"/>
          <w:b w:val="false"/>
          <w:sz w:val="16"/>
        </w:rPr>
        <w:t>Included $18</w:t>
      </w:r>
      <w:r>
        <w:rPr>
          <w:rFonts w:ascii="Times New Roman;serif" w:hAnsi="Times New Roman;serif"/>
          <w:sz w:val="22"/>
        </w:rPr>
        <w:t xml:space="preserve"> </w:t>
      </w:r>
      <w:r>
        <w:rPr>
          <w:rFonts w:ascii="Times New Roman;serif" w:hAnsi="Times New Roman;serif"/>
          <w:b w:val="false"/>
          <w:sz w:val="16"/>
        </w:rPr>
        <w:t>million classified in accrued expenses and other liabilities on the Condensed Consolidated Balance Sheets as of March 31, 2023 and September 30,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Hercules asbestos-related receivables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pStyle w:val="TextBody"/>
        <w:spacing w:before="120" w:after="0"/>
        <w:jc w:val="both"/>
        <w:rPr>
          <w:rFonts w:ascii="Times New Roman" w:hAnsi="Times New Roman"/>
          <w:sz w:val="20"/>
        </w:rPr>
      </w:pPr>
      <w:r>
        <w:rPr>
          <w:rFonts w:ascii="Times New Roman;serif" w:hAnsi="Times New Roman;serif"/>
          <w:b w:val="false"/>
          <w:sz w:val="22"/>
        </w:rPr>
        <w:t>As of March 31, 2023, Ashland’s receivable for recoveries of litigation defense and claims costs from insurers with respect to Hercules amounted to $51</w:t>
      </w:r>
      <w:r>
        <w:rPr>
          <w:rFonts w:ascii="Times New Roman" w:hAnsi="Times New Roman"/>
          <w:sz w:val="20"/>
        </w:rPr>
        <w:t xml:space="preserve"> </w:t>
      </w:r>
      <w:r>
        <w:rPr>
          <w:rFonts w:ascii="Times New Roman;serif" w:hAnsi="Times New Roman;serif"/>
          <w:b w:val="false"/>
          <w:sz w:val="22"/>
        </w:rPr>
        <w:t>million compared to $52</w:t>
      </w:r>
      <w:r>
        <w:rPr>
          <w:rFonts w:ascii="Times New Roman" w:hAnsi="Times New Roman"/>
          <w:sz w:val="20"/>
        </w:rPr>
        <w:t xml:space="preserve"> </w:t>
      </w:r>
      <w:r>
        <w:rPr>
          <w:rFonts w:ascii="Times New Roman;serif" w:hAnsi="Times New Roman;serif"/>
          <w:b w:val="false"/>
          <w:sz w:val="22"/>
        </w:rPr>
        <w:t>million at September 30, 2022. During fiscal year 2022, the annual update of the model used for purposes of valuing the asbestos reserve and its impact on valuation of future recoveries from insurers was completed. This model update resulted in an increase of $7</w:t>
      </w:r>
      <w:r>
        <w:rPr>
          <w:rFonts w:ascii="Times New Roman" w:hAnsi="Times New Roman"/>
          <w:sz w:val="20"/>
        </w:rPr>
        <w:t xml:space="preserve"> </w:t>
      </w:r>
      <w:r>
        <w:rPr>
          <w:rFonts w:ascii="Times New Roman;serif" w:hAnsi="Times New Roman;serif"/>
          <w:b w:val="false"/>
          <w:sz w:val="22"/>
        </w:rPr>
        <w:t>million in the receivable for probable insurance recoveries.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 progression of activity in the Hercules insurance receivable is presented in the following table.</w:t>
      </w:r>
    </w:p>
    <w:p>
      <w:pPr>
        <w:pStyle w:val="TextBody"/>
        <w:spacing w:before="0" w:after="0"/>
        <w:jc w:val="both"/>
        <w:rPr/>
      </w:pPr>
      <w:r>
        <w:rPr/>
        <w:t> </w:t>
      </w:r>
    </w:p>
    <w:tbl>
      <w:tblPr>
        <w:tblW w:w="7849" w:type="dxa"/>
        <w:jc w:val="left"/>
        <w:tblInd w:w="0" w:type="dxa"/>
        <w:tblCellMar>
          <w:top w:w="28" w:type="dxa"/>
          <w:left w:w="28" w:type="dxa"/>
          <w:bottom w:w="28" w:type="dxa"/>
          <w:right w:w="28" w:type="dxa"/>
        </w:tblCellMar>
      </w:tblPr>
      <w:tblGrid>
        <w:gridCol w:w="3376"/>
        <w:gridCol w:w="146"/>
        <w:gridCol w:w="230"/>
        <w:gridCol w:w="378"/>
        <w:gridCol w:w="181"/>
        <w:gridCol w:w="159"/>
        <w:gridCol w:w="230"/>
        <w:gridCol w:w="378"/>
        <w:gridCol w:w="166"/>
        <w:gridCol w:w="146"/>
        <w:gridCol w:w="212"/>
        <w:gridCol w:w="318"/>
        <w:gridCol w:w="167"/>
        <w:gridCol w:w="147"/>
        <w:gridCol w:w="212"/>
        <w:gridCol w:w="318"/>
        <w:gridCol w:w="167"/>
        <w:gridCol w:w="147"/>
        <w:gridCol w:w="212"/>
        <w:gridCol w:w="348"/>
        <w:gridCol w:w="211"/>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7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5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53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7"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7"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53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67"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47"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6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4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Years ended September 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 receivable - beginning of year</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8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shd w:fill="auto" w:val="cle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Receivable adjustment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collected</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Insurance receivable - end of period </w:t>
            </w:r>
            <w:r>
              <w:rPr>
                <w:rFonts w:ascii="Times New Roman;serif" w:hAnsi="Times New Roman;serif"/>
                <w:b w:val="false"/>
                <w:sz w:val="16"/>
              </w:rPr>
              <w:t>(b)</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sz w:val="22"/>
        </w:rPr>
      </w:pPr>
      <w:r>
        <w:rPr>
          <w:rFonts w:ascii="Times New Roman;serif" w:hAnsi="Times New Roman;serif"/>
          <w:b w:val="false"/>
          <w:sz w:val="16"/>
        </w:rPr>
        <w:t>2021 includes a $1</w:t>
      </w:r>
      <w:r>
        <w:rPr>
          <w:rFonts w:ascii="Times New Roman;serif" w:hAnsi="Times New Roman;serif"/>
          <w:sz w:val="22"/>
        </w:rPr>
        <w:t xml:space="preserve"> </w:t>
      </w:r>
      <w:r>
        <w:rPr>
          <w:rFonts w:ascii="Times New Roman;serif" w:hAnsi="Times New Roman;serif"/>
          <w:b w:val="false"/>
          <w:sz w:val="16"/>
        </w:rPr>
        <w:t>million reserve adjustment related to allowances for credit losses as a result of Ashland's adoption of the new credit measurement standard. The total allowance for credit losses was $1</w:t>
      </w:r>
      <w:r>
        <w:rPr>
          <w:rFonts w:ascii="Times New Roman;serif" w:hAnsi="Times New Roman;serif"/>
          <w:sz w:val="22"/>
        </w:rPr>
        <w:t xml:space="preserve"> </w:t>
      </w:r>
      <w:r>
        <w:rPr>
          <w:rFonts w:ascii="Times New Roman;serif" w:hAnsi="Times New Roman;serif"/>
          <w:b w:val="false"/>
          <w:sz w:val="16"/>
        </w:rPr>
        <w:t>million as of March 31, 2023 and September 30, 2022.</w:t>
      </w:r>
    </w:p>
    <w:p>
      <w:pPr>
        <w:pStyle w:val="TextBody"/>
        <w:spacing w:before="120" w:after="0"/>
        <w:jc w:val="both"/>
        <w:rPr>
          <w:rFonts w:ascii="Times New Roman" w:hAnsi="Times New Roman"/>
          <w:b w:val="false"/>
          <w:sz w:val="16"/>
        </w:rPr>
      </w:pPr>
      <w:r>
        <w:rPr>
          <w:rFonts w:ascii="Times New Roman" w:hAnsi="Times New Roman"/>
          <w:b w:val="false"/>
          <w:sz w:val="16"/>
        </w:rPr>
        <w:t>(b)</w:t>
      </w:r>
    </w:p>
    <w:p>
      <w:pPr>
        <w:pStyle w:val="TextBody"/>
        <w:spacing w:before="120" w:after="283"/>
        <w:jc w:val="both"/>
        <w:rPr>
          <w:rFonts w:ascii="Times New Roman;serif" w:hAnsi="Times New Roman;serif"/>
          <w:sz w:val="22"/>
        </w:rPr>
      </w:pPr>
      <w:r>
        <w:rPr>
          <w:rFonts w:ascii="Times New Roman;serif" w:hAnsi="Times New Roman;serif"/>
          <w:b w:val="false"/>
          <w:sz w:val="16"/>
        </w:rPr>
        <w:t>Includes $2</w:t>
      </w:r>
      <w:r>
        <w:rPr>
          <w:rFonts w:ascii="Times New Roman;serif" w:hAnsi="Times New Roman;serif"/>
          <w:sz w:val="22"/>
        </w:rPr>
        <w:t xml:space="preserve"> </w:t>
      </w:r>
      <w:r>
        <w:rPr>
          <w:rFonts w:ascii="Times New Roman;serif" w:hAnsi="Times New Roman;serif"/>
          <w:b w:val="false"/>
          <w:sz w:val="16"/>
        </w:rPr>
        <w:t>million and $3</w:t>
      </w:r>
      <w:r>
        <w:rPr>
          <w:rFonts w:ascii="Times New Roman;serif" w:hAnsi="Times New Roman;serif"/>
          <w:sz w:val="22"/>
        </w:rPr>
        <w:t xml:space="preserve"> </w:t>
      </w:r>
      <w:r>
        <w:rPr>
          <w:rFonts w:ascii="Times New Roman;serif" w:hAnsi="Times New Roman;serif"/>
          <w:b w:val="false"/>
          <w:sz w:val="16"/>
        </w:rPr>
        <w:t>million classified in accounts receivable on the Condensed Consolidated Balance Sheets as of March 31, 2023 and September 30, 2022, respectively.</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Asbestos litigation cost projection</w:t>
      </w:r>
    </w:p>
    <w:p>
      <w:pPr>
        <w:pStyle w:val="TextBody"/>
        <w:spacing w:before="120" w:after="0"/>
        <w:jc w:val="both"/>
        <w:rPr>
          <w:rFonts w:ascii="Times New Roman" w:hAnsi="Times New Roman"/>
          <w:sz w:val="20"/>
        </w:rPr>
      </w:pPr>
      <w:r>
        <w:rPr>
          <w:rFonts w:ascii="Times New Roman;serif" w:hAnsi="Times New Roman;serif"/>
          <w:b w:val="false"/>
          <w:sz w:val="22"/>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w:t>
      </w:r>
      <w:r>
        <w:rPr>
          <w:rFonts w:ascii="Times New Roman" w:hAnsi="Times New Roman"/>
          <w:sz w:val="20"/>
        </w:rPr>
        <w:t xml:space="preserve"> </w:t>
      </w:r>
      <w:r>
        <w:rPr>
          <w:rFonts w:ascii="Times New Roman;serif" w:hAnsi="Times New Roman;serif"/>
          <w:b w:val="false"/>
          <w:sz w:val="22"/>
        </w:rPr>
        <w:t>year periods that it is reasonably possible that total future litigation defense and claim settlement costs on an inflated and undiscounted basis could range as high as approximately $456</w:t>
      </w:r>
      <w:r>
        <w:rPr>
          <w:rFonts w:ascii="Times New Roman" w:hAnsi="Times New Roman"/>
          <w:sz w:val="20"/>
        </w:rPr>
        <w:t xml:space="preserve"> </w:t>
      </w:r>
      <w:r>
        <w:rPr>
          <w:rFonts w:ascii="Times New Roman;serif" w:hAnsi="Times New Roman;serif"/>
          <w:b w:val="false"/>
          <w:sz w:val="22"/>
        </w:rPr>
        <w:t>million for the Ashland asbestos-related litigation (current reserve of $285</w:t>
      </w:r>
      <w:r>
        <w:rPr>
          <w:rFonts w:ascii="Times New Roman" w:hAnsi="Times New Roman"/>
          <w:sz w:val="20"/>
        </w:rPr>
        <w:t xml:space="preserve"> </w:t>
      </w:r>
      <w:r>
        <w:rPr>
          <w:rFonts w:ascii="Times New Roman;serif" w:hAnsi="Times New Roman;serif"/>
          <w:b w:val="false"/>
          <w:sz w:val="22"/>
        </w:rPr>
        <w:t>million) and approximately $317</w:t>
      </w:r>
      <w:r>
        <w:rPr>
          <w:rFonts w:ascii="Times New Roman" w:hAnsi="Times New Roman"/>
          <w:sz w:val="20"/>
        </w:rPr>
        <w:t xml:space="preserve"> </w:t>
      </w:r>
      <w:r>
        <w:rPr>
          <w:rFonts w:ascii="Times New Roman;serif" w:hAnsi="Times New Roman;serif"/>
          <w:b w:val="false"/>
          <w:sz w:val="22"/>
        </w:rPr>
        <w:t>million for the Hercules asbestos-related litigation (current reserve of $205</w:t>
      </w:r>
      <w:r>
        <w:rPr>
          <w:rFonts w:ascii="Times New Roman" w:hAnsi="Times New Roman"/>
          <w:sz w:val="20"/>
        </w:rPr>
        <w:t xml:space="preserve"> </w:t>
      </w:r>
      <w:r>
        <w:rPr>
          <w:rFonts w:ascii="Times New Roman;serif" w:hAnsi="Times New Roman;serif"/>
          <w:b w:val="false"/>
          <w:sz w:val="22"/>
        </w:rPr>
        <w:t>million), depending on the combination of assumptions selected in the various models. While the timeframe used in Ashland’s models for projecting asbestos liabilities generally decreases over time based on the expected lifetime of the liabilities, these models have been consistently applied between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pStyle w:val="TextBody"/>
        <w:spacing w:before="120" w:after="0"/>
        <w:jc w:val="both"/>
        <w:rPr>
          <w:rFonts w:ascii="Times New Roman;serif" w:hAnsi="Times New Roman;serif"/>
          <w:b/>
          <w:sz w:val="22"/>
        </w:rPr>
      </w:pPr>
      <w:r>
        <w:rPr>
          <w:rFonts w:ascii="Times New Roman;serif" w:hAnsi="Times New Roman;serif"/>
          <w:b/>
          <w:sz w:val="22"/>
        </w:rPr>
        <w:t>Environmental remediation and asset retirement obligations</w:t>
      </w:r>
    </w:p>
    <w:p>
      <w:pPr>
        <w:pStyle w:val="TextBody"/>
        <w:spacing w:before="120" w:after="0"/>
        <w:jc w:val="both"/>
        <w:rPr>
          <w:rFonts w:ascii="Times New Roman" w:hAnsi="Times New Roman"/>
          <w:sz w:val="20"/>
        </w:rPr>
      </w:pPr>
      <w:r>
        <w:rPr>
          <w:rFonts w:ascii="Times New Roman;serif" w:hAnsi="Times New Roman;serif"/>
          <w:b w:val="false"/>
          <w:sz w:val="22"/>
        </w:rPr>
        <w:t>Ashland is subject to various federal, state and local environmental laws and regulations that require environmental assessment or remediation efforts (collectively environmental remediation) at multiple locations. At March 31,</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120" w:after="0"/>
        <w:jc w:val="both"/>
        <w:rPr>
          <w:rFonts w:ascii="Times New Roman" w:hAnsi="Times New Roman"/>
          <w:sz w:val="20"/>
        </w:rPr>
      </w:pPr>
      <w:r>
        <w:rPr>
          <w:rFonts w:ascii="Times New Roman;serif" w:hAnsi="Times New Roman;serif"/>
          <w:b w:val="false"/>
          <w:sz w:val="22"/>
        </w:rPr>
        <w:t>2023, such locations included 58</w:t>
      </w:r>
      <w:r>
        <w:rPr>
          <w:rFonts w:ascii="Times New Roman" w:hAnsi="Times New Roman"/>
          <w:sz w:val="20"/>
        </w:rPr>
        <w:t xml:space="preserve"> </w:t>
      </w:r>
      <w:r>
        <w:rPr>
          <w:rFonts w:ascii="Times New Roman;serif" w:hAnsi="Times New Roman;serif"/>
          <w:b w:val="false"/>
          <w:sz w:val="22"/>
        </w:rPr>
        <w:t>sites where Ashland has been identified as a potentially responsible party under Superfund or similar state laws, 108</w:t>
      </w:r>
      <w:r>
        <w:rPr>
          <w:rFonts w:ascii="Times New Roman" w:hAnsi="Times New Roman"/>
          <w:sz w:val="20"/>
        </w:rPr>
        <w:t xml:space="preserve"> </w:t>
      </w:r>
      <w:r>
        <w:rPr>
          <w:rFonts w:ascii="Times New Roman;serif" w:hAnsi="Times New Roman;serif"/>
          <w:b w:val="false"/>
          <w:sz w:val="22"/>
        </w:rPr>
        <w:t>current and former operating facilities and about 1225</w:t>
      </w:r>
      <w:r>
        <w:rPr>
          <w:rFonts w:ascii="Times New Roman" w:hAnsi="Times New Roman"/>
          <w:sz w:val="20"/>
        </w:rPr>
        <w:t xml:space="preserve"> </w:t>
      </w:r>
      <w:r>
        <w:rPr>
          <w:rFonts w:ascii="Times New Roman;serif" w:hAnsi="Times New Roman;serif"/>
          <w:b w:val="false"/>
          <w:sz w:val="22"/>
        </w:rPr>
        <w:t>service station properties, of which 17</w:t>
      </w:r>
      <w:r>
        <w:rPr>
          <w:rFonts w:ascii="Times New Roman" w:hAnsi="Times New Roman"/>
          <w:sz w:val="20"/>
        </w:rPr>
        <w:t xml:space="preserve"> </w:t>
      </w:r>
      <w:r>
        <w:rPr>
          <w:rFonts w:ascii="Times New Roman;serif" w:hAnsi="Times New Roman;serif"/>
          <w:b w:val="false"/>
          <w:sz w:val="22"/>
        </w:rPr>
        <w:t>are being actively remediated.</w:t>
      </w:r>
    </w:p>
    <w:p>
      <w:pPr>
        <w:pStyle w:val="TextBody"/>
        <w:spacing w:before="120" w:after="0"/>
        <w:jc w:val="both"/>
        <w:rPr>
          <w:rFonts w:ascii="Times New Roman" w:hAnsi="Times New Roman"/>
          <w:sz w:val="20"/>
        </w:rPr>
      </w:pPr>
      <w:r>
        <w:rPr>
          <w:rFonts w:ascii="Times New Roman;serif" w:hAnsi="Times New Roman;serif"/>
          <w:b w:val="false"/>
          <w:sz w:val="22"/>
        </w:rPr>
        <w:t>Ashland’s reserves for environmental remediation</w:t>
      </w:r>
      <w:r>
        <w:rPr>
          <w:rFonts w:ascii="Times New Roman" w:hAnsi="Times New Roman"/>
          <w:sz w:val="20"/>
        </w:rPr>
        <w:t xml:space="preserve"> </w:t>
      </w:r>
      <w:r>
        <w:rPr>
          <w:rFonts w:ascii="Times New Roman;serif" w:hAnsi="Times New Roman;serif"/>
          <w:b w:val="false"/>
          <w:sz w:val="22"/>
        </w:rPr>
        <w:t>and related environmental litigation amounted to $193</w:t>
      </w:r>
      <w:r>
        <w:rPr>
          <w:rFonts w:ascii="Times New Roman" w:hAnsi="Times New Roman"/>
          <w:sz w:val="20"/>
        </w:rPr>
        <w:t xml:space="preserve"> </w:t>
      </w:r>
      <w:r>
        <w:rPr>
          <w:rFonts w:ascii="Times New Roman;serif" w:hAnsi="Times New Roman;serif"/>
          <w:b w:val="false"/>
          <w:sz w:val="22"/>
        </w:rPr>
        <w:t>million at March 31, 2023</w:t>
      </w:r>
      <w:r>
        <w:rPr>
          <w:rFonts w:ascii="Times New Roman" w:hAnsi="Times New Roman"/>
          <w:sz w:val="20"/>
        </w:rPr>
        <w:t xml:space="preserve"> </w:t>
      </w:r>
      <w:r>
        <w:rPr>
          <w:rFonts w:ascii="Times New Roman;serif" w:hAnsi="Times New Roman;serif"/>
          <w:b w:val="false"/>
          <w:sz w:val="22"/>
        </w:rPr>
        <w:t>compared to $211</w:t>
      </w:r>
      <w:r>
        <w:rPr>
          <w:rFonts w:ascii="Times New Roman" w:hAnsi="Times New Roman"/>
          <w:sz w:val="20"/>
        </w:rPr>
        <w:t xml:space="preserve"> </w:t>
      </w:r>
      <w:r>
        <w:rPr>
          <w:rFonts w:ascii="Times New Roman;serif" w:hAnsi="Times New Roman;serif"/>
          <w:b w:val="false"/>
          <w:sz w:val="22"/>
        </w:rPr>
        <w:t>million at September 30, 2022, of which $144</w:t>
      </w:r>
      <w:r>
        <w:rPr>
          <w:rFonts w:ascii="Times New Roman" w:hAnsi="Times New Roman"/>
          <w:sz w:val="20"/>
        </w:rPr>
        <w:t xml:space="preserve"> </w:t>
      </w:r>
      <w:r>
        <w:rPr>
          <w:rFonts w:ascii="Times New Roman;serif" w:hAnsi="Times New Roman;serif"/>
          <w:b w:val="false"/>
          <w:sz w:val="22"/>
        </w:rPr>
        <w:t>million at March 31, 2023</w:t>
      </w:r>
      <w:r>
        <w:rPr>
          <w:rFonts w:ascii="Times New Roman" w:hAnsi="Times New Roman"/>
          <w:sz w:val="20"/>
        </w:rPr>
        <w:t xml:space="preserve"> </w:t>
      </w:r>
      <w:r>
        <w:rPr>
          <w:rFonts w:ascii="Times New Roman;serif" w:hAnsi="Times New Roman;serif"/>
          <w:b w:val="false"/>
          <w:sz w:val="22"/>
        </w:rPr>
        <w:t>and $157</w:t>
      </w:r>
      <w:r>
        <w:rPr>
          <w:rFonts w:ascii="Times New Roman" w:hAnsi="Times New Roman"/>
          <w:sz w:val="20"/>
        </w:rPr>
        <w:t xml:space="preserve"> </w:t>
      </w:r>
      <w:r>
        <w:rPr>
          <w:rFonts w:ascii="Times New Roman;serif" w:hAnsi="Times New Roman;serif"/>
          <w:b w:val="false"/>
          <w:sz w:val="22"/>
        </w:rPr>
        <w:t>million at September 30, 2022 were classified in other noncurrent liabilities on the Condensed Consolidated Balance Sheets. The remaining reserves were classified in accrued expenses and other liabilities on the Condensed Consolidated Balance Sheets.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provides a reconciliation of the changes in the environmental remediation reserves during the six months ended March 31, 2023 and 2022.</w:t>
      </w:r>
    </w:p>
    <w:p>
      <w:pPr>
        <w:pStyle w:val="TextBody"/>
        <w:spacing w:before="0" w:after="0"/>
        <w:jc w:val="both"/>
        <w:rPr/>
      </w:pPr>
      <w:r>
        <w:rPr/>
        <w:t> </w:t>
      </w:r>
    </w:p>
    <w:tbl>
      <w:tblPr>
        <w:tblW w:w="5749" w:type="dxa"/>
        <w:jc w:val="left"/>
        <w:tblInd w:w="0" w:type="dxa"/>
        <w:tblCellMar>
          <w:top w:w="28" w:type="dxa"/>
          <w:left w:w="28" w:type="dxa"/>
          <w:bottom w:w="28" w:type="dxa"/>
          <w:right w:w="28" w:type="dxa"/>
        </w:tblCellMar>
      </w:tblPr>
      <w:tblGrid>
        <w:gridCol w:w="3616"/>
        <w:gridCol w:w="146"/>
        <w:gridCol w:w="211"/>
        <w:gridCol w:w="421"/>
        <w:gridCol w:w="166"/>
        <w:gridCol w:w="146"/>
        <w:gridCol w:w="211"/>
        <w:gridCol w:w="421"/>
        <w:gridCol w:w="411"/>
      </w:tblGrid>
      <w:tr>
        <w:trPr/>
        <w:tc>
          <w:tcPr>
            <w:tcW w:w="3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61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5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Reserve -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41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Disbursements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Revised obligation estimates and accretion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Reserve -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March 31, 2023 and September 30, 2022, Ashland’s recorded receivable for these probable insurance recoveries was $19</w:t>
      </w:r>
      <w:r>
        <w:rPr>
          <w:rFonts w:ascii="Times New Roman" w:hAnsi="Times New Roman"/>
          <w:sz w:val="20"/>
        </w:rPr>
        <w:t xml:space="preserve"> </w:t>
      </w:r>
      <w:r>
        <w:rPr>
          <w:rFonts w:ascii="Times New Roman;serif" w:hAnsi="Times New Roman;serif"/>
          <w:b w:val="false"/>
          <w:sz w:val="22"/>
        </w:rPr>
        <w:t>million and $21</w:t>
      </w:r>
      <w:r>
        <w:rPr>
          <w:rFonts w:ascii="Times New Roman" w:hAnsi="Times New Roman"/>
          <w:sz w:val="20"/>
        </w:rPr>
        <w:t xml:space="preserve"> </w:t>
      </w:r>
      <w:r>
        <w:rPr>
          <w:rFonts w:ascii="Times New Roman;serif" w:hAnsi="Times New Roman;serif"/>
          <w:b w:val="false"/>
          <w:sz w:val="22"/>
        </w:rPr>
        <w:t>million,</w:t>
      </w:r>
      <w:r>
        <w:rPr>
          <w:rFonts w:ascii="Times New Roman" w:hAnsi="Times New Roman"/>
          <w:sz w:val="20"/>
        </w:rPr>
        <w:t xml:space="preserve"> </w:t>
      </w:r>
      <w:r>
        <w:rPr>
          <w:rFonts w:ascii="Times New Roman;serif" w:hAnsi="Times New Roman;serif"/>
          <w:b w:val="false"/>
          <w:sz w:val="22"/>
        </w:rPr>
        <w:t>of which $16</w:t>
      </w:r>
      <w:r>
        <w:rPr>
          <w:rFonts w:ascii="Times New Roman" w:hAnsi="Times New Roman"/>
          <w:sz w:val="20"/>
        </w:rPr>
        <w:t xml:space="preserve"> </w:t>
      </w:r>
      <w:r>
        <w:rPr>
          <w:rFonts w:ascii="Times New Roman;serif" w:hAnsi="Times New Roman;serif"/>
          <w:b w:val="false"/>
          <w:sz w:val="22"/>
        </w:rPr>
        <w:t>million and $17</w:t>
      </w:r>
      <w:r>
        <w:rPr>
          <w:rFonts w:ascii="Times New Roman" w:hAnsi="Times New Roman"/>
          <w:sz w:val="20"/>
        </w:rPr>
        <w:t xml:space="preserve"> </w:t>
      </w:r>
      <w:r>
        <w:rPr>
          <w:rFonts w:ascii="Times New Roman;serif" w:hAnsi="Times New Roman;serif"/>
          <w:b w:val="false"/>
          <w:sz w:val="22"/>
        </w:rPr>
        <w:t>million at March 31, 2023 and</w:t>
      </w:r>
      <w:r>
        <w:rPr>
          <w:rFonts w:ascii="Times New Roman" w:hAnsi="Times New Roman"/>
          <w:sz w:val="20"/>
        </w:rPr>
        <w:t xml:space="preserve"> </w:t>
      </w:r>
      <w:r>
        <w:rPr>
          <w:rFonts w:ascii="Times New Roman;serif" w:hAnsi="Times New Roman;serif"/>
          <w:b w:val="false"/>
          <w:sz w:val="22"/>
        </w:rPr>
        <w:t>September 30, 2022</w:t>
      </w:r>
      <w:r>
        <w:rPr>
          <w:rFonts w:ascii="Times New Roman" w:hAnsi="Times New Roman"/>
          <w:sz w:val="20"/>
        </w:rPr>
        <w:t xml:space="preserve"> </w:t>
      </w:r>
      <w:r>
        <w:rPr>
          <w:rFonts w:ascii="Times New Roman;serif" w:hAnsi="Times New Roman;serif"/>
          <w:b w:val="false"/>
          <w:sz w:val="22"/>
        </w:rPr>
        <w:t>were classified in other noncurrent assets on the Condensed Consolidated Balance Sheets.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Components of environmental remediation expense included within the selling, general and administrative expense caption of the Statements of Consolidated Comprehensive Income (Loss) are presented in the following table for the three and six ended March 31, 2023 and 2022.</w:t>
      </w:r>
    </w:p>
    <w:tbl>
      <w:tblPr>
        <w:tblW w:w="7797" w:type="dxa"/>
        <w:jc w:val="left"/>
        <w:tblInd w:w="0" w:type="dxa"/>
        <w:tblCellMar>
          <w:top w:w="28" w:type="dxa"/>
          <w:left w:w="28" w:type="dxa"/>
          <w:bottom w:w="28" w:type="dxa"/>
          <w:right w:w="28" w:type="dxa"/>
        </w:tblCellMar>
      </w:tblPr>
      <w:tblGrid>
        <w:gridCol w:w="3616"/>
        <w:gridCol w:w="146"/>
        <w:gridCol w:w="269"/>
        <w:gridCol w:w="441"/>
        <w:gridCol w:w="186"/>
        <w:gridCol w:w="186"/>
        <w:gridCol w:w="269"/>
        <w:gridCol w:w="403"/>
        <w:gridCol w:w="166"/>
        <w:gridCol w:w="146"/>
        <w:gridCol w:w="239"/>
        <w:gridCol w:w="392"/>
        <w:gridCol w:w="165"/>
        <w:gridCol w:w="165"/>
        <w:gridCol w:w="239"/>
        <w:gridCol w:w="358"/>
        <w:gridCol w:w="411"/>
      </w:tblGrid>
      <w:tr>
        <w:trPr/>
        <w:tc>
          <w:tcPr>
            <w:tcW w:w="3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61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4"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558"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Environmental expense</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8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5"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411" w:type="dxa"/>
            <w:tcBorders/>
            <w:shd w:fill="auto" w:val="cle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Legal expense</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expense</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8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5"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411" w:type="dxa"/>
            <w:tcBorders/>
            <w:shd w:fill="auto" w:val="cle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0" w:type="dxa"/>
            <w:gridSpan w:val="2"/>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59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 receivable</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Total expense, net of receivable activity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pPr>
      <w:r>
        <w:rPr>
          <w:rFonts w:ascii="Times New Roman;serif" w:hAnsi="Times New Roman;serif"/>
          <w:b w:val="false"/>
          <w:sz w:val="16"/>
        </w:rPr>
        <w:t>Net expense of zero</w:t>
      </w:r>
      <w:r>
        <w:rPr/>
        <w:t xml:space="preserve"> </w:t>
      </w:r>
      <w:r>
        <w:rPr>
          <w:rFonts w:ascii="Times New Roman;serif" w:hAnsi="Times New Roman;serif"/>
          <w:b w:val="false"/>
          <w:sz w:val="16"/>
        </w:rPr>
        <w:t>and $1</w:t>
      </w:r>
      <w:r>
        <w:rPr/>
        <w:t xml:space="preserve"> </w:t>
      </w:r>
      <w:r>
        <w:rPr>
          <w:rFonts w:ascii="Times New Roman;serif" w:hAnsi="Times New Roman;serif"/>
          <w:b w:val="false"/>
          <w:sz w:val="16"/>
        </w:rPr>
        <w:t>million for the three and six months ended March 31, 2023, respectively, and $1</w:t>
      </w:r>
      <w:r>
        <w:rPr/>
        <w:t xml:space="preserve"> </w:t>
      </w:r>
      <w:r>
        <w:rPr>
          <w:rFonts w:ascii="Times New Roman;serif" w:hAnsi="Times New Roman;serif"/>
          <w:b w:val="false"/>
          <w:sz w:val="16"/>
        </w:rPr>
        <w:t>million and $2</w:t>
      </w:r>
      <w:r>
        <w:rPr/>
        <w:t xml:space="preserve"> </w:t>
      </w:r>
      <w:r>
        <w:rPr>
          <w:rFonts w:ascii="Times New Roman;serif" w:hAnsi="Times New Roman;serif"/>
          <w:b w:val="false"/>
          <w:sz w:val="16"/>
        </w:rPr>
        <w:t>million for the three and six months ended March 31, 2022, respectively, relates to divested businesses which qualified for treatment as discontinued operations for which certain environmental liabilities were retained by Ashland. These amounts are classified within the income (loss) from discontinued operations caption of the Statements of Consolidated Comprehensive Income (loss).</w:t>
      </w:r>
    </w:p>
    <w:p>
      <w:pPr>
        <w:pStyle w:val="TextBody"/>
        <w:spacing w:before="120" w:after="0"/>
        <w:jc w:val="both"/>
        <w:rPr>
          <w:rFonts w:ascii="Times New Roman" w:hAnsi="Times New Roman"/>
          <w:sz w:val="20"/>
        </w:rPr>
      </w:pPr>
      <w:r>
        <w:rPr>
          <w:rFonts w:ascii="Times New Roman;serif" w:hAnsi="Times New Roman;serif"/>
          <w:b w:val="false"/>
          <w:sz w:val="22"/>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$445</w:t>
      </w:r>
      <w:r>
        <w:rPr>
          <w:rFonts w:ascii="Times New Roman" w:hAnsi="Times New Roman"/>
          <w:sz w:val="20"/>
        </w:rPr>
        <w:t xml:space="preserve"> </w:t>
      </w:r>
      <w:r>
        <w:rPr>
          <w:rFonts w:ascii="Times New Roman;serif" w:hAnsi="Times New Roman;serif"/>
          <w:b w:val="false"/>
          <w:sz w:val="22"/>
        </w:rPr>
        <w:t>million. The largest reserve for any site is 14% of the remediation reserve.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120" w:after="0"/>
        <w:jc w:val="both"/>
        <w:rPr>
          <w:rFonts w:ascii="Times New Roman;serif" w:hAnsi="Times New Roman;serif"/>
          <w:b/>
          <w:sz w:val="22"/>
        </w:rPr>
      </w:pPr>
      <w:r>
        <w:rPr>
          <w:rFonts w:ascii="Times New Roman;serif" w:hAnsi="Times New Roman;serif"/>
          <w:b/>
          <w:sz w:val="22"/>
        </w:rPr>
        <w:t>Other legal proceedings and claims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2023. There is a reasonable possibility that a loss exceeding amounts already recognized may be incurred related to these actions; however, Ashland believes that such potential losses were immaterial as of March 31, 2023.</w:t>
      </w:r>
    </w:p>
    <w:p>
      <w:pPr>
        <w:pStyle w:val="TextBody"/>
        <w:spacing w:before="240" w:after="0"/>
        <w:jc w:val="both"/>
        <w:rPr>
          <w:rFonts w:ascii="Times New Roman" w:hAnsi="Times New Roman"/>
          <w:sz w:val="20"/>
        </w:rPr>
      </w:pPr>
      <w:r>
        <w:rPr>
          <w:rFonts w:ascii="Times New Roman;serif" w:hAnsi="Times New Roman;serif"/>
          <w:b/>
          <w:sz w:val="22"/>
        </w:rPr>
        <w:t>NOTE M</w:t>
      </w:r>
      <w:r>
        <w:rPr>
          <w:rFonts w:ascii="Times New Roman" w:hAnsi="Times New Roman"/>
          <w:sz w:val="20"/>
        </w:rPr>
        <w:t xml:space="preserve"> – </w:t>
      </w:r>
      <w:r>
        <w:rPr>
          <w:rFonts w:ascii="Times New Roman;serif" w:hAnsi="Times New Roman;serif"/>
          <w:b/>
          <w:sz w:val="22"/>
        </w:rPr>
        <w:t>EARNINGS PER SHARE</w:t>
      </w:r>
    </w:p>
    <w:p>
      <w:pPr>
        <w:pStyle w:val="TextBody"/>
        <w:spacing w:before="120" w:after="120"/>
        <w:jc w:val="both"/>
        <w:rPr>
          <w:rFonts w:ascii="Times New Roman" w:hAnsi="Times New Roman"/>
          <w:sz w:val="20"/>
        </w:rPr>
      </w:pPr>
      <w:r>
        <w:rPr>
          <w:rFonts w:ascii="Times New Roman;serif" w:hAnsi="Times New Roman;serif"/>
          <w:b w:val="false"/>
          <w:sz w:val="22"/>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w:t>
      </w:r>
      <w:r>
        <w:rPr>
          <w:rFonts w:ascii="Times New Roman;serif" w:hAnsi="Times New Roman;serif"/>
          <w:sz w:val="22"/>
        </w:rPr>
        <w:t xml:space="preserve"> </w:t>
      </w:r>
      <w:r>
        <w:rPr>
          <w:rFonts w:ascii="Times New Roman;serif" w:hAnsi="Times New Roman;serif"/>
          <w:b w:val="false"/>
          <w:sz w:val="22"/>
        </w:rPr>
        <w:t>million at March 31, 2023 and 2022, respectively. The majority of these shares are for warrants with a strike price of $128.66. Earnings per share is reported under the treasury stock method.</w:t>
      </w:r>
    </w:p>
    <w:tbl>
      <w:tblPr>
        <w:tblW w:w="8430" w:type="dxa"/>
        <w:jc w:val="left"/>
        <w:tblInd w:w="0" w:type="dxa"/>
        <w:tblCellMar>
          <w:top w:w="28" w:type="dxa"/>
          <w:left w:w="28" w:type="dxa"/>
          <w:bottom w:w="28" w:type="dxa"/>
          <w:right w:w="28" w:type="dxa"/>
        </w:tblCellMar>
      </w:tblPr>
      <w:tblGrid>
        <w:gridCol w:w="4201"/>
        <w:gridCol w:w="146"/>
        <w:gridCol w:w="225"/>
        <w:gridCol w:w="497"/>
        <w:gridCol w:w="155"/>
        <w:gridCol w:w="155"/>
        <w:gridCol w:w="225"/>
        <w:gridCol w:w="497"/>
        <w:gridCol w:w="146"/>
        <w:gridCol w:w="146"/>
        <w:gridCol w:w="211"/>
        <w:gridCol w:w="466"/>
        <w:gridCol w:w="146"/>
        <w:gridCol w:w="146"/>
        <w:gridCol w:w="211"/>
        <w:gridCol w:w="466"/>
        <w:gridCol w:w="391"/>
      </w:tblGrid>
      <w:tr>
        <w:trPr/>
        <w:tc>
          <w:tcPr>
            <w:tcW w:w="4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20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4"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4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3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4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 except per share data)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72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72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283"/>
              <w:ind w:left="0" w:right="0" w:hanging="0"/>
              <w:rPr>
                <w:sz w:val="4"/>
                <w:szCs w:val="4"/>
              </w:rPr>
            </w:pPr>
            <w:r>
              <w:rPr>
                <w:sz w:val="4"/>
                <w:szCs w:val="4"/>
              </w:rPr>
            </w:r>
          </w:p>
        </w:tc>
        <w:tc>
          <w:tcPr>
            <w:tcW w:w="391"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 for basic and diluted EPS -</w:t>
              <w:br/>
              <w:t>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72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72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283"/>
              <w:ind w:left="0" w:right="0" w:hanging="0"/>
              <w:rPr>
                <w:sz w:val="4"/>
                <w:szCs w:val="4"/>
              </w:rPr>
            </w:pPr>
            <w:r>
              <w:rPr>
                <w:sz w:val="4"/>
                <w:szCs w:val="4"/>
              </w:rPr>
            </w:r>
          </w:p>
        </w:tc>
        <w:tc>
          <w:tcPr>
            <w:tcW w:w="391" w:type="dxa"/>
            <w:tcBorders/>
            <w:shd w:fill="auto" w:val="clear"/>
            <w:vAlign w:val="center"/>
          </w:tcPr>
          <w:p>
            <w:pPr>
              <w:pStyle w:val="TableContents"/>
              <w:spacing w:before="0" w:after="0"/>
              <w:ind w:left="0" w:right="0" w:hanging="0"/>
              <w:jc w:val="righ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 for basic EPS - Weighted-</w:t>
              <w:br/>
              <w:t>   average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91"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 based awards convertible to common shares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 for diluted EPS - Adjusted weighted-</w:t>
              <w:br/>
              <w:t>   average shares and assumed conversions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EPS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722" w:type="dxa"/>
            <w:gridSpan w:val="2"/>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7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391" w:type="dxa"/>
            <w:tcBorders/>
            <w:shd w:fill="auto" w:val="clear"/>
            <w:vAlign w:val="center"/>
          </w:tcPr>
          <w:p>
            <w:pPr>
              <w:pStyle w:val="TableContents"/>
              <w:spacing w:before="0" w:after="0"/>
              <w:ind w:left="0" w:right="0" w:firstLine="200"/>
              <w:jc w:val="left"/>
              <w:rPr/>
            </w:pPr>
            <w:r>
              <w:rPr/>
              <w:t> </w:t>
            </w:r>
          </w:p>
        </w:tc>
      </w:tr>
      <w:tr>
        <w:trPr/>
        <w:tc>
          <w:tcPr>
            <w:tcW w:w="42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391" w:type="dxa"/>
            <w:tcBorders/>
            <w:shd w:fill="auto" w:val="clear"/>
            <w:vAlign w:val="center"/>
          </w:tcPr>
          <w:p>
            <w:pPr>
              <w:pStyle w:val="TableContents"/>
              <w:spacing w:before="0" w:after="0"/>
              <w:ind w:left="0" w:right="0" w:hanging="0"/>
              <w:jc w:val="left"/>
              <w:rPr/>
            </w:pPr>
            <w:r>
              <w:rPr/>
              <w:t> </w:t>
            </w:r>
          </w:p>
        </w:tc>
      </w:tr>
      <w:tr>
        <w:trPr/>
        <w:tc>
          <w:tcPr>
            <w:tcW w:w="4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both"/>
        <w:rPr>
          <w:rFonts w:ascii="Times New Roman" w:hAnsi="Times New Roman"/>
          <w:sz w:val="20"/>
        </w:rPr>
      </w:pPr>
      <w:r>
        <w:rPr>
          <w:rFonts w:ascii="Times New Roman;serif" w:hAnsi="Times New Roman;serif"/>
          <w:b/>
          <w:sz w:val="22"/>
        </w:rPr>
        <w:t>NOTE N</w:t>
      </w:r>
      <w:r>
        <w:rPr>
          <w:rFonts w:ascii="Times New Roman" w:hAnsi="Times New Roman"/>
          <w:sz w:val="20"/>
        </w:rPr>
        <w:t xml:space="preserve"> – </w:t>
      </w:r>
      <w:r>
        <w:rPr>
          <w:rFonts w:ascii="Times New Roman;serif" w:hAnsi="Times New Roman;serif"/>
          <w:b/>
          <w:sz w:val="22"/>
        </w:rPr>
        <w:t>EQUITY ITEMS</w:t>
      </w:r>
    </w:p>
    <w:p>
      <w:pPr>
        <w:pStyle w:val="TextBody"/>
        <w:spacing w:before="120" w:after="0"/>
        <w:jc w:val="both"/>
        <w:rPr>
          <w:rFonts w:ascii="Times New Roman;serif" w:hAnsi="Times New Roman;serif"/>
          <w:b/>
          <w:sz w:val="22"/>
        </w:rPr>
      </w:pPr>
      <w:r>
        <w:rPr>
          <w:rFonts w:ascii="Times New Roman;serif" w:hAnsi="Times New Roman;serif"/>
          <w:b/>
          <w:sz w:val="22"/>
        </w:rPr>
        <w:t>Stock repurchase program agreements</w:t>
      </w:r>
    </w:p>
    <w:p>
      <w:pPr>
        <w:pStyle w:val="TextBody"/>
        <w:spacing w:before="120" w:after="0"/>
        <w:jc w:val="both"/>
        <w:rPr>
          <w:rFonts w:ascii="Times New Roman" w:hAnsi="Times New Roman"/>
          <w:sz w:val="20"/>
        </w:rPr>
      </w:pPr>
      <w:r>
        <w:rPr>
          <w:rFonts w:ascii="Times New Roman;serif" w:hAnsi="Times New Roman;serif"/>
          <w:b w:val="false"/>
          <w:sz w:val="22"/>
        </w:rPr>
        <w:t>During March 2023, under the 2022 stock repurchase program, Ashland initiated a Rule 10b5-1 trading plan agreement to repurchase up to $100</w:t>
      </w:r>
      <w:r>
        <w:rPr>
          <w:rFonts w:ascii="Times New Roman" w:hAnsi="Times New Roman"/>
          <w:sz w:val="20"/>
        </w:rPr>
        <w:t xml:space="preserve"> </w:t>
      </w:r>
      <w:r>
        <w:rPr>
          <w:rFonts w:ascii="Times New Roman;serif" w:hAnsi="Times New Roman;serif"/>
          <w:b w:val="false"/>
          <w:sz w:val="22"/>
        </w:rPr>
        <w:t>million of its outstanding shares. The program was completed during April 2023, when Ashland paid a total of $100</w:t>
      </w:r>
      <w:r>
        <w:rPr>
          <w:rFonts w:ascii="Times New Roman" w:hAnsi="Times New Roman"/>
          <w:sz w:val="20"/>
        </w:rPr>
        <w:t xml:space="preserve"> </w:t>
      </w:r>
      <w:r>
        <w:rPr>
          <w:rFonts w:ascii="Times New Roman;serif" w:hAnsi="Times New Roman;serif"/>
          <w:b w:val="false"/>
          <w:sz w:val="22"/>
        </w:rPr>
        <w:t>million and received a delivery of 1.0</w:t>
      </w:r>
      <w:r>
        <w:rPr>
          <w:rFonts w:ascii="Times New Roman" w:hAnsi="Times New Roman"/>
          <w:sz w:val="20"/>
        </w:rPr>
        <w:t xml:space="preserve"> </w:t>
      </w:r>
      <w:r>
        <w:rPr>
          <w:rFonts w:ascii="Times New Roman;serif" w:hAnsi="Times New Roman;serif"/>
          <w:b w:val="false"/>
          <w:sz w:val="22"/>
        </w:rPr>
        <w:t>million shares of common stock. As of March 31, 2023, Ashland purchased a total of $52</w:t>
      </w:r>
      <w:r>
        <w:rPr>
          <w:rFonts w:ascii="Times New Roman" w:hAnsi="Times New Roman"/>
          <w:sz w:val="20"/>
        </w:rPr>
        <w:t xml:space="preserve"> </w:t>
      </w:r>
      <w:r>
        <w:rPr>
          <w:rFonts w:ascii="Times New Roman;serif" w:hAnsi="Times New Roman;serif"/>
          <w:b w:val="false"/>
          <w:sz w:val="22"/>
        </w:rPr>
        <w:t>million (of which $42</w:t>
      </w:r>
      <w:r>
        <w:rPr>
          <w:rFonts w:ascii="Times New Roman" w:hAnsi="Times New Roman"/>
          <w:sz w:val="20"/>
        </w:rPr>
        <w:t xml:space="preserve"> </w:t>
      </w:r>
      <w:r>
        <w:rPr>
          <w:rFonts w:ascii="Times New Roman;serif" w:hAnsi="Times New Roman;serif"/>
          <w:b w:val="false"/>
          <w:sz w:val="22"/>
        </w:rPr>
        <w:t>million was cash settled and $10</w:t>
      </w:r>
      <w:r>
        <w:rPr>
          <w:rFonts w:ascii="Times New Roman" w:hAnsi="Times New Roman"/>
          <w:sz w:val="20"/>
        </w:rPr>
        <w:t xml:space="preserve"> </w:t>
      </w:r>
      <w:r>
        <w:rPr>
          <w:rFonts w:ascii="Times New Roman;serif" w:hAnsi="Times New Roman;serif"/>
          <w:b w:val="false"/>
          <w:sz w:val="22"/>
        </w:rPr>
        <w:t>million was accrued within the accrued expenses and other liabilities caption for authorized and executed share repurchases pending settlement as of period end) and receive a delivery of 0.5</w:t>
      </w:r>
      <w:r>
        <w:rPr>
          <w:rFonts w:ascii="Times New Roman" w:hAnsi="Times New Roman"/>
          <w:sz w:val="20"/>
        </w:rPr>
        <w:t xml:space="preserve"> </w:t>
      </w:r>
      <w:r>
        <w:rPr>
          <w:rFonts w:ascii="Times New Roman;serif" w:hAnsi="Times New Roman;serif"/>
          <w:b w:val="false"/>
          <w:sz w:val="22"/>
        </w:rPr>
        <w:t>million shares of common stock.</w:t>
      </w:r>
    </w:p>
    <w:p>
      <w:pPr>
        <w:pStyle w:val="TextBody"/>
        <w:spacing w:before="120" w:after="0"/>
        <w:jc w:val="both"/>
        <w:rPr>
          <w:rFonts w:ascii="Times New Roman" w:hAnsi="Times New Roman"/>
          <w:sz w:val="20"/>
        </w:rPr>
      </w:pPr>
      <w:r>
        <w:rPr>
          <w:rFonts w:ascii="Times New Roman;serif" w:hAnsi="Times New Roman;serif"/>
          <w:b w:val="false"/>
          <w:sz w:val="22"/>
        </w:rPr>
        <w:t>During February 2023, under the 2022 stock repurchase program, Ashland initiated a Rule 10b5-1 trading plan agreement to repurchase up to $100</w:t>
      </w:r>
      <w:r>
        <w:rPr>
          <w:rFonts w:ascii="Times New Roman" w:hAnsi="Times New Roman"/>
          <w:sz w:val="20"/>
        </w:rPr>
        <w:t xml:space="preserve"> </w:t>
      </w:r>
      <w:r>
        <w:rPr>
          <w:rFonts w:ascii="Times New Roman;serif" w:hAnsi="Times New Roman;serif"/>
          <w:b w:val="false"/>
          <w:sz w:val="22"/>
        </w:rPr>
        <w:t>million of its outstanding shares. The program was completed during February 2023, when Ashland paid a total of $100</w:t>
      </w:r>
      <w:r>
        <w:rPr>
          <w:rFonts w:ascii="Times New Roman" w:hAnsi="Times New Roman"/>
          <w:sz w:val="20"/>
        </w:rPr>
        <w:t xml:space="preserve"> </w:t>
      </w:r>
      <w:r>
        <w:rPr>
          <w:rFonts w:ascii="Times New Roman;serif" w:hAnsi="Times New Roman;serif"/>
          <w:b w:val="false"/>
          <w:sz w:val="22"/>
        </w:rPr>
        <w:t>million and received a delivery of 1.0</w:t>
      </w:r>
      <w:r>
        <w:rPr>
          <w:rFonts w:ascii="Times New Roman" w:hAnsi="Times New Roman"/>
          <w:sz w:val="20"/>
        </w:rPr>
        <w:t xml:space="preserve"> </w:t>
      </w:r>
      <w:r>
        <w:rPr>
          <w:rFonts w:ascii="Times New Roman;serif" w:hAnsi="Times New Roman;serif"/>
          <w:b w:val="false"/>
          <w:sz w:val="22"/>
        </w:rPr>
        <w:t>million shares of common stock.</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2"/>
        </w:rPr>
        <w:t>On March 1, 2022, under the 2018 stock repurchase program, Ashland entered into an agreement to repurchase an aggregate amount of $200</w:t>
      </w:r>
      <w:r>
        <w:rPr>
          <w:rFonts w:ascii="Times New Roman" w:hAnsi="Times New Roman"/>
          <w:sz w:val="20"/>
        </w:rPr>
        <w:t xml:space="preserve"> </w:t>
      </w:r>
      <w:r>
        <w:rPr>
          <w:rFonts w:ascii="Times New Roman;serif" w:hAnsi="Times New Roman;serif"/>
          <w:b w:val="false"/>
          <w:sz w:val="22"/>
        </w:rPr>
        <w:t>million of Ashland common stock using open-market purchases under rule 10b-18. As of March 31, 2022, Ashland paid $155</w:t>
      </w:r>
      <w:r>
        <w:rPr>
          <w:rFonts w:ascii="Times New Roman" w:hAnsi="Times New Roman"/>
          <w:sz w:val="20"/>
        </w:rPr>
        <w:t xml:space="preserve"> </w:t>
      </w:r>
      <w:r>
        <w:rPr>
          <w:rFonts w:ascii="Times New Roman;serif" w:hAnsi="Times New Roman;serif"/>
          <w:b w:val="false"/>
          <w:sz w:val="22"/>
        </w:rPr>
        <w:t>million and received 1.7</w:t>
      </w:r>
      <w:r>
        <w:rPr>
          <w:rFonts w:ascii="Times New Roman" w:hAnsi="Times New Roman"/>
          <w:sz w:val="20"/>
        </w:rPr>
        <w:t xml:space="preserve"> </w:t>
      </w:r>
      <w:r>
        <w:rPr>
          <w:rFonts w:ascii="Times New Roman;serif" w:hAnsi="Times New Roman;serif"/>
          <w:b w:val="false"/>
          <w:sz w:val="22"/>
        </w:rPr>
        <w:t>million shares of common stock under the agreement.</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120" w:after="0"/>
        <w:jc w:val="both"/>
        <w:rPr>
          <w:rFonts w:ascii="Times New Roman;serif" w:hAnsi="Times New Roman;serif"/>
          <w:b/>
          <w:sz w:val="22"/>
        </w:rPr>
      </w:pPr>
      <w:r>
        <w:rPr>
          <w:rFonts w:ascii="Times New Roman;serif" w:hAnsi="Times New Roman;serif"/>
          <w:b/>
          <w:sz w:val="22"/>
        </w:rPr>
        <w:t>Stockholder dividends</w:t>
      </w:r>
    </w:p>
    <w:p>
      <w:pPr>
        <w:pStyle w:val="TextBody"/>
        <w:spacing w:before="120" w:after="0"/>
        <w:jc w:val="both"/>
        <w:rPr>
          <w:rFonts w:ascii="Times New Roman" w:hAnsi="Times New Roman"/>
          <w:sz w:val="20"/>
        </w:rPr>
      </w:pPr>
      <w:r>
        <w:rPr>
          <w:rFonts w:ascii="Times New Roman;serif" w:hAnsi="Times New Roman;serif"/>
          <w:b w:val="false"/>
          <w:sz w:val="22"/>
        </w:rPr>
        <w:t>Dividends of 33.5</w:t>
      </w:r>
      <w:r>
        <w:rPr>
          <w:rFonts w:ascii="Times New Roman" w:hAnsi="Times New Roman"/>
          <w:sz w:val="20"/>
        </w:rPr>
        <w:t xml:space="preserve"> </w:t>
      </w:r>
      <w:r>
        <w:rPr>
          <w:rFonts w:ascii="Times New Roman;serif" w:hAnsi="Times New Roman;serif"/>
          <w:b w:val="false"/>
          <w:sz w:val="22"/>
        </w:rPr>
        <w:t>cents per share were paid in the first and second quarters of fiscal 2023 and 30</w:t>
      </w:r>
      <w:r>
        <w:rPr>
          <w:rFonts w:ascii="Times New Roman" w:hAnsi="Times New Roman"/>
          <w:sz w:val="20"/>
        </w:rPr>
        <w:t xml:space="preserve"> </w:t>
      </w:r>
      <w:r>
        <w:rPr>
          <w:rFonts w:ascii="Times New Roman;serif" w:hAnsi="Times New Roman;serif"/>
          <w:b w:val="false"/>
          <w:sz w:val="22"/>
        </w:rPr>
        <w:t>cents per share were paid in the first and second quarters of fiscal 2022.</w:t>
      </w:r>
    </w:p>
    <w:p>
      <w:pPr>
        <w:pStyle w:val="TextBody"/>
        <w:spacing w:before="100" w:after="0"/>
        <w:jc w:val="both"/>
        <w:rPr>
          <w:rFonts w:ascii="Times New Roman;serif" w:hAnsi="Times New Roman;serif"/>
          <w:b/>
          <w:sz w:val="22"/>
        </w:rPr>
      </w:pPr>
      <w:r>
        <w:rPr>
          <w:rFonts w:ascii="Times New Roman;serif" w:hAnsi="Times New Roman;serif"/>
          <w:b/>
          <w:sz w:val="22"/>
        </w:rPr>
        <w:t>Accumulated other comprehensive income (loss)</w:t>
      </w:r>
    </w:p>
    <w:p>
      <w:pPr>
        <w:pStyle w:val="TextBody"/>
        <w:spacing w:before="100" w:after="120"/>
        <w:jc w:val="both"/>
        <w:rPr>
          <w:rFonts w:ascii="Times New Roman;serif" w:hAnsi="Times New Roman;serif"/>
          <w:b w:val="false"/>
          <w:sz w:val="22"/>
        </w:rPr>
      </w:pPr>
      <w:r>
        <w:rPr>
          <w:rFonts w:ascii="Times New Roman;serif" w:hAnsi="Times New Roman;serif"/>
          <w:b w:val="false"/>
          <w:sz w:val="22"/>
        </w:rPr>
        <w:t>Components of other comprehensive income (loss) recorded in the Statements of Consolidated Comprehensive Income (Loss) are presented below, before tax and net of tax effects.</w:t>
      </w:r>
    </w:p>
    <w:tbl>
      <w:tblPr>
        <w:tblW w:w="10205" w:type="dxa"/>
        <w:jc w:val="left"/>
        <w:tblInd w:w="0" w:type="dxa"/>
        <w:tblCellMar>
          <w:top w:w="28" w:type="dxa"/>
          <w:left w:w="28" w:type="dxa"/>
          <w:bottom w:w="28" w:type="dxa"/>
          <w:right w:w="28" w:type="dxa"/>
        </w:tblCellMar>
      </w:tblPr>
      <w:tblGrid>
        <w:gridCol w:w="2902"/>
        <w:gridCol w:w="146"/>
        <w:gridCol w:w="224"/>
        <w:gridCol w:w="450"/>
        <w:gridCol w:w="166"/>
        <w:gridCol w:w="146"/>
        <w:gridCol w:w="485"/>
        <w:gridCol w:w="799"/>
        <w:gridCol w:w="166"/>
        <w:gridCol w:w="146"/>
        <w:gridCol w:w="213"/>
        <w:gridCol w:w="426"/>
        <w:gridCol w:w="166"/>
        <w:gridCol w:w="146"/>
        <w:gridCol w:w="242"/>
        <w:gridCol w:w="432"/>
        <w:gridCol w:w="166"/>
        <w:gridCol w:w="146"/>
        <w:gridCol w:w="485"/>
        <w:gridCol w:w="799"/>
        <w:gridCol w:w="166"/>
        <w:gridCol w:w="146"/>
        <w:gridCol w:w="224"/>
        <w:gridCol w:w="400"/>
        <w:gridCol w:w="418"/>
      </w:tblGrid>
      <w:tr>
        <w:trPr/>
        <w:tc>
          <w:tcPr>
            <w:tcW w:w="29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290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3221"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3206"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41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9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Before </w:t>
              <w:br/>
              <w:t>tax</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Tax </w:t>
              <w:br/>
              <w:t>(expense) benefit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Net of </w:t>
              <w:br/>
              <w:t>tax</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Before </w:t>
              <w:br/>
              <w:t>tax</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Tax </w:t>
              <w:br/>
              <w:t>(expense) benefit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Net of </w:t>
              <w:br/>
              <w:t>tax</w:t>
            </w:r>
          </w:p>
        </w:tc>
        <w:tc>
          <w:tcPr>
            <w:tcW w:w="4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0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Three months ended March 31</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4" w:type="dxa"/>
            <w:gridSpan w:val="2"/>
            <w:tcBorders/>
            <w:shd w:fill="auto" w:val="clear"/>
            <w:vAlign w:val="center"/>
          </w:tcPr>
          <w:p>
            <w:pPr>
              <w:pStyle w:val="TableContents"/>
              <w:spacing w:before="0" w:after="0"/>
              <w:ind w:left="0" w:right="0" w:hanging="0"/>
              <w:jc w:val="left"/>
              <w:rPr/>
            </w:pPr>
            <w:r>
              <w:rPr/>
              <w:t> </w:t>
            </w:r>
          </w:p>
        </w:tc>
        <w:tc>
          <w:tcPr>
            <w:tcW w:w="418" w:type="dxa"/>
            <w:tcBorders/>
            <w:shd w:fill="auto" w:val="clear"/>
            <w:vAlign w:val="center"/>
          </w:tcPr>
          <w:p>
            <w:pPr>
              <w:pStyle w:val="TableContents"/>
              <w:spacing w:before="0" w:after="0"/>
              <w:ind w:left="0" w:right="0" w:hanging="0"/>
              <w:jc w:val="left"/>
              <w:rPr/>
            </w:pPr>
            <w:r>
              <w:rPr/>
              <w:t> </w:t>
            </w:r>
          </w:p>
        </w:tc>
      </w:tr>
      <w:tr>
        <w:trPr/>
        <w:tc>
          <w:tcPr>
            <w:tcW w:w="2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4" w:type="dxa"/>
            <w:gridSpan w:val="2"/>
            <w:tcBorders/>
            <w:shd w:fill="auto" w:val="clear"/>
            <w:vAlign w:val="center"/>
          </w:tcPr>
          <w:p>
            <w:pPr>
              <w:pStyle w:val="TableContents"/>
              <w:spacing w:before="0" w:after="0"/>
              <w:ind w:left="0" w:right="0" w:hanging="0"/>
              <w:jc w:val="left"/>
              <w:rPr/>
            </w:pPr>
            <w:r>
              <w:rPr/>
              <w:t> </w:t>
            </w:r>
          </w:p>
        </w:tc>
        <w:tc>
          <w:tcPr>
            <w:tcW w:w="418" w:type="dxa"/>
            <w:tcBorders/>
            <w:shd w:fill="auto" w:val="clear"/>
            <w:vAlign w:val="center"/>
          </w:tcPr>
          <w:p>
            <w:pPr>
              <w:pStyle w:val="TableContents"/>
              <w:spacing w:before="0" w:after="0"/>
              <w:ind w:left="0" w:right="0" w:firstLine="200"/>
              <w:jc w:val="left"/>
              <w:rPr/>
            </w:pPr>
            <w:r>
              <w:rPr/>
              <w:t> </w:t>
            </w:r>
          </w:p>
        </w:tc>
      </w:tr>
      <w:tr>
        <w:trPr/>
        <w:tc>
          <w:tcPr>
            <w:tcW w:w="290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translation gain (loss)</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1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0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commodity hedges</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4" w:type="dxa"/>
            <w:gridSpan w:val="2"/>
            <w:tcBorders/>
            <w:shd w:fill="auto" w:val="clear"/>
            <w:vAlign w:val="center"/>
          </w:tcPr>
          <w:p>
            <w:pPr>
              <w:pStyle w:val="TableContents"/>
              <w:spacing w:before="0" w:after="0"/>
              <w:ind w:left="0" w:right="0" w:hanging="0"/>
              <w:jc w:val="left"/>
              <w:rPr/>
            </w:pPr>
            <w:r>
              <w:rPr/>
              <w:t> </w:t>
            </w:r>
          </w:p>
        </w:tc>
        <w:tc>
          <w:tcPr>
            <w:tcW w:w="418" w:type="dxa"/>
            <w:tcBorders/>
            <w:shd w:fill="auto" w:val="clear"/>
            <w:vAlign w:val="center"/>
          </w:tcPr>
          <w:p>
            <w:pPr>
              <w:pStyle w:val="TableContents"/>
              <w:spacing w:before="0" w:after="0"/>
              <w:ind w:left="0" w:right="0" w:hanging="0"/>
              <w:jc w:val="left"/>
              <w:rPr/>
            </w:pPr>
            <w:r>
              <w:rPr/>
              <w:t> </w:t>
            </w:r>
          </w:p>
        </w:tc>
      </w:tr>
      <w:tr>
        <w:trPr/>
        <w:tc>
          <w:tcPr>
            <w:tcW w:w="290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Six months ended March 31</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4" w:type="dxa"/>
            <w:gridSpan w:val="2"/>
            <w:tcBorders/>
            <w:shd w:fill="auto" w:val="clear"/>
            <w:vAlign w:val="center"/>
          </w:tcPr>
          <w:p>
            <w:pPr>
              <w:pStyle w:val="TableContents"/>
              <w:spacing w:before="0" w:after="0"/>
              <w:ind w:left="0" w:right="0" w:hanging="0"/>
              <w:jc w:val="left"/>
              <w:rPr/>
            </w:pPr>
            <w:r>
              <w:rPr/>
              <w:t> </w:t>
            </w:r>
          </w:p>
        </w:tc>
        <w:tc>
          <w:tcPr>
            <w:tcW w:w="418" w:type="dxa"/>
            <w:tcBorders/>
            <w:shd w:fill="auto" w:val="clear"/>
            <w:vAlign w:val="center"/>
          </w:tcPr>
          <w:p>
            <w:pPr>
              <w:pStyle w:val="TableContents"/>
              <w:spacing w:before="0" w:after="0"/>
              <w:ind w:left="0" w:right="0" w:hanging="0"/>
              <w:jc w:val="left"/>
              <w:rPr/>
            </w:pPr>
            <w:r>
              <w:rPr/>
              <w:t> </w:t>
            </w:r>
          </w:p>
        </w:tc>
      </w:tr>
      <w:tr>
        <w:trPr/>
        <w:tc>
          <w:tcPr>
            <w:tcW w:w="2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4" w:type="dxa"/>
            <w:gridSpan w:val="2"/>
            <w:tcBorders/>
            <w:shd w:fill="auto" w:val="clear"/>
            <w:vAlign w:val="center"/>
          </w:tcPr>
          <w:p>
            <w:pPr>
              <w:pStyle w:val="TableContents"/>
              <w:spacing w:before="0" w:after="0"/>
              <w:ind w:left="0" w:right="0" w:hanging="0"/>
              <w:jc w:val="left"/>
              <w:rPr/>
            </w:pPr>
            <w:r>
              <w:rPr/>
              <w:t> </w:t>
            </w:r>
          </w:p>
        </w:tc>
        <w:tc>
          <w:tcPr>
            <w:tcW w:w="418" w:type="dxa"/>
            <w:tcBorders/>
            <w:shd w:fill="auto" w:val="clear"/>
            <w:vAlign w:val="center"/>
          </w:tcPr>
          <w:p>
            <w:pPr>
              <w:pStyle w:val="TableContents"/>
              <w:spacing w:before="0" w:after="0"/>
              <w:ind w:left="0" w:right="0" w:firstLine="200"/>
              <w:jc w:val="left"/>
              <w:rPr/>
            </w:pPr>
            <w:r>
              <w:rPr/>
              <w:t> </w:t>
            </w:r>
          </w:p>
        </w:tc>
      </w:tr>
      <w:tr>
        <w:trPr/>
        <w:tc>
          <w:tcPr>
            <w:tcW w:w="290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translation gain (loss)</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41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0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commodity hedges</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Summary of stockholders’ equity</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 reconciliation of changes in stockholders’ equity are as follows:</w:t>
      </w:r>
    </w:p>
    <w:tbl>
      <w:tblPr>
        <w:tblW w:w="9542" w:type="dxa"/>
        <w:jc w:val="left"/>
        <w:tblInd w:w="0" w:type="dxa"/>
        <w:tblCellMar>
          <w:top w:w="28" w:type="dxa"/>
          <w:left w:w="28" w:type="dxa"/>
          <w:bottom w:w="28" w:type="dxa"/>
          <w:right w:w="28" w:type="dxa"/>
        </w:tblCellMar>
      </w:tblPr>
      <w:tblGrid>
        <w:gridCol w:w="4921"/>
        <w:gridCol w:w="146"/>
        <w:gridCol w:w="211"/>
        <w:gridCol w:w="571"/>
        <w:gridCol w:w="166"/>
        <w:gridCol w:w="146"/>
        <w:gridCol w:w="211"/>
        <w:gridCol w:w="571"/>
        <w:gridCol w:w="166"/>
        <w:gridCol w:w="146"/>
        <w:gridCol w:w="211"/>
        <w:gridCol w:w="571"/>
        <w:gridCol w:w="166"/>
        <w:gridCol w:w="146"/>
        <w:gridCol w:w="211"/>
        <w:gridCol w:w="571"/>
        <w:gridCol w:w="411"/>
      </w:tblGrid>
      <w:tr>
        <w:trPr/>
        <w:tc>
          <w:tcPr>
            <w:tcW w:w="4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92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8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8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49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Common stock and paid in capital</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411" w:type="dxa"/>
            <w:tcBorders/>
            <w:shd w:fill="auto" w:val="cle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Compensation expense and common shares issued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411" w:type="dxa"/>
            <w:tcBorders/>
            <w:shd w:fill="auto" w:val="cle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Common shares purchased under repurchase program </w:t>
            </w:r>
            <w:r>
              <w:rPr>
                <w:rFonts w:ascii="Times New Roman;serif" w:hAnsi="Times New Roman;serif"/>
                <w:b w:val="false"/>
                <w:sz w:val="16"/>
              </w:rPr>
              <w:t>(b) (c)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2,796</w:t>
            </w:r>
          </w:p>
        </w:tc>
        <w:tc>
          <w:tcPr>
            <w:tcW w:w="411" w:type="dxa"/>
            <w:tcBorders/>
            <w:shd w:fill="auto" w:val="cle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411" w:type="dxa"/>
            <w:tcBorders/>
            <w:shd w:fill="auto" w:val="cle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Regular dividends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Common shares purchased under repurchase program </w:t>
            </w:r>
            <w:r>
              <w:rPr>
                <w:rFonts w:ascii="Times New Roman;serif" w:hAnsi="Times New Roman;serif"/>
                <w:b w:val="false"/>
                <w:sz w:val="16"/>
              </w:rPr>
              <w:t>(b)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9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Accumulated 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translation gain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(loss) on commodity hedges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9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dividends declared per common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0.600</w:t>
            </w:r>
          </w:p>
        </w:tc>
        <w:tc>
          <w:tcPr>
            <w:tcW w:w="411" w:type="dxa"/>
            <w:tcBorders/>
            <w:shd w:fill="auto" w:val="clear"/>
            <w:vAlign w:val="center"/>
          </w:tcPr>
          <w:p>
            <w:pPr>
              <w:pStyle w:val="TableContents"/>
              <w:spacing w:before="0" w:after="0"/>
              <w:ind w:left="0" w:right="0" w:hanging="0"/>
              <w:jc w:val="left"/>
              <w:rPr/>
            </w:pPr>
            <w:r>
              <w:rPr/>
              <w:t> </w:t>
            </w:r>
          </w:p>
        </w:tc>
      </w:tr>
      <w:tr>
        <w:trPr/>
        <w:tc>
          <w:tcPr>
            <w:tcW w:w="4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sz w:val="22"/>
        </w:rPr>
      </w:pPr>
      <w:r>
        <w:rPr>
          <w:rFonts w:ascii="Times New Roman;serif" w:hAnsi="Times New Roman;serif"/>
          <w:b w:val="false"/>
          <w:sz w:val="16"/>
        </w:rPr>
        <w:t>Common shares issued were 16,937</w:t>
      </w:r>
      <w:r>
        <w:rPr>
          <w:rFonts w:ascii="Times New Roman;serif" w:hAnsi="Times New Roman;serif"/>
          <w:sz w:val="22"/>
        </w:rPr>
        <w:t xml:space="preserve"> </w:t>
      </w:r>
      <w:r>
        <w:rPr>
          <w:rFonts w:ascii="Times New Roman;serif" w:hAnsi="Times New Roman;serif"/>
          <w:b w:val="false"/>
          <w:sz w:val="16"/>
        </w:rPr>
        <w:t>shares and 13,935</w:t>
      </w:r>
      <w:r>
        <w:rPr>
          <w:rFonts w:ascii="Times New Roman;serif" w:hAnsi="Times New Roman;serif"/>
          <w:sz w:val="22"/>
        </w:rPr>
        <w:t xml:space="preserve"> </w:t>
      </w:r>
      <w:r>
        <w:rPr>
          <w:rFonts w:ascii="Times New Roman;serif" w:hAnsi="Times New Roman;serif"/>
          <w:b w:val="false"/>
          <w:sz w:val="16"/>
        </w:rPr>
        <w:t>shares for the three months ended March 31, 2023 and 2022, respectively, and 144,514</w:t>
      </w:r>
      <w:r>
        <w:rPr>
          <w:rFonts w:ascii="Times New Roman;serif" w:hAnsi="Times New Roman;serif"/>
          <w:sz w:val="22"/>
        </w:rPr>
        <w:t xml:space="preserve"> </w:t>
      </w:r>
      <w:r>
        <w:rPr>
          <w:rFonts w:ascii="Times New Roman;serif" w:hAnsi="Times New Roman;serif"/>
          <w:b w:val="false"/>
          <w:sz w:val="16"/>
        </w:rPr>
        <w:t>shares and 108,650</w:t>
      </w:r>
      <w:r>
        <w:rPr>
          <w:rFonts w:ascii="Times New Roman;serif" w:hAnsi="Times New Roman;serif"/>
          <w:sz w:val="22"/>
        </w:rPr>
        <w:t xml:space="preserve"> </w:t>
      </w:r>
      <w:r>
        <w:rPr>
          <w:rFonts w:ascii="Times New Roman;serif" w:hAnsi="Times New Roman;serif"/>
          <w:b w:val="false"/>
          <w:sz w:val="16"/>
        </w:rPr>
        <w:t>shares for the six months ended March 31, 2023 and 2022, respectively.</w:t>
      </w:r>
    </w:p>
    <w:p>
      <w:pPr>
        <w:pStyle w:val="TextBody"/>
        <w:spacing w:before="120" w:after="0"/>
        <w:jc w:val="both"/>
        <w:rPr>
          <w:rFonts w:ascii="Times New Roman" w:hAnsi="Times New Roman"/>
          <w:b w:val="false"/>
          <w:sz w:val="16"/>
        </w:rPr>
      </w:pPr>
      <w:r>
        <w:rPr>
          <w:rFonts w:ascii="Times New Roman" w:hAnsi="Times New Roman"/>
          <w:b w:val="false"/>
          <w:sz w:val="16"/>
        </w:rPr>
        <w:t>(b)</w:t>
      </w:r>
    </w:p>
    <w:p>
      <w:pPr>
        <w:pStyle w:val="TextBody"/>
        <w:spacing w:before="120" w:after="0"/>
        <w:jc w:val="both"/>
        <w:rPr>
          <w:rFonts w:ascii="Times New Roman;serif" w:hAnsi="Times New Roman;serif"/>
          <w:sz w:val="22"/>
        </w:rPr>
      </w:pPr>
      <w:r>
        <w:rPr>
          <w:rFonts w:ascii="Times New Roman;serif" w:hAnsi="Times New Roman;serif"/>
          <w:b w:val="false"/>
          <w:sz w:val="16"/>
        </w:rPr>
        <w:t>Common shares repurchased were 1,488,251</w:t>
      </w:r>
      <w:r>
        <w:rPr>
          <w:rFonts w:ascii="Times New Roman;serif" w:hAnsi="Times New Roman;serif"/>
          <w:sz w:val="22"/>
        </w:rPr>
        <w:t xml:space="preserve"> </w:t>
      </w:r>
      <w:r>
        <w:rPr>
          <w:rFonts w:ascii="Times New Roman;serif" w:hAnsi="Times New Roman;serif"/>
          <w:b w:val="false"/>
          <w:sz w:val="16"/>
        </w:rPr>
        <w:t>shares for the three and six months ended March 31, 2023, and 2,403,380</w:t>
      </w:r>
      <w:r>
        <w:rPr>
          <w:rFonts w:ascii="Times New Roman;serif" w:hAnsi="Times New Roman;serif"/>
          <w:sz w:val="22"/>
        </w:rPr>
        <w:t xml:space="preserve"> </w:t>
      </w:r>
      <w:r>
        <w:rPr>
          <w:rFonts w:ascii="Times New Roman;serif" w:hAnsi="Times New Roman;serif"/>
          <w:b w:val="false"/>
          <w:sz w:val="16"/>
        </w:rPr>
        <w:t>shares for the three and six months ended March 31, 2022.</w:t>
      </w:r>
    </w:p>
    <w:p>
      <w:pPr>
        <w:pStyle w:val="TextBody"/>
        <w:spacing w:before="120" w:after="0"/>
        <w:jc w:val="both"/>
        <w:rPr>
          <w:rFonts w:ascii="Times New Roman" w:hAnsi="Times New Roman"/>
          <w:b w:val="false"/>
          <w:sz w:val="16"/>
        </w:rPr>
      </w:pPr>
      <w:r>
        <w:rPr>
          <w:rFonts w:ascii="Times New Roman" w:hAnsi="Times New Roman"/>
          <w:b w:val="false"/>
          <w:sz w:val="16"/>
        </w:rPr>
        <w:t>(c)</w:t>
      </w:r>
    </w:p>
    <w:p>
      <w:pPr>
        <w:pStyle w:val="TextBody"/>
        <w:spacing w:before="120" w:after="283"/>
        <w:jc w:val="both"/>
        <w:rPr>
          <w:rFonts w:ascii="Times New Roman;serif" w:hAnsi="Times New Roman;serif"/>
          <w:sz w:val="22"/>
        </w:rPr>
      </w:pPr>
      <w:r>
        <w:rPr>
          <w:rFonts w:ascii="Times New Roman;serif" w:hAnsi="Times New Roman;serif"/>
          <w:b w:val="false"/>
          <w:sz w:val="16"/>
        </w:rPr>
        <w:t>Includes $1</w:t>
      </w:r>
      <w:r>
        <w:rPr>
          <w:rFonts w:ascii="Times New Roman;serif" w:hAnsi="Times New Roman;serif"/>
          <w:sz w:val="22"/>
        </w:rPr>
        <w:t xml:space="preserve"> </w:t>
      </w:r>
      <w:r>
        <w:rPr>
          <w:rFonts w:ascii="Times New Roman;serif" w:hAnsi="Times New Roman;serif"/>
          <w:b w:val="false"/>
          <w:sz w:val="16"/>
        </w:rPr>
        <w:t>million in excise tax on stock repurchases for the three and six months ended March 31, 2023.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240" w:after="0"/>
        <w:jc w:val="both"/>
        <w:rPr>
          <w:rFonts w:ascii="Times New Roman;serif" w:hAnsi="Times New Roman;serif"/>
          <w:b/>
          <w:sz w:val="22"/>
        </w:rPr>
      </w:pPr>
      <w:r>
        <w:rPr>
          <w:rFonts w:ascii="Times New Roman;serif" w:hAnsi="Times New Roman;serif"/>
          <w:b/>
          <w:sz w:val="22"/>
        </w:rPr>
        <w:t>NOTE O – STOCK INCENTIVE PLANS</w:t>
      </w:r>
    </w:p>
    <w:p>
      <w:pPr>
        <w:pStyle w:val="TextBody"/>
        <w:spacing w:before="0" w:after="0"/>
        <w:jc w:val="both"/>
        <w:rPr/>
      </w:pPr>
      <w:r>
        <w:rPr/>
        <w:t> </w:t>
      </w:r>
    </w:p>
    <w:p>
      <w:pPr>
        <w:pStyle w:val="TextBody"/>
        <w:spacing w:before="0" w:after="120"/>
        <w:jc w:val="both"/>
        <w:rPr>
          <w:rFonts w:ascii="Times New Roman;serif" w:hAnsi="Times New Roman;serif"/>
          <w:b w:val="false"/>
          <w:sz w:val="22"/>
        </w:rPr>
      </w:pPr>
      <w:r>
        <w:rPr>
          <w:rFonts w:ascii="Times New Roman;serif" w:hAnsi="Times New Roman;serif"/>
          <w:b w:val="false"/>
          <w:sz w:val="22"/>
        </w:rPr>
        <w:t>The components of Ashland’s pre-tax stock-based compensation expense included in continuing operations are as follows:</w:t>
      </w:r>
    </w:p>
    <w:tbl>
      <w:tblPr>
        <w:tblW w:w="6553" w:type="dxa"/>
        <w:jc w:val="left"/>
        <w:tblInd w:w="0" w:type="dxa"/>
        <w:tblCellMar>
          <w:top w:w="28" w:type="dxa"/>
          <w:left w:w="28" w:type="dxa"/>
          <w:bottom w:w="28" w:type="dxa"/>
          <w:right w:w="28" w:type="dxa"/>
        </w:tblCellMar>
      </w:tblPr>
      <w:tblGrid>
        <w:gridCol w:w="2191"/>
        <w:gridCol w:w="383"/>
        <w:gridCol w:w="383"/>
        <w:gridCol w:w="225"/>
        <w:gridCol w:w="225"/>
        <w:gridCol w:w="390"/>
        <w:gridCol w:w="390"/>
        <w:gridCol w:w="146"/>
        <w:gridCol w:w="146"/>
        <w:gridCol w:w="306"/>
        <w:gridCol w:w="459"/>
        <w:gridCol w:w="169"/>
        <w:gridCol w:w="169"/>
        <w:gridCol w:w="312"/>
        <w:gridCol w:w="468"/>
        <w:gridCol w:w="191"/>
      </w:tblGrid>
      <w:tr>
        <w:trPr/>
        <w:tc>
          <w:tcPr>
            <w:tcW w:w="219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99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883"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191" w:type="dxa"/>
            <w:tcBorders/>
            <w:shd w:fill="auto" w:val="clear"/>
            <w:vAlign w:val="center"/>
          </w:tcPr>
          <w:p>
            <w:pPr>
              <w:pStyle w:val="TableContents"/>
              <w:spacing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2023 </w:t>
            </w:r>
            <w:r>
              <w:rPr>
                <w:rFonts w:ascii="Times New Roman;serif" w:hAnsi="Times New Roman;serif"/>
                <w:b w:val="false"/>
                <w:sz w:val="16"/>
              </w:rPr>
              <w:t>(a)</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2022 </w:t>
            </w:r>
            <w:r>
              <w:rPr>
                <w:rFonts w:ascii="Times New Roman;serif" w:hAnsi="Times New Roman;serif"/>
                <w:b w:val="false"/>
                <w:sz w:val="16"/>
              </w:rP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2023 </w:t>
            </w:r>
            <w:r>
              <w:rPr>
                <w:rFonts w:ascii="Times New Roman;serif" w:hAnsi="Times New Roman;serif"/>
                <w:b w:val="false"/>
                <w:sz w:val="16"/>
              </w:rPr>
              <w:t>(a)</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2022 </w:t>
            </w:r>
            <w:r>
              <w:rPr>
                <w:rFonts w:ascii="Times New Roman;serif" w:hAnsi="Times New Roman;serif"/>
                <w:b w:val="false"/>
                <w:sz w:val="16"/>
              </w:rPr>
              <w:t>(b)</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stock awards</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91" w:type="dxa"/>
            <w:tcBorders/>
            <w:shd w:fill="auto" w:val="clear"/>
            <w:vAlign w:val="center"/>
          </w:tcPr>
          <w:p>
            <w:pPr>
              <w:pStyle w:val="TableContents"/>
              <w:spacing w:before="0" w:after="0"/>
              <w:ind w:left="0" w:right="0" w:hanging="0"/>
              <w:jc w:val="left"/>
              <w:rPr/>
            </w:pPr>
            <w:r>
              <w:rPr/>
              <w:t> </w:t>
            </w:r>
          </w:p>
        </w:tc>
      </w:tr>
      <w:tr>
        <w:trPr/>
        <w:tc>
          <w:tcPr>
            <w:tcW w:w="2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share awards</w:t>
            </w:r>
          </w:p>
        </w:tc>
        <w:tc>
          <w:tcPr>
            <w:tcW w:w="3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91" w:type="dxa"/>
            <w:tcBorders/>
            <w:shd w:fill="auto" w:val="clear"/>
            <w:vAlign w:val="center"/>
          </w:tcPr>
          <w:p>
            <w:pPr>
              <w:pStyle w:val="TableContents"/>
              <w:spacing w:before="0" w:after="0"/>
              <w:ind w:left="0" w:right="0" w:hanging="0"/>
              <w:jc w:val="left"/>
              <w:rPr/>
            </w:pPr>
            <w:r>
              <w:rPr/>
              <w:t> </w:t>
            </w:r>
          </w:p>
        </w:tc>
        <w:tc>
          <w:tcPr>
            <w:tcW w:w="3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sz w:val="22"/>
        </w:rPr>
      </w:pPr>
      <w:r>
        <w:rPr>
          <w:rFonts w:ascii="Times New Roman;serif" w:hAnsi="Times New Roman;serif"/>
          <w:b w:val="false"/>
          <w:sz w:val="16"/>
        </w:rPr>
        <w:t>Included $1</w:t>
      </w:r>
      <w:r>
        <w:rPr>
          <w:rFonts w:ascii="Times New Roman;serif" w:hAnsi="Times New Roman;serif"/>
          <w:sz w:val="22"/>
        </w:rPr>
        <w:t xml:space="preserve"> </w:t>
      </w:r>
      <w:r>
        <w:rPr>
          <w:rFonts w:ascii="Times New Roman;serif" w:hAnsi="Times New Roman;serif"/>
          <w:b w:val="false"/>
          <w:sz w:val="16"/>
        </w:rPr>
        <w:t>million and $2</w:t>
      </w:r>
      <w:r>
        <w:rPr>
          <w:rFonts w:ascii="Times New Roman;serif" w:hAnsi="Times New Roman;serif"/>
          <w:sz w:val="22"/>
        </w:rPr>
        <w:t xml:space="preserve"> </w:t>
      </w:r>
      <w:r>
        <w:rPr>
          <w:rFonts w:ascii="Times New Roman;serif" w:hAnsi="Times New Roman;serif"/>
          <w:b w:val="false"/>
          <w:sz w:val="16"/>
        </w:rPr>
        <w:t>million of expense related to cash-settled nonvested restricted stock awards during the three and six months ended March 31, 2023.</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283"/>
        <w:jc w:val="both"/>
        <w:rPr>
          <w:rFonts w:ascii="Times New Roman;serif" w:hAnsi="Times New Roman;serif"/>
          <w:sz w:val="22"/>
        </w:rPr>
      </w:pPr>
      <w:r>
        <w:rPr>
          <w:rFonts w:ascii="Times New Roman;serif" w:hAnsi="Times New Roman;serif"/>
          <w:b w:val="false"/>
          <w:sz w:val="16"/>
        </w:rPr>
        <w:t>Included zero</w:t>
      </w:r>
      <w:r>
        <w:rPr>
          <w:rFonts w:ascii="Times New Roman;serif" w:hAnsi="Times New Roman;serif"/>
          <w:sz w:val="22"/>
        </w:rPr>
        <w:t xml:space="preserve"> </w:t>
      </w:r>
      <w:r>
        <w:rPr>
          <w:rFonts w:ascii="Times New Roman;serif" w:hAnsi="Times New Roman;serif"/>
          <w:b w:val="false"/>
          <w:sz w:val="16"/>
        </w:rPr>
        <w:t>and $2</w:t>
      </w:r>
      <w:r>
        <w:rPr>
          <w:rFonts w:ascii="Times New Roman;serif" w:hAnsi="Times New Roman;serif"/>
          <w:sz w:val="22"/>
        </w:rPr>
        <w:t xml:space="preserve"> </w:t>
      </w:r>
      <w:r>
        <w:rPr>
          <w:rFonts w:ascii="Times New Roman;serif" w:hAnsi="Times New Roman;serif"/>
          <w:b w:val="false"/>
          <w:sz w:val="16"/>
        </w:rPr>
        <w:t>million of expense related to cash-settled nonvested restricted stock awards during the three and six months ended March 31,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120" w:after="0"/>
        <w:jc w:val="both"/>
        <w:rPr>
          <w:rFonts w:ascii="Times New Roman;serif" w:hAnsi="Times New Roman;serif"/>
          <w:b/>
          <w:sz w:val="22"/>
        </w:rPr>
      </w:pPr>
      <w:r>
        <w:rPr>
          <w:rFonts w:ascii="Times New Roman;serif" w:hAnsi="Times New Roman;serif"/>
          <w:b/>
          <w:sz w:val="22"/>
        </w:rPr>
        <w:t>NOTE P – REVENUE</w:t>
      </w:r>
    </w:p>
    <w:p>
      <w:pPr>
        <w:pStyle w:val="TextBody"/>
        <w:spacing w:before="120" w:after="0"/>
        <w:jc w:val="both"/>
        <w:rPr>
          <w:rFonts w:ascii="Times New Roman;serif" w:hAnsi="Times New Roman;serif"/>
          <w:b/>
          <w:sz w:val="22"/>
        </w:rPr>
      </w:pPr>
      <w:r>
        <w:rPr>
          <w:rFonts w:ascii="Times New Roman;serif" w:hAnsi="Times New Roman;serif"/>
          <w:b/>
          <w:sz w:val="22"/>
        </w:rPr>
        <w:t>Disaggregation of revenue</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Ashland disaggregates its revenue by segment and geographical region as Ashland believes these categories best depict how management reviews the financial performance of its operations. Ashland includes only U.S. and Canada in its North America designation and includes Europe, the Middle East and Africa in its Europe designation. See the following tables for details. See Note Q for additional information.</w:t>
      </w:r>
    </w:p>
    <w:tbl>
      <w:tblPr>
        <w:tblW w:w="5977" w:type="dxa"/>
        <w:jc w:val="left"/>
        <w:tblInd w:w="0" w:type="dxa"/>
        <w:tblCellMar>
          <w:top w:w="28" w:type="dxa"/>
          <w:left w:w="28" w:type="dxa"/>
          <w:bottom w:w="28" w:type="dxa"/>
          <w:right w:w="28" w:type="dxa"/>
        </w:tblCellMar>
      </w:tblPr>
      <w:tblGrid>
        <w:gridCol w:w="1936"/>
        <w:gridCol w:w="146"/>
        <w:gridCol w:w="238"/>
        <w:gridCol w:w="475"/>
        <w:gridCol w:w="164"/>
        <w:gridCol w:w="164"/>
        <w:gridCol w:w="238"/>
        <w:gridCol w:w="475"/>
        <w:gridCol w:w="146"/>
        <w:gridCol w:w="146"/>
        <w:gridCol w:w="211"/>
        <w:gridCol w:w="422"/>
        <w:gridCol w:w="146"/>
        <w:gridCol w:w="146"/>
        <w:gridCol w:w="211"/>
        <w:gridCol w:w="422"/>
        <w:gridCol w:w="291"/>
      </w:tblGrid>
      <w:tr>
        <w:trPr/>
        <w:tc>
          <w:tcPr>
            <w:tcW w:w="1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5686" w:type="dxa"/>
            <w:gridSpan w:val="16"/>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Sales by geography</w:t>
            </w:r>
          </w:p>
        </w:tc>
        <w:tc>
          <w:tcPr>
            <w:tcW w:w="2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19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4"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8"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Six months ended</w:t>
            </w:r>
          </w:p>
        </w:tc>
        <w:tc>
          <w:tcPr>
            <w:tcW w:w="291" w:type="dxa"/>
            <w:tcBorders/>
            <w:shd w:fill="auto" w:val="clear"/>
            <w:vAlign w:val="center"/>
          </w:tcPr>
          <w:p>
            <w:pPr>
              <w:pStyle w:val="TableContents"/>
              <w:spacing w:before="0" w:after="0"/>
              <w:ind w:left="0" w:right="0" w:hanging="0"/>
              <w:jc w:val="center"/>
              <w:rPr/>
            </w:pPr>
            <w:r>
              <w:rPr/>
              <w:t> </w:t>
            </w:r>
          </w:p>
        </w:tc>
      </w:tr>
      <w:tr>
        <w:trPr/>
        <w:tc>
          <w:tcPr>
            <w:tcW w:w="19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86" w:type="dxa"/>
            <w:gridSpan w:val="1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Life Sciences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North America</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61</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115</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Europe</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87</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121</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Asia Pacific</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62</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98</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Latin America &amp; other</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40</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240</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374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8"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Six months ended</w:t>
            </w:r>
          </w:p>
        </w:tc>
        <w:tc>
          <w:tcPr>
            <w:tcW w:w="291" w:type="dxa"/>
            <w:tcBorders/>
            <w:shd w:fill="auto" w:val="clear"/>
            <w:vAlign w:val="center"/>
          </w:tcPr>
          <w:p>
            <w:pPr>
              <w:pStyle w:val="TableContents"/>
              <w:spacing w:before="0" w:after="0"/>
              <w:ind w:left="0" w:right="0" w:hanging="0"/>
              <w:jc w:val="center"/>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86" w:type="dxa"/>
            <w:gridSpan w:val="1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Personal Care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North America</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96</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Europe</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69</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125</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Asia Pacific</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28</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62</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Latin America &amp; other</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22</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35</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167</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318</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8"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Six months ended</w:t>
            </w:r>
          </w:p>
        </w:tc>
        <w:tc>
          <w:tcPr>
            <w:tcW w:w="291" w:type="dxa"/>
            <w:tcBorders/>
            <w:shd w:fill="auto" w:val="clear"/>
            <w:vAlign w:val="center"/>
          </w:tcPr>
          <w:p>
            <w:pPr>
              <w:pStyle w:val="TableContents"/>
              <w:spacing w:before="0" w:after="0"/>
              <w:ind w:left="0" w:right="0" w:hanging="0"/>
              <w:jc w:val="center"/>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86" w:type="dxa"/>
            <w:gridSpan w:val="1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Specialty Additives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North America</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52</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114</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Europe</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61</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125</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Asia Pacific</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39</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85</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Latin America &amp; other</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161</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338</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8"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Six months ended</w:t>
            </w:r>
          </w:p>
        </w:tc>
        <w:tc>
          <w:tcPr>
            <w:tcW w:w="291" w:type="dxa"/>
            <w:tcBorders/>
            <w:shd w:fill="auto" w:val="clear"/>
            <w:vAlign w:val="center"/>
          </w:tcPr>
          <w:p>
            <w:pPr>
              <w:pStyle w:val="TableContents"/>
              <w:spacing w:before="0" w:after="0"/>
              <w:ind w:left="0" w:right="0" w:hanging="0"/>
              <w:jc w:val="center"/>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86" w:type="dxa"/>
            <w:gridSpan w:val="1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9"/>
              </w:rPr>
            </w:pPr>
            <w:r>
              <w:rPr>
                <w:rFonts w:ascii="Times New Roman;serif" w:hAnsi="Times New Roman;serif"/>
                <w:b w:val="false"/>
                <w:sz w:val="19"/>
              </w:rPr>
              <w:t>Intermediates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North America</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74</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Europe</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Asia Pacific</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21</w:t>
            </w:r>
          </w:p>
        </w:tc>
        <w:tc>
          <w:tcPr>
            <w:tcW w:w="291"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Times New Roman;serif" w:hAnsi="Times New Roman;serif"/>
                <w:b w:val="false"/>
                <w:sz w:val="19"/>
              </w:rPr>
            </w:pPr>
            <w:r>
              <w:rPr>
                <w:rFonts w:ascii="Times New Roman;serif" w:hAnsi="Times New Roman;serif"/>
                <w:b w:val="false"/>
                <w:sz w:val="19"/>
              </w:rPr>
              <w:t>Latin America &amp; other</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51</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serif" w:hAnsi="Times New Roman;serif"/>
          <w:b/>
          <w:sz w:val="22"/>
        </w:rPr>
      </w:pPr>
      <w:r>
        <w:rPr>
          <w:rFonts w:ascii="Times New Roman;serif" w:hAnsi="Times New Roman;serif"/>
          <w:b/>
          <w:sz w:val="22"/>
        </w:rPr>
        <w:t>Trade receivables</w:t>
      </w:r>
    </w:p>
    <w:p>
      <w:pPr>
        <w:pStyle w:val="TextBody"/>
        <w:spacing w:before="120" w:after="0"/>
        <w:jc w:val="both"/>
        <w:rPr>
          <w:rFonts w:ascii="Times New Roman" w:hAnsi="Times New Roman"/>
          <w:sz w:val="20"/>
        </w:rPr>
      </w:pPr>
      <w:r>
        <w:rPr>
          <w:rFonts w:ascii="Times New Roman;serif" w:hAnsi="Times New Roman;serif"/>
          <w:b w:val="false"/>
          <w:sz w:val="22"/>
        </w:rPr>
        <w:t>Trade receivables are defined as receivables arising from contracts with customers and are recorded within the accounts receivable caption within the Condensed Consolidated Balance Sheets. Ashland’s trade receivables were $365</w:t>
      </w:r>
      <w:r>
        <w:rPr>
          <w:rFonts w:ascii="Times New Roman" w:hAnsi="Times New Roman"/>
          <w:sz w:val="20"/>
        </w:rPr>
        <w:t xml:space="preserve"> </w:t>
      </w:r>
      <w:r>
        <w:rPr>
          <w:rFonts w:ascii="Times New Roman;serif" w:hAnsi="Times New Roman;serif"/>
          <w:b w:val="false"/>
          <w:sz w:val="22"/>
        </w:rPr>
        <w:t>million and $369</w:t>
      </w:r>
      <w:r>
        <w:rPr>
          <w:rFonts w:ascii="Times New Roman" w:hAnsi="Times New Roman"/>
          <w:sz w:val="20"/>
        </w:rPr>
        <w:t xml:space="preserve"> </w:t>
      </w:r>
      <w:r>
        <w:rPr>
          <w:rFonts w:ascii="Times New Roman;serif" w:hAnsi="Times New Roman;serif"/>
          <w:b w:val="false"/>
          <w:sz w:val="22"/>
        </w:rPr>
        <w:t>million as of March 31, 2023 and September 30, 2022, respectively. See Note H for additional information on Ashland’s program to sell certain receivables on a revolving basis to third party banks up to an aggregate purchase limit (U.S Accounts Receivable Sales Program).</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NOTE Q – REPORTABLE SEGMENT INFORMATION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pStyle w:val="TextBody"/>
        <w:spacing w:before="120" w:after="0"/>
        <w:jc w:val="both"/>
        <w:rPr>
          <w:rFonts w:ascii="Times New Roman;serif" w:hAnsi="Times New Roman;serif"/>
          <w:b/>
          <w:sz w:val="22"/>
        </w:rPr>
      </w:pPr>
      <w:r>
        <w:rPr>
          <w:rFonts w:ascii="Times New Roman;serif" w:hAnsi="Times New Roman;serif"/>
          <w:b/>
          <w:sz w:val="22"/>
        </w:rPr>
        <w:t>Reportable segment business descriptions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Life Sciences is comprised of pharmaceuticals, nutrition, nutraceuticals, agricultural chemicals, diagnostic films (formerly known as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Life Sciences, Personal Care, and Specialty Additives for use as a raw material.</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Unallocated and Other generally includes items such as certain significant company-wide restructuring activities, corporate governance costs and legacy costs or activities that relate to divested businesses that are no longer operated by Ashland.</w:t>
      </w:r>
    </w:p>
    <w:p>
      <w:pPr>
        <w:pStyle w:val="TextBody"/>
        <w:spacing w:before="120" w:after="0"/>
        <w:jc w:val="both"/>
        <w:rPr>
          <w:rFonts w:ascii="Times New Roman;serif" w:hAnsi="Times New Roman;serif"/>
          <w:b/>
          <w:sz w:val="22"/>
        </w:rPr>
      </w:pPr>
      <w:r>
        <w:rPr>
          <w:rFonts w:ascii="Times New Roman;serif" w:hAnsi="Times New Roman;serif"/>
          <w:b/>
          <w:sz w:val="22"/>
        </w:rPr>
        <w:t>Reportable segment results</w:t>
      </w:r>
    </w:p>
    <w:p>
      <w:pPr>
        <w:pStyle w:val="TextBody"/>
        <w:spacing w:before="120" w:after="0"/>
        <w:jc w:val="both"/>
        <w:rPr>
          <w:rFonts w:ascii="Times New Roman" w:hAnsi="Times New Roman"/>
          <w:sz w:val="20"/>
        </w:rPr>
      </w:pPr>
      <w:r>
        <w:rPr>
          <w:rFonts w:ascii="Times New Roman;serif" w:hAnsi="Times New Roman;serif"/>
          <w:b w:val="false"/>
          <w:sz w:val="22"/>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120" w:after="0"/>
        <w:jc w:val="both"/>
        <w:rPr>
          <w:rFonts w:ascii="Times New Roman;serif" w:hAnsi="Times New Roman;serif"/>
          <w:b w:val="false"/>
          <w:sz w:val="22"/>
        </w:rPr>
      </w:pPr>
      <w:r>
        <w:rPr>
          <w:rFonts w:ascii="Times New Roman;serif" w:hAnsi="Times New Roman;serif"/>
          <w:b w:val="false"/>
          <w:sz w:val="22"/>
        </w:rPr>
        <w:t>costs are recorded within the other net periodic benefit loss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table presents various financial information for each reportable segment for the three and six months ended March 31, 2023 and 2022.</w:t>
      </w:r>
    </w:p>
    <w:tbl>
      <w:tblPr>
        <w:tblW w:w="7139" w:type="dxa"/>
        <w:jc w:val="left"/>
        <w:tblInd w:w="0" w:type="dxa"/>
        <w:tblCellMar>
          <w:top w:w="28" w:type="dxa"/>
          <w:left w:w="28" w:type="dxa"/>
          <w:bottom w:w="28" w:type="dxa"/>
          <w:right w:w="28" w:type="dxa"/>
        </w:tblCellMar>
      </w:tblPr>
      <w:tblGrid>
        <w:gridCol w:w="2806"/>
        <w:gridCol w:w="235"/>
        <w:gridCol w:w="469"/>
        <w:gridCol w:w="184"/>
        <w:gridCol w:w="162"/>
        <w:gridCol w:w="235"/>
        <w:gridCol w:w="469"/>
        <w:gridCol w:w="166"/>
        <w:gridCol w:w="146"/>
        <w:gridCol w:w="211"/>
        <w:gridCol w:w="571"/>
        <w:gridCol w:w="166"/>
        <w:gridCol w:w="146"/>
        <w:gridCol w:w="211"/>
        <w:gridCol w:w="571"/>
        <w:gridCol w:w="391"/>
      </w:tblGrid>
      <w:tr>
        <w:trPr/>
        <w:tc>
          <w:tcPr>
            <w:tcW w:w="280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0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4"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8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3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 - unaudited)</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SALES</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i/>
                <w:sz w:val="20"/>
              </w:rPr>
              <w:t xml:space="preserve">Intersegment sales </w:t>
            </w:r>
            <w:r>
              <w:rPr>
                <w:rFonts w:ascii="Times New Roman;serif" w:hAnsi="Times New Roman;serif"/>
                <w:b w:val="false"/>
                <w:sz w:val="16"/>
              </w:rPr>
              <w:t>(a)</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shd w:fill="auto" w:val="clear"/>
            <w:vAlign w:val="center"/>
          </w:tcPr>
          <w:p>
            <w:pPr>
              <w:pStyle w:val="TableContents"/>
              <w:spacing w:before="0" w:after="283"/>
              <w:ind w:left="0" w:right="0" w:hanging="0"/>
              <w:rPr>
                <w:sz w:val="4"/>
                <w:szCs w:val="4"/>
              </w:rPr>
            </w:pPr>
            <w:r>
              <w:rPr>
                <w:sz w:val="4"/>
                <w:szCs w:val="4"/>
              </w:rPr>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INCOME (LOSS)</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Unallocated and other</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DEPRECIATION EXPENSE</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AMORTIZATION EXPENSE</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 xml:space="preserve">EBITDA </w:t>
            </w:r>
            <w:r>
              <w:rPr>
                <w:rFonts w:ascii="Times New Roman;serif" w:hAnsi="Times New Roman;serif"/>
                <w:b w:val="false"/>
                <w:sz w:val="16"/>
              </w:rPr>
              <w:t>(b)</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Unallocated and other</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tbl>
      <w:tblPr>
        <w:tblW w:w="4884" w:type="dxa"/>
        <w:jc w:val="left"/>
        <w:tblInd w:w="0" w:type="dxa"/>
        <w:tblCellMar>
          <w:top w:w="28" w:type="dxa"/>
          <w:left w:w="28" w:type="dxa"/>
          <w:bottom w:w="28" w:type="dxa"/>
          <w:right w:w="28" w:type="dxa"/>
        </w:tblCellMar>
      </w:tblPr>
      <w:tblGrid>
        <w:gridCol w:w="2101"/>
        <w:gridCol w:w="239"/>
        <w:gridCol w:w="646"/>
        <w:gridCol w:w="146"/>
        <w:gridCol w:w="146"/>
        <w:gridCol w:w="327"/>
        <w:gridCol w:w="888"/>
        <w:gridCol w:w="391"/>
      </w:tblGrid>
      <w:tr>
        <w:trPr/>
        <w:tc>
          <w:tcPr>
            <w:tcW w:w="210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30</w:t>
            </w:r>
          </w:p>
        </w:tc>
        <w:tc>
          <w:tcPr>
            <w:tcW w:w="391" w:type="dxa"/>
            <w:tcBorders/>
            <w:shd w:fill="auto" w:val="clear"/>
            <w:vAlign w:val="center"/>
          </w:tcPr>
          <w:p>
            <w:pPr>
              <w:pStyle w:val="TableContents"/>
              <w:spacing w:before="0" w:after="0"/>
              <w:ind w:left="0" w:right="0" w:hanging="0"/>
              <w:jc w:val="center"/>
              <w:rPr/>
            </w:pPr>
            <w:r>
              <w:rPr/>
              <w:t> </w:t>
            </w:r>
          </w:p>
        </w:tc>
      </w:tr>
      <w:tr>
        <w:trPr/>
        <w:tc>
          <w:tcPr>
            <w:tcW w:w="21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 - unaudited)</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10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1,905</w:t>
            </w:r>
          </w:p>
        </w:tc>
        <w:tc>
          <w:tcPr>
            <w:tcW w:w="391" w:type="dxa"/>
            <w:tcBorders/>
            <w:shd w:fill="auto" w:val="clear"/>
            <w:vAlign w:val="center"/>
          </w:tcPr>
          <w:p>
            <w:pPr>
              <w:pStyle w:val="TableContents"/>
              <w:spacing w:before="0" w:after="0"/>
              <w:ind w:left="0" w:right="0" w:firstLine="200"/>
              <w:jc w:val="left"/>
              <w:rPr/>
            </w:pPr>
            <w:r>
              <w:rPr/>
              <w:t> </w:t>
            </w:r>
          </w:p>
        </w:tc>
      </w:tr>
      <w:tr>
        <w:trPr/>
        <w:tc>
          <w:tcPr>
            <w:tcW w:w="210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391" w:type="dxa"/>
            <w:tcBorders/>
            <w:shd w:fill="auto" w:val="clear"/>
            <w:vAlign w:val="center"/>
          </w:tcPr>
          <w:p>
            <w:pPr>
              <w:pStyle w:val="TableContents"/>
              <w:spacing w:before="0" w:after="0"/>
              <w:ind w:left="0" w:right="0" w:firstLine="200"/>
              <w:jc w:val="left"/>
              <w:rPr/>
            </w:pPr>
            <w:r>
              <w:rPr/>
              <w:t> </w:t>
            </w:r>
          </w:p>
        </w:tc>
      </w:tr>
      <w:tr>
        <w:trPr/>
        <w:tc>
          <w:tcPr>
            <w:tcW w:w="210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1,567</w:t>
            </w:r>
          </w:p>
        </w:tc>
        <w:tc>
          <w:tcPr>
            <w:tcW w:w="391" w:type="dxa"/>
            <w:tcBorders/>
            <w:shd w:fill="auto" w:val="clear"/>
            <w:vAlign w:val="center"/>
          </w:tcPr>
          <w:p>
            <w:pPr>
              <w:pStyle w:val="TableContents"/>
              <w:spacing w:before="0" w:after="0"/>
              <w:ind w:left="0" w:right="0" w:firstLine="200"/>
              <w:jc w:val="left"/>
              <w:rPr/>
            </w:pPr>
            <w:r>
              <w:rPr/>
              <w:t> </w:t>
            </w:r>
          </w:p>
        </w:tc>
      </w:tr>
      <w:tr>
        <w:trPr/>
        <w:tc>
          <w:tcPr>
            <w:tcW w:w="210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9"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391" w:type="dxa"/>
            <w:tcBorders/>
            <w:shd w:fill="auto" w:val="clear"/>
            <w:vAlign w:val="center"/>
          </w:tcPr>
          <w:p>
            <w:pPr>
              <w:pStyle w:val="TableContents"/>
              <w:spacing w:before="0" w:after="0"/>
              <w:ind w:left="0" w:right="0" w:firstLine="200"/>
              <w:jc w:val="left"/>
              <w:rPr/>
            </w:pPr>
            <w:r>
              <w:rPr/>
              <w:t> </w:t>
            </w:r>
          </w:p>
        </w:tc>
      </w:tr>
      <w:tr>
        <w:trPr/>
        <w:tc>
          <w:tcPr>
            <w:tcW w:w="210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Unallocated and other</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Intersegment sales from Intermediates are accounted for at prices that approximate fair value. All other intersegment sales are accounted for at cost.</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283"/>
        <w:jc w:val="both"/>
        <w:rPr>
          <w:rFonts w:ascii="Times New Roman;serif" w:hAnsi="Times New Roman;serif"/>
          <w:b w:val="false"/>
          <w:sz w:val="16"/>
        </w:rPr>
      </w:pPr>
      <w:r>
        <w:rPr>
          <w:rFonts w:ascii="Times New Roman;serif" w:hAnsi="Times New Roman;serif"/>
          <w:b w:val="false"/>
          <w:sz w:val="16"/>
        </w:rPr>
        <w:t>Excludes income (loss) from discontinued operations and other net periodic benefit loss (income). See the Statement of Consolidated Comprehensive Income (Loss) for applicable amounts excluded.</w:t>
      </w:r>
    </w:p>
    <w:p>
      <w:pPr>
        <w:pStyle w:val="TextBody"/>
        <w:spacing w:before="40" w:after="0"/>
        <w:jc w:val="both"/>
        <w:rPr/>
      </w:pPr>
      <w:r>
        <w:rPr/>
        <w:t> </w:t>
      </w:r>
    </w:p>
    <w:p>
      <w:pPr>
        <w:pStyle w:val="TextBody"/>
        <w:spacing w:before="4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ASHLAND INC. AND CONSOLIDATED SUBSIDIARIES</w:t>
      </w:r>
    </w:p>
    <w:p>
      <w:pPr>
        <w:pStyle w:val="TextBody"/>
        <w:spacing w:before="0" w:after="0"/>
        <w:jc w:val="both"/>
        <w:rPr>
          <w:rFonts w:ascii="Times New Roman;serif" w:hAnsi="Times New Roman;serif"/>
          <w:b/>
          <w:sz w:val="22"/>
        </w:rPr>
      </w:pPr>
      <w:r>
        <w:rPr>
          <w:rFonts w:ascii="Times New Roman;serif" w:hAnsi="Times New Roman;serif"/>
          <w:b/>
          <w:sz w:val="22"/>
        </w:rPr>
        <w:t>FORWARD-LOOKING STATEMENTS</w:t>
      </w:r>
    </w:p>
    <w:p>
      <w:pPr>
        <w:pStyle w:val="TextBody"/>
        <w:spacing w:before="120" w:after="0"/>
        <w:jc w:val="both"/>
        <w:rPr>
          <w:rFonts w:ascii="Times New Roman" w:hAnsi="Times New Roman"/>
          <w:sz w:val="20"/>
        </w:rPr>
      </w:pPr>
      <w:r>
        <w:rPr>
          <w:rFonts w:ascii="Times New Roman;serif" w:hAnsi="Times New Roman;serif"/>
          <w:b w:val="false"/>
          <w:sz w:val="22"/>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our growth strategies; the competitive nature of our business; severe weather, natural disasters, public health crises (including the COVID-19 pandemic), cyber events and legal proceedings and claims (including product recalls, environmental and asbestos matters); the effects of the COVID-19 pandemic and the ongoing Ukraine and Russia conflict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of its most recent Form 10-K filed with SEC. Various risks and uncertainties may cause actual results to differ materially from those stated, projected or implied by any forward-looking statements. The extent and duration of the COVID-19 pandemic on our business and operations remains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ITEM 2. MANAGEMENT’S DISCUSSION AND ANALYSIS OF FINANCIAL CONDITION AND RESULTS OF OPERATIONS</w:t>
      </w:r>
    </w:p>
    <w:p>
      <w:pPr>
        <w:pStyle w:val="TextBody"/>
        <w:spacing w:before="0" w:after="0"/>
        <w:jc w:val="left"/>
        <w:rPr>
          <w:rFonts w:ascii="Times New Roman;serif" w:hAnsi="Times New Roman;serif"/>
          <w:b/>
          <w:sz w:val="22"/>
        </w:rPr>
      </w:pPr>
      <w:r>
        <w:rPr>
          <w:rFonts w:ascii="Times New Roman;serif" w:hAnsi="Times New Roman;serif"/>
          <w:b/>
          <w:sz w:val="22"/>
        </w:rPr>
        <w:t>ASHLAND INC. AND CONSOLIDATED SUBSIDIARIES</w:t>
      </w:r>
    </w:p>
    <w:p>
      <w:pPr>
        <w:pStyle w:val="TextBody"/>
        <w:spacing w:before="0" w:after="0"/>
        <w:jc w:val="left"/>
        <w:rPr>
          <w:rFonts w:ascii="Times New Roman;serif" w:hAnsi="Times New Roman;serif"/>
          <w:b/>
          <w:sz w:val="22"/>
        </w:rPr>
      </w:pPr>
      <w:r>
        <w:rPr>
          <w:rFonts w:ascii="Times New Roman;serif" w:hAnsi="Times New Roman;serif"/>
          <w:b/>
          <w:sz w:val="22"/>
        </w:rPr>
        <w:t>MANAGEMENT’S DISCUSSION AND ANALYSIS</w:t>
      </w:r>
    </w:p>
    <w:p>
      <w:pPr>
        <w:pStyle w:val="TextBody"/>
        <w:spacing w:before="0"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following discussion should be read in conjunction with the Condensed Consolidated Financial Statements and the accompanying Notes to Condensed Consolidated Financial Statements herein.</w:t>
      </w:r>
    </w:p>
    <w:p>
      <w:pPr>
        <w:pStyle w:val="TextBody"/>
        <w:spacing w:before="0" w:after="0"/>
        <w:jc w:val="both"/>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BUSINESS OVERVIEW</w:t>
      </w:r>
    </w:p>
    <w:p>
      <w:pPr>
        <w:pStyle w:val="TextBody"/>
        <w:spacing w:before="120" w:after="0"/>
        <w:jc w:val="both"/>
        <w:rPr>
          <w:rFonts w:ascii="Times New Roman;serif" w:hAnsi="Times New Roman;serif"/>
          <w:b/>
          <w:sz w:val="22"/>
        </w:rPr>
      </w:pPr>
      <w:r>
        <w:rPr>
          <w:rFonts w:ascii="Times New Roman;serif" w:hAnsi="Times New Roman;serif"/>
          <w:b/>
          <w:sz w:val="22"/>
        </w:rPr>
        <w:t>Ashland profile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is a global additives and specialty ingredients company with a conscious and proactive mindset for environment, social and governance (ESG). The Company serves customers in a wide range of consumer and industrial markets, including architectural coatings, construction, energy, food and beverage, nutraceuticals, personal care and pharmaceutical. With approximately 3,900 employees worldwide, Ashland serves customers in more than 100 countries.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sales generated outside of North America were 70% for the three and six months ended March 31, 2023 and 67% for the three and six months ended March 31, 2022. Sales by region expressed as a percentage of total consolidated sales for the three and six months ended March 31 were as follows:</w:t>
      </w:r>
    </w:p>
    <w:p>
      <w:pPr>
        <w:pStyle w:val="TextBody"/>
        <w:spacing w:before="0" w:after="0"/>
        <w:jc w:val="both"/>
        <w:rPr/>
      </w:pPr>
      <w:r>
        <w:rPr/>
        <w:t> </w:t>
      </w:r>
    </w:p>
    <w:tbl>
      <w:tblPr>
        <w:tblW w:w="6124" w:type="dxa"/>
        <w:jc w:val="left"/>
        <w:tblInd w:w="0" w:type="dxa"/>
        <w:tblCellMar>
          <w:top w:w="28" w:type="dxa"/>
          <w:left w:w="28" w:type="dxa"/>
          <w:bottom w:w="28" w:type="dxa"/>
          <w:right w:w="28" w:type="dxa"/>
        </w:tblCellMar>
      </w:tblPr>
      <w:tblGrid>
        <w:gridCol w:w="1936"/>
        <w:gridCol w:w="146"/>
        <w:gridCol w:w="165"/>
        <w:gridCol w:w="476"/>
        <w:gridCol w:w="306"/>
        <w:gridCol w:w="165"/>
        <w:gridCol w:w="165"/>
        <w:gridCol w:w="476"/>
        <w:gridCol w:w="271"/>
        <w:gridCol w:w="146"/>
        <w:gridCol w:w="146"/>
        <w:gridCol w:w="423"/>
        <w:gridCol w:w="272"/>
        <w:gridCol w:w="146"/>
        <w:gridCol w:w="146"/>
        <w:gridCol w:w="423"/>
        <w:gridCol w:w="316"/>
      </w:tblGrid>
      <w:tr>
        <w:trPr/>
        <w:tc>
          <w:tcPr>
            <w:tcW w:w="1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3"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27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55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31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by Geography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19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North America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Europe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Latin America &amp; other</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rFonts w:ascii="Times New Roman;serif" w:hAnsi="Times New Roman;serif"/>
          <w:b w:val="false"/>
          <w:sz w:val="16"/>
        </w:rPr>
      </w:pPr>
      <w:r>
        <w:rPr>
          <w:rFonts w:ascii="Times New Roman;serif" w:hAnsi="Times New Roman;serif"/>
          <w:b w:val="false"/>
          <w:sz w:val="16"/>
        </w:rPr>
        <w:t>Ashland includes only U.S. and Canada in its North America designation and includes Europe, the Middle East and Africa in its Europe designation.</w:t>
      </w:r>
    </w:p>
    <w:p>
      <w:pPr>
        <w:pStyle w:val="TextBody"/>
        <w:spacing w:before="240" w:after="0"/>
        <w:jc w:val="both"/>
        <w:rPr>
          <w:rFonts w:ascii="Times New Roman;serif" w:hAnsi="Times New Roman;serif"/>
          <w:b/>
          <w:sz w:val="22"/>
        </w:rPr>
      </w:pPr>
      <w:r>
        <w:rPr>
          <w:rFonts w:ascii="Times New Roman;serif" w:hAnsi="Times New Roman;serif"/>
          <w:b/>
          <w:sz w:val="22"/>
        </w:rPr>
        <w:t>Reportable segments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for the three and six months ended March 31 was as follows:</w:t>
      </w:r>
    </w:p>
    <w:p>
      <w:pPr>
        <w:pStyle w:val="TextBody"/>
        <w:spacing w:before="0" w:after="0"/>
        <w:jc w:val="both"/>
        <w:rPr/>
      </w:pPr>
      <w:r>
        <w:rPr/>
        <w:t> </w:t>
      </w:r>
    </w:p>
    <w:tbl>
      <w:tblPr>
        <w:tblW w:w="6679" w:type="dxa"/>
        <w:jc w:val="left"/>
        <w:tblInd w:w="0" w:type="dxa"/>
        <w:tblCellMar>
          <w:top w:w="28" w:type="dxa"/>
          <w:left w:w="28" w:type="dxa"/>
          <w:bottom w:w="28" w:type="dxa"/>
          <w:right w:w="28" w:type="dxa"/>
        </w:tblCellMar>
      </w:tblPr>
      <w:tblGrid>
        <w:gridCol w:w="2491"/>
        <w:gridCol w:w="146"/>
        <w:gridCol w:w="165"/>
        <w:gridCol w:w="476"/>
        <w:gridCol w:w="306"/>
        <w:gridCol w:w="165"/>
        <w:gridCol w:w="165"/>
        <w:gridCol w:w="476"/>
        <w:gridCol w:w="271"/>
        <w:gridCol w:w="146"/>
        <w:gridCol w:w="146"/>
        <w:gridCol w:w="423"/>
        <w:gridCol w:w="272"/>
        <w:gridCol w:w="146"/>
        <w:gridCol w:w="146"/>
        <w:gridCol w:w="423"/>
        <w:gridCol w:w="316"/>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3"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27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55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31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by Reportable Segment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Life Sciences</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Personal Care</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Specialty Additives</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Intermediates</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KEY DEVELOPMENTS</w:t>
      </w:r>
    </w:p>
    <w:p>
      <w:pPr>
        <w:pStyle w:val="TextBody"/>
        <w:spacing w:before="120" w:after="0"/>
        <w:jc w:val="both"/>
        <w:rPr>
          <w:rFonts w:ascii="Times New Roman;serif" w:hAnsi="Times New Roman;serif"/>
          <w:b/>
          <w:sz w:val="22"/>
        </w:rPr>
      </w:pPr>
      <w:r>
        <w:rPr>
          <w:rFonts w:ascii="Times New Roman;serif" w:hAnsi="Times New Roman;serif"/>
          <w:b/>
          <w:sz w:val="22"/>
        </w:rPr>
        <w:t>Business results current quarter</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recorded net income of $91 million (income of $92 million in continuing operations and a loss of $1 million in discontinued operations) and net income of $786 million (income of $38 million in continuing operations and $748 million in discontinued operations) in the current and prior year quarters, respectively. Ashland’s EBITDA of $140 million decreased by $770 million for the current quarter, primarily due to a $732 million gain related to Performance Adhesives recorded within income from discontinued operations for the prior year quarter, while Ashland’s Adjusted EBITDA of $145 million decreased by $18 million for the current quarter, compared to the prior year quarter (see U.S. GAAP reconciliation below under consolidated review). The decrease was primarily driven by increased plant manufacturing costs, which includes a $13 million impact during the quarter related to the December winter storm in the U.S., and energy costs, lower sales volumes, and unfavorable foreign currency exchange, partially offset by improved pricing and mix.</w:t>
      </w:r>
    </w:p>
    <w:p>
      <w:pPr>
        <w:pStyle w:val="TextBody"/>
        <w:spacing w:before="120" w:after="120"/>
        <w:jc w:val="both"/>
        <w:rPr>
          <w:rFonts w:ascii="Times New Roman;serif" w:hAnsi="Times New Roman;serif"/>
          <w:b/>
          <w:sz w:val="22"/>
        </w:rPr>
      </w:pPr>
      <w:r>
        <w:rPr>
          <w:rFonts w:ascii="Times New Roman;serif" w:hAnsi="Times New Roman;serif"/>
          <w:b/>
          <w:sz w:val="22"/>
        </w:rPr>
        <w:t>Uncertainty relating to the Ukraine and Russia conflict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Business disruptions, including those related to the ongoing conflict between Ukraine and Russia continue to impact businesses around the globe. While it is impossible to predict the effects of the conflict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 situation and maintains business continuity plans that are intended to continue operations or mitigate the effects of events that could disrupt its business.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Ashland does not have manufacturing operations in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Ukraine, Russia, and Belarus represent less than 1% of total consolidated sales and less than 1% of total consolidated assets (related to accounts receivable).</w:t>
      </w:r>
    </w:p>
    <w:p>
      <w:pPr>
        <w:pStyle w:val="TextBody"/>
        <w:spacing w:before="120" w:after="120"/>
        <w:jc w:val="both"/>
        <w:rPr>
          <w:rFonts w:ascii="Times New Roman;serif" w:hAnsi="Times New Roman;serif"/>
          <w:b/>
          <w:sz w:val="22"/>
        </w:rPr>
      </w:pPr>
      <w:r>
        <w:rPr>
          <w:rFonts w:ascii="Times New Roman;serif" w:hAnsi="Times New Roman;serif"/>
          <w:b/>
          <w:sz w:val="22"/>
        </w:rPr>
        <w:t>Uncertainty relating to the COVID-19 pandemic</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Ashland continues to successfully navigate the uncertain environment associated with the COVID-19 pandemic. Through the second quarter of fiscal 2023, Ashland has not experienced any additional major operating surprises related to the COVID-19 pandemic, continues to maintain supply chains in a challenging environment, had strong safety performance in the face of unprecedented pressures and improved operating discipline across each of its businesses. Ashland's businesses continued to show resiliency in the face of difficult economic circumstances. While sales were up in the year-to-date period-over-period, the COVID-19 impact related to the China re-opening did negatively impact demand during the first and second quarters of fiscal 2023 for both the Specialty Additives and Personal Care business segments. Additionally Specialty Additives was also impacted by extended unplanned plant shutdowns at its Nanjing, China, facility as a result of these same dynamics. Ashland’s overall liquidity remains strong and Ashland is more than able to meet its operating cash needs and other investing and financing cash requirements at this time, including those necessary to grow the business as economic conditions improve.</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Ashland’s most recent Form 10-K filed with the SEC.</w:t>
      </w:r>
    </w:p>
    <w:p>
      <w:pPr>
        <w:pStyle w:val="TextBody"/>
        <w:spacing w:before="120" w:after="120"/>
        <w:jc w:val="both"/>
        <w:rPr>
          <w:rFonts w:ascii="Times New Roman;serif" w:hAnsi="Times New Roman;serif"/>
          <w:b/>
          <w:sz w:val="22"/>
        </w:rPr>
      </w:pPr>
      <w:r>
        <w:rPr>
          <w:rFonts w:ascii="Times New Roman;serif" w:hAnsi="Times New Roman;serif"/>
          <w:b/>
          <w:sz w:val="22"/>
        </w:rPr>
        <w:t>Other items</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Stock Repurchase program agreements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During March 2023, under the 2022 stock repurchase program, Ashland initiated a Rule 10b5-1 trading plan agreement to repurchase up to $100 million of its outstanding shares. The program was completed during April 2023, when Ashland paid a total of $100 million and received a delivery of 1.0 million shares of common stock. As of March 31, 2023, Ashland purchased a total of $52 million (of which $42 million was cash settled and $10 million was accrued within the accrued expenses and other liabilities caption for authorized and executed share repurchases pending settlement as of period end) and received a delivery of 0.5 million shares of common stock.</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During February 2023, under the existing 2022 stock repurchase program, Ashland initiated a Rule 10b5-1 trading plan agreement to repurchase up to $100 million of its outstanding shares. The program was completed in February 2023, when Ashland paid a total of $100 million and received a delivery of 1.0 million shares of common stock.</w:t>
      </w:r>
    </w:p>
    <w:p>
      <w:pPr>
        <w:pStyle w:val="TextBody"/>
        <w:spacing w:before="240" w:after="0"/>
        <w:jc w:val="both"/>
        <w:rPr>
          <w:rFonts w:ascii="Times New Roman;serif" w:hAnsi="Times New Roman;serif"/>
          <w:b/>
          <w:sz w:val="22"/>
        </w:rPr>
      </w:pPr>
      <w:r>
        <w:rPr>
          <w:rFonts w:ascii="Times New Roman;serif" w:hAnsi="Times New Roman;serif"/>
          <w:b/>
          <w:sz w:val="22"/>
        </w:rPr>
        <w:t>RESULTS OF OPERATIONS – CONSOLIDATED REVIEW</w:t>
      </w:r>
    </w:p>
    <w:p>
      <w:pPr>
        <w:pStyle w:val="TextBody"/>
        <w:spacing w:before="120" w:after="0"/>
        <w:jc w:val="both"/>
        <w:rPr>
          <w:rFonts w:ascii="Times New Roman;serif" w:hAnsi="Times New Roman;serif"/>
          <w:b/>
          <w:i/>
          <w:sz w:val="22"/>
        </w:rPr>
      </w:pPr>
      <w:r>
        <w:rPr>
          <w:rFonts w:ascii="Times New Roman;serif" w:hAnsi="Times New Roman;serif"/>
          <w:b/>
          <w:i/>
          <w:sz w:val="22"/>
        </w:rPr>
        <w:t>Consolidated review</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Net income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net income is primarily affected by results within operating income, net interest and other expense (income), income taxes, discontinued operations and other significant events or transactions that are unusual or nonrecurring.</w:t>
      </w:r>
    </w:p>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Key financial results for the three months ended March 31, 2023 and 2022 included the following:</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net income amounted to $91 million compared to $786 million for the three months ended March 31, 2023 and 2022, respectively, or income of $1.67 and $13.69 diluted earnings per share, respectively.</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Discontinued operations, which are reported net of taxes, resulted in a loss of $1 million and income of $748 million during the three months ended March 31, 2023 and 2022, respectively. The prior year quarter includes a $732 million gain on disposal related to the Performance Adhesives business segment.</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Income from continuing operations, which excludes results from discontinued operations, amounted to income of $92 million and $38 million for the three months ended March 31, 2023 and 2022, respectively.</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effective income tax rates was a benefit of 1% and expense of 34% for the three months ended March 31, 2023 and 2022, respectively, and were significantly impacted by certain tax discrete items in both the current and prior year quarters.</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Ashland incurred pretax net interest and other income of $10 million and expense of $43 million for the three months ended March 31, 2023 and 2022, respectively. This includes a gain of $20 million and a loss of $28 million on restricted investments, respectively, for the current and prior year quarters.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 xml:space="preserve">Other net periodic benefit loss (income) resulted in a loss of $2 million and income of $1 million during the three months ended March 31, 2023 and 2022, respectively. The prior year quarter income related to an actuarial gain on the remeasurement of a pension plan during the prior year quarter. </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Operating income was $83 million and $100 million for the three months ended March 31, 2023 and 2022, respectively.</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Key financial results for the six months ended March 31, 2023 and 2022 included the following:</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net income amounted to $132 million compared to $834 million for the six months ended March 31, 2023 and 2022, respectively, or income of $2.39 and $14.45 diluted earnings per share, respectively.</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Discontinued operations, which are reported net of taxes, resulted in a loss of $2 million and income of $764 million during the six months ended March 31, 2023 and 2022, respectively. The prior year period includes a $732 million gain on the sale of the Performance Adhesives business segment.</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Income from continuing operations, which excludes results from discontinued operations, amounted to income of $134 million and $70 million for the six months ended March 31, 2023 and 2022, respectively.</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effective income tax rates were an expense of 5% and 26% for the six months ended March 31, 2023 and 2022, respectively, and were significantly impacted by certain tax discrete items in both the current and prior year periods.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incurred pretax net interest and other income of $24 million and expense $49 million for the six months ended March 31, 2023 and 2022, respectively. This includes a gain of $41 million and a loss of $24 million on restricted investments, respectively, for the current and prior year periods.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Other net periodic benefit loss (income) resulted in a loss of $3 million during the six months ended March 31, 2023, and a $1 million actuarial gain on the remeasurement of a pension plan during the prior year period. See Note K for more information.</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Operating income was $120 million and $142 million for the six months ended March 31, 2023 and 2022, respectively.</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For further information on the items reported above, see the discussion in the comparative Statements of Consolidated Comprehensive Income (Loss) caption review analysis.</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Operating income</w:t>
      </w:r>
    </w:p>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Operating income amounted to $83 million and $100 million for the three months ended March 31, 2023 and 2022, respectively. The current and prior year quarters’ operating income included certain key items that were excluded to arrive at Adjusted EBITDA</w:t>
      </w:r>
      <w:r>
        <w:rPr>
          <w:rFonts w:ascii="Times New Roman" w:hAnsi="Times New Roman"/>
          <w:sz w:val="20"/>
        </w:rPr>
        <w:t xml:space="preserve"> </w:t>
      </w:r>
      <w:r>
        <w:rPr>
          <w:rFonts w:ascii="Times New Roman;serif" w:hAnsi="Times New Roman;serif"/>
          <w:b w:val="false"/>
          <w:sz w:val="22"/>
        </w:rPr>
        <w:t>and are quantified in the table below in the “EBITDA and Adjusted EBITDA” section. These operating key items for the applicable periods are summarized as follows: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 xml:space="preserve">Restructuring, separation and other costs – Ashland periodically implements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 xml:space="preserve">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quarters to its environmental liabilities and receivables primarily related to previously divested businesses or non-operational sites. See Note L of the Notes to Condensed Consolidated Financial Statements for more information. </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Gain on acquisitions and divestitures – Ashland recorded income of $7 million during the three months ended March 31, 2022. This includes a pre-tax gain of $7 million related to the sale of an excess corporate property during the three months ended March 31, 2022. See Note B of the Notes to Condensed Consolidated Financial Statements for more information.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for the three months ended March 31, 2023 and 2022 included depreciation and amortization of $60 million and $61 million, respectively.</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Operating income to $120 million and $142 million for the six months ended March 31, 2023 and 2022, respectively. The current and prior year periods' operating income included certain key items that were excluded to arrive at Adjusted EBITDA</w:t>
      </w:r>
      <w:r>
        <w:rPr>
          <w:rFonts w:ascii="Times New Roman" w:hAnsi="Times New Roman"/>
          <w:sz w:val="20"/>
        </w:rPr>
        <w:t xml:space="preserve"> </w:t>
      </w:r>
      <w:r>
        <w:rPr>
          <w:rFonts w:ascii="Times New Roman;serif" w:hAnsi="Times New Roman;serif"/>
          <w:b w:val="false"/>
          <w:sz w:val="22"/>
        </w:rPr>
        <w:t>and are quantified in the table below in the “EBITDA and Adjusted EBITDA” section. These operating key items for the applicable periods are summarized as follows: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 xml:space="preserve">Restructuring, separation and other costs – Ashland periodically implements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 xml:space="preserve">Asset impairments - During the three months ended December 31, 2022, Ashland incurred an impairment charge associated with the pending sale of a Specialty Additives manufacturing facility. See Note B of the Notes to Condensed Consolidated Financial Statements for more information.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 xml:space="preserve">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quarters to its environmental liabilities and receivables primarily related to previously divested businesses or non-operational sites. See Note L of the Notes to Condensed Consolidated Financial Statements for more information. </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Gain on acquisitions and divestitures – Ashland recorded income of $7 during the three and six months ended March 31, 2022, respectively. This includes a pre-tax gain of $7 million related to the sale of an excess corporate property during the six months ended March 31, 2022. See Note B of the Notes to Condensed Consolidated Financial Statements for more information.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for the six months ended March 31, 2023 and 2022 included depreciation and amortization of $120 million and $121 million, respectively.</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Statements of Consolidated Comprehensive Income (Loss) – caption review</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 comparative analysis of the Statements of Consolidated Comprehensive Income (Loss) by caption is provided as follows for the three and six months ended March 31, 2023 and 2022.</w:t>
      </w:r>
    </w:p>
    <w:p>
      <w:pPr>
        <w:pStyle w:val="TextBody"/>
        <w:spacing w:before="0" w:after="0"/>
        <w:jc w:val="both"/>
        <w:rPr/>
      </w:pPr>
      <w:r>
        <w:rPr/>
        <w:t> </w:t>
      </w:r>
    </w:p>
    <w:tbl>
      <w:tblPr>
        <w:tblW w:w="7437" w:type="dxa"/>
        <w:jc w:val="left"/>
        <w:tblInd w:w="0" w:type="dxa"/>
        <w:tblCellMar>
          <w:top w:w="28" w:type="dxa"/>
          <w:left w:w="28" w:type="dxa"/>
          <w:bottom w:w="28" w:type="dxa"/>
          <w:right w:w="28" w:type="dxa"/>
        </w:tblCellMar>
      </w:tblPr>
      <w:tblGrid>
        <w:gridCol w:w="1126"/>
        <w:gridCol w:w="146"/>
        <w:gridCol w:w="233"/>
        <w:gridCol w:w="466"/>
        <w:gridCol w:w="161"/>
        <w:gridCol w:w="161"/>
        <w:gridCol w:w="233"/>
        <w:gridCol w:w="466"/>
        <w:gridCol w:w="161"/>
        <w:gridCol w:w="161"/>
        <w:gridCol w:w="322"/>
        <w:gridCol w:w="414"/>
        <w:gridCol w:w="166"/>
        <w:gridCol w:w="146"/>
        <w:gridCol w:w="211"/>
        <w:gridCol w:w="571"/>
        <w:gridCol w:w="146"/>
        <w:gridCol w:w="146"/>
        <w:gridCol w:w="211"/>
        <w:gridCol w:w="571"/>
        <w:gridCol w:w="146"/>
        <w:gridCol w:w="146"/>
        <w:gridCol w:w="294"/>
        <w:gridCol w:w="442"/>
        <w:gridCol w:w="191"/>
      </w:tblGrid>
      <w:tr>
        <w:trPr/>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12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778"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2884"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Sales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following table provides a reconciliation of the change in sales for the three and six months ended March 31, 2023 and 2022.</w:t>
      </w:r>
    </w:p>
    <w:p>
      <w:pPr>
        <w:pStyle w:val="TextBody"/>
        <w:spacing w:before="0" w:after="0"/>
        <w:jc w:val="both"/>
        <w:rPr/>
      </w:pPr>
      <w:r>
        <w:rPr/>
        <w:t> </w:t>
      </w:r>
    </w:p>
    <w:tbl>
      <w:tblPr>
        <w:tblW w:w="6310" w:type="dxa"/>
        <w:jc w:val="left"/>
        <w:tblInd w:w="0" w:type="dxa"/>
        <w:tblCellMar>
          <w:top w:w="28" w:type="dxa"/>
          <w:left w:w="28" w:type="dxa"/>
          <w:bottom w:w="28" w:type="dxa"/>
          <w:right w:w="28" w:type="dxa"/>
        </w:tblCellMar>
      </w:tblPr>
      <w:tblGrid>
        <w:gridCol w:w="2326"/>
        <w:gridCol w:w="146"/>
        <w:gridCol w:w="629"/>
        <w:gridCol w:w="1126"/>
        <w:gridCol w:w="166"/>
        <w:gridCol w:w="146"/>
        <w:gridCol w:w="519"/>
        <w:gridCol w:w="1041"/>
        <w:gridCol w:w="21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32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56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Volume</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Pricing</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10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1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exchange</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sales</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Sales for the current quarter decreased $1 million compared to the prior year quarter. Favorable product pricing associated with cost inflation pricing actions increased sales by $74 million which was more than offset by lower sales volume and unfavorable foreign currency exchange of $61 million and $14 million, respectively.</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Sales for the current year increased $13 million compared to the prior year period. Favorable product pricing associated with cost inflation pricing actions increased sales by $137 million which was partially offset by lower sales volume and unfavorable foreign currency exchange of $87 million and $37 million, respectively.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tbl>
      <w:tblPr>
        <w:tblW w:w="9328" w:type="dxa"/>
        <w:jc w:val="left"/>
        <w:tblInd w:w="0" w:type="dxa"/>
        <w:tblCellMar>
          <w:top w:w="28" w:type="dxa"/>
          <w:left w:w="28" w:type="dxa"/>
          <w:bottom w:w="28" w:type="dxa"/>
          <w:right w:w="28" w:type="dxa"/>
        </w:tblCellMar>
      </w:tblPr>
      <w:tblGrid>
        <w:gridCol w:w="2851"/>
        <w:gridCol w:w="146"/>
        <w:gridCol w:w="211"/>
        <w:gridCol w:w="466"/>
        <w:gridCol w:w="271"/>
        <w:gridCol w:w="146"/>
        <w:gridCol w:w="211"/>
        <w:gridCol w:w="466"/>
        <w:gridCol w:w="271"/>
        <w:gridCol w:w="146"/>
        <w:gridCol w:w="294"/>
        <w:gridCol w:w="442"/>
        <w:gridCol w:w="146"/>
        <w:gridCol w:w="146"/>
        <w:gridCol w:w="211"/>
        <w:gridCol w:w="466"/>
        <w:gridCol w:w="271"/>
        <w:gridCol w:w="146"/>
        <w:gridCol w:w="211"/>
        <w:gridCol w:w="466"/>
        <w:gridCol w:w="271"/>
        <w:gridCol w:w="146"/>
        <w:gridCol w:w="294"/>
        <w:gridCol w:w="442"/>
        <w:gridCol w:w="191"/>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5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924"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924"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profit as a percent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following table provides a reconciliation of the change in cost of sales between the three and six months ended March 31, 2023 and 2022.</w:t>
      </w:r>
    </w:p>
    <w:p>
      <w:pPr>
        <w:pStyle w:val="TextBody"/>
        <w:spacing w:before="0" w:after="0"/>
        <w:jc w:val="both"/>
        <w:rPr/>
      </w:pPr>
      <w:r>
        <w:rPr/>
        <w:t> </w:t>
      </w:r>
    </w:p>
    <w:tbl>
      <w:tblPr>
        <w:tblW w:w="6510" w:type="dxa"/>
        <w:jc w:val="left"/>
        <w:tblInd w:w="0" w:type="dxa"/>
        <w:tblCellMar>
          <w:top w:w="28" w:type="dxa"/>
          <w:left w:w="28" w:type="dxa"/>
          <w:bottom w:w="28" w:type="dxa"/>
          <w:right w:w="28" w:type="dxa"/>
        </w:tblCellMar>
      </w:tblPr>
      <w:tblGrid>
        <w:gridCol w:w="2326"/>
        <w:gridCol w:w="146"/>
        <w:gridCol w:w="629"/>
        <w:gridCol w:w="1126"/>
        <w:gridCol w:w="166"/>
        <w:gridCol w:w="146"/>
        <w:gridCol w:w="559"/>
        <w:gridCol w:w="1001"/>
        <w:gridCol w:w="41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32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56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w:t>
            </w:r>
          </w:p>
        </w:tc>
        <w:tc>
          <w:tcPr>
            <w:tcW w:w="146" w:type="dxa"/>
            <w:tcBorders/>
            <w:shd w:fill="auto" w:val="clear"/>
            <w:vAlign w:val="center"/>
          </w:tcPr>
          <w:p>
            <w:pPr>
              <w:pStyle w:val="TableContents"/>
              <w:spacing w:before="0" w:after="0"/>
              <w:ind w:left="0" w:right="0" w:hanging="0"/>
              <w:jc w:val="left"/>
              <w:rPr/>
            </w:pPr>
            <w:r>
              <w:rPr/>
              <w:t> </w:t>
            </w:r>
          </w:p>
        </w:tc>
        <w:tc>
          <w:tcPr>
            <w:tcW w:w="175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23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Volume</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Price/mix</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11" w:type="dxa"/>
            <w:tcBorders/>
            <w:shd w:fill="auto" w:val="clear"/>
            <w:vAlign w:val="center"/>
          </w:tcPr>
          <w:p>
            <w:pPr>
              <w:pStyle w:val="TableContents"/>
              <w:spacing w:before="0" w:after="0"/>
              <w:ind w:left="0" w:right="0" w:firstLine="200"/>
              <w:jc w:val="left"/>
              <w:rPr/>
            </w:pPr>
            <w:r>
              <w:rPr/>
              <w:t> </w:t>
            </w:r>
          </w:p>
        </w:tc>
      </w:tr>
      <w:tr>
        <w:trPr/>
        <w:tc>
          <w:tcPr>
            <w:tcW w:w="23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exchange</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5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Costs</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cost of sales</w:t>
            </w:r>
          </w:p>
        </w:tc>
        <w:tc>
          <w:tcPr>
            <w:tcW w:w="146" w:type="dxa"/>
            <w:tcBorders/>
            <w:shd w:fill="auto" w:val="clear"/>
            <w:vAlign w:val="center"/>
          </w:tcPr>
          <w:p>
            <w:pPr>
              <w:pStyle w:val="TableContents"/>
              <w:spacing w:before="0" w:after="0"/>
              <w:ind w:left="0" w:right="0" w:hanging="0"/>
              <w:jc w:val="left"/>
              <w:rPr/>
            </w:pPr>
            <w:r>
              <w:rPr/>
              <w:t> </w:t>
            </w:r>
          </w:p>
        </w:tc>
        <w:tc>
          <w:tcPr>
            <w:tcW w:w="6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Cost of sales for the current quarter increased $22 million compared to the prior year quarter. Price/mix and higher operating costs, which includes cost inflation associated with plant manufacturing and shipping costs (as well as planned and unplanned plant shutdowns and maintenance), increased cost of sales by $19 million and $52 million, respectively. These increases were partially offset by lower volume and foreign currency exchange, which decreased cost of sales by $43 million and $6 million, respectively. Gross profit as a percentage of sales decreased 3.7%.</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Cost of sales for the current year increased $31 million compared to the prior year period. Price/mix and higher operating costs, which includes cost inflation associated with plant manufacturing and shipping costs (as well as planned and unplanned plant shutdowns and maintenance), increased cost of sales by $26 million and $86 million, respectively. These increases were partially offset by lower volume and foreign currency exchange, which decreased cost of sales by $65 million and $16 million, respectively. Gross profit as a percentage of sales decreased 2.0%.</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708"/>
        <w:gridCol w:w="146"/>
        <w:gridCol w:w="211"/>
        <w:gridCol w:w="466"/>
        <w:gridCol w:w="271"/>
        <w:gridCol w:w="146"/>
        <w:gridCol w:w="211"/>
        <w:gridCol w:w="466"/>
        <w:gridCol w:w="271"/>
        <w:gridCol w:w="146"/>
        <w:gridCol w:w="264"/>
        <w:gridCol w:w="472"/>
        <w:gridCol w:w="166"/>
        <w:gridCol w:w="146"/>
        <w:gridCol w:w="211"/>
        <w:gridCol w:w="466"/>
        <w:gridCol w:w="271"/>
        <w:gridCol w:w="146"/>
        <w:gridCol w:w="211"/>
        <w:gridCol w:w="466"/>
        <w:gridCol w:w="271"/>
        <w:gridCol w:w="146"/>
        <w:gridCol w:w="278"/>
        <w:gridCol w:w="458"/>
        <w:gridCol w:w="191"/>
      </w:tblGrid>
      <w:tr>
        <w:trPr/>
        <w:tc>
          <w:tcPr>
            <w:tcW w:w="37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0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924"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924"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7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Selling, general and administrative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0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a percent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Selling, general and administrative expense for the current quarter decreased $11 million compared to the prior year quarter with expenses as a percent of sales decreasing 1.8 percentage points. Key drivers of the fluctuation in selling, general and administrative expense compared to the prior year quarter were: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Expense of zero and $1 million during the three months ended March 31, 2023 and 2022, respectively, comprised of key items for severance, lease abandonment and other restructuring costs;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$4 million and 9 million in net environmental-related expenses during the current and prior year quarter, respectively (see Note L for more information); and</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Decreased incentive accruals primarily make up the remaining change.</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Selling, general and administrative expense for the current period remained consistent compared to the prior year period with expenses as a percent of sales decreasing 0.2 percentage points. Key drivers of the fluctuation in selling, general and administrative expense compared to the prior year period were: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Expense of $1 million and $2 million comprised of key items for severance, lease abandonment and other restructuring costs during the six months ended March 31, 2023 and 2022, respectively;</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$4 million impairment charge in the current quarter associated with the pending sale of a Specialty Additives manufacturing facility.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$12 million in net environmental-related expenses during the current and prior year period, respectively (see Note L for more information); and</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Decreased incentive accruals primarily make up the remaining change.</w:t>
      </w:r>
    </w:p>
    <w:p>
      <w:pPr>
        <w:pStyle w:val="TextBody"/>
        <w:spacing w:before="0" w:after="0"/>
        <w:jc w:val="both"/>
        <w:rPr/>
      </w:pPr>
      <w:r>
        <w:rPr/>
        <w:t> </w:t>
      </w:r>
    </w:p>
    <w:tbl>
      <w:tblPr>
        <w:tblW w:w="9060" w:type="dxa"/>
        <w:jc w:val="left"/>
        <w:tblInd w:w="0" w:type="dxa"/>
        <w:tblCellMar>
          <w:top w:w="28" w:type="dxa"/>
          <w:left w:w="28" w:type="dxa"/>
          <w:bottom w:w="28" w:type="dxa"/>
          <w:right w:w="28" w:type="dxa"/>
        </w:tblCellMar>
      </w:tblPr>
      <w:tblGrid>
        <w:gridCol w:w="3091"/>
        <w:gridCol w:w="146"/>
        <w:gridCol w:w="256"/>
        <w:gridCol w:w="384"/>
        <w:gridCol w:w="177"/>
        <w:gridCol w:w="177"/>
        <w:gridCol w:w="256"/>
        <w:gridCol w:w="384"/>
        <w:gridCol w:w="177"/>
        <w:gridCol w:w="177"/>
        <w:gridCol w:w="322"/>
        <w:gridCol w:w="414"/>
        <w:gridCol w:w="166"/>
        <w:gridCol w:w="146"/>
        <w:gridCol w:w="237"/>
        <w:gridCol w:w="355"/>
        <w:gridCol w:w="164"/>
        <w:gridCol w:w="164"/>
        <w:gridCol w:w="237"/>
        <w:gridCol w:w="355"/>
        <w:gridCol w:w="164"/>
        <w:gridCol w:w="164"/>
        <w:gridCol w:w="322"/>
        <w:gridCol w:w="414"/>
        <w:gridCol w:w="21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724"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576"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Research and development expense</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Research and development expense remained relatively consistent with the prior year quarter.</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Research and development expense remained relatively consistent with the prior year period.</w:t>
      </w:r>
    </w:p>
    <w:p>
      <w:pPr>
        <w:pStyle w:val="TextBody"/>
        <w:spacing w:before="120" w:after="0"/>
        <w:jc w:val="both"/>
        <w:rPr/>
      </w:pPr>
      <w:r>
        <w:rPr/>
        <w:t> </w:t>
      </w:r>
    </w:p>
    <w:tbl>
      <w:tblPr>
        <w:tblW w:w="8895" w:type="dxa"/>
        <w:jc w:val="left"/>
        <w:tblInd w:w="0" w:type="dxa"/>
        <w:tblCellMar>
          <w:top w:w="28" w:type="dxa"/>
          <w:left w:w="28" w:type="dxa"/>
          <w:bottom w:w="28" w:type="dxa"/>
          <w:right w:w="28" w:type="dxa"/>
        </w:tblCellMar>
      </w:tblPr>
      <w:tblGrid>
        <w:gridCol w:w="2926"/>
        <w:gridCol w:w="146"/>
        <w:gridCol w:w="256"/>
        <w:gridCol w:w="384"/>
        <w:gridCol w:w="177"/>
        <w:gridCol w:w="177"/>
        <w:gridCol w:w="256"/>
        <w:gridCol w:w="384"/>
        <w:gridCol w:w="177"/>
        <w:gridCol w:w="177"/>
        <w:gridCol w:w="322"/>
        <w:gridCol w:w="414"/>
        <w:gridCol w:w="166"/>
        <w:gridCol w:w="146"/>
        <w:gridCol w:w="237"/>
        <w:gridCol w:w="355"/>
        <w:gridCol w:w="164"/>
        <w:gridCol w:w="164"/>
        <w:gridCol w:w="237"/>
        <w:gridCol w:w="355"/>
        <w:gridCol w:w="164"/>
        <w:gridCol w:w="164"/>
        <w:gridCol w:w="322"/>
        <w:gridCol w:w="414"/>
        <w:gridCol w:w="21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2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724"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576"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Intangibles amortization expense</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Intangibles amortization expense is primarily consistent with the prior year quarter.</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Intangibles amortization expense is primarily consistent with the prior year quarter.</w:t>
      </w:r>
    </w:p>
    <w:p>
      <w:pPr>
        <w:pStyle w:val="TextBody"/>
        <w:spacing w:before="120" w:after="0"/>
        <w:jc w:val="both"/>
        <w:rPr/>
      </w:pPr>
      <w:r>
        <w:rPr/>
        <w:t> </w:t>
      </w:r>
    </w:p>
    <w:tbl>
      <w:tblPr>
        <w:tblW w:w="8343" w:type="dxa"/>
        <w:jc w:val="left"/>
        <w:tblInd w:w="0" w:type="dxa"/>
        <w:tblCellMar>
          <w:top w:w="28" w:type="dxa"/>
          <w:left w:w="28" w:type="dxa"/>
          <w:bottom w:w="28" w:type="dxa"/>
          <w:right w:w="28" w:type="dxa"/>
        </w:tblCellMar>
      </w:tblPr>
      <w:tblGrid>
        <w:gridCol w:w="2206"/>
        <w:gridCol w:w="146"/>
        <w:gridCol w:w="241"/>
        <w:gridCol w:w="396"/>
        <w:gridCol w:w="167"/>
        <w:gridCol w:w="167"/>
        <w:gridCol w:w="241"/>
        <w:gridCol w:w="396"/>
        <w:gridCol w:w="167"/>
        <w:gridCol w:w="167"/>
        <w:gridCol w:w="278"/>
        <w:gridCol w:w="458"/>
        <w:gridCol w:w="146"/>
        <w:gridCol w:w="146"/>
        <w:gridCol w:w="263"/>
        <w:gridCol w:w="263"/>
        <w:gridCol w:w="175"/>
        <w:gridCol w:w="175"/>
        <w:gridCol w:w="253"/>
        <w:gridCol w:w="415"/>
        <w:gridCol w:w="175"/>
        <w:gridCol w:w="175"/>
        <w:gridCol w:w="368"/>
        <w:gridCol w:w="368"/>
        <w:gridCol w:w="391"/>
      </w:tblGrid>
      <w:tr>
        <w:trPr/>
        <w:tc>
          <w:tcPr>
            <w:tcW w:w="2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0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78"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30"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Equity and other income</w:t>
            </w:r>
          </w:p>
        </w:tc>
        <w:tc>
          <w:tcPr>
            <w:tcW w:w="146" w:type="dxa"/>
            <w:tcBorders/>
            <w:shd w:fill="auto" w:val="clear"/>
            <w:vAlign w:val="center"/>
          </w:tcPr>
          <w:p>
            <w:pPr>
              <w:pStyle w:val="TableContents"/>
              <w:spacing w:before="0" w:after="0"/>
              <w:ind w:left="0" w:right="0" w:hanging="0"/>
              <w:jc w:val="left"/>
              <w:rPr/>
            </w:pPr>
            <w:r>
              <w:rPr/>
              <w:t> </w:t>
            </w:r>
          </w:p>
        </w:tc>
        <w:tc>
          <w:tcPr>
            <w:tcW w:w="637" w:type="dxa"/>
            <w:gridSpan w:val="2"/>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637" w:type="dxa"/>
            <w:gridSpan w:val="2"/>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gridSpan w:val="2"/>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668" w:type="dxa"/>
            <w:gridSpan w:val="2"/>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2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3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Other income was zero in both the current year quarter and prior year quarter.</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Other income was $1 million and zero in the current and prior year periods.</w:t>
      </w:r>
    </w:p>
    <w:p>
      <w:pPr>
        <w:pStyle w:val="TextBody"/>
        <w:spacing w:before="0" w:after="0"/>
        <w:jc w:val="both"/>
        <w:rPr/>
      </w:pPr>
      <w:r>
        <w:rPr/>
        <w:t> </w:t>
      </w:r>
    </w:p>
    <w:tbl>
      <w:tblPr>
        <w:tblW w:w="9865" w:type="dxa"/>
        <w:jc w:val="left"/>
        <w:tblInd w:w="0" w:type="dxa"/>
        <w:tblCellMar>
          <w:top w:w="28" w:type="dxa"/>
          <w:left w:w="28" w:type="dxa"/>
          <w:bottom w:w="28" w:type="dxa"/>
          <w:right w:w="28" w:type="dxa"/>
        </w:tblCellMar>
      </w:tblPr>
      <w:tblGrid>
        <w:gridCol w:w="3781"/>
        <w:gridCol w:w="146"/>
        <w:gridCol w:w="230"/>
        <w:gridCol w:w="378"/>
        <w:gridCol w:w="159"/>
        <w:gridCol w:w="159"/>
        <w:gridCol w:w="230"/>
        <w:gridCol w:w="575"/>
        <w:gridCol w:w="159"/>
        <w:gridCol w:w="159"/>
        <w:gridCol w:w="322"/>
        <w:gridCol w:w="414"/>
        <w:gridCol w:w="166"/>
        <w:gridCol w:w="146"/>
        <w:gridCol w:w="213"/>
        <w:gridCol w:w="349"/>
        <w:gridCol w:w="147"/>
        <w:gridCol w:w="147"/>
        <w:gridCol w:w="213"/>
        <w:gridCol w:w="531"/>
        <w:gridCol w:w="147"/>
        <w:gridCol w:w="147"/>
        <w:gridCol w:w="322"/>
        <w:gridCol w:w="414"/>
        <w:gridCol w:w="211"/>
      </w:tblGrid>
      <w:tr>
        <w:trPr/>
        <w:tc>
          <w:tcPr>
            <w:tcW w:w="3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78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785"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30"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on acquisitions and divestitures, net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8" w:type="dxa"/>
            <w:tcBorders/>
            <w:shd w:fill="auto" w:val="clear"/>
            <w:vAlign w:val="center"/>
          </w:tcPr>
          <w:p>
            <w:pPr>
              <w:pStyle w:val="TableContents"/>
              <w:spacing w:before="0" w:after="0"/>
              <w:ind w:left="0" w:right="0" w:hanging="0"/>
              <w:jc w:val="right"/>
              <w:rPr/>
            </w:pPr>
            <w:r>
              <w:rPr/>
              <w:t>—</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 w:type="dxa"/>
            <w:tcBorders/>
            <w:shd w:fill="auto" w:val="clear"/>
            <w:vAlign w:val="center"/>
          </w:tcPr>
          <w:p>
            <w:pPr>
              <w:pStyle w:val="TableContents"/>
              <w:spacing w:before="0" w:after="0"/>
              <w:ind w:left="0" w:right="0" w:hanging="0"/>
              <w:jc w:val="right"/>
              <w:rPr/>
            </w:pPr>
            <w:r>
              <w:rPr/>
              <w:t>—</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The activity in the prior year quarter was related to a gain on the sale of an excess corporate property.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The activity in the prior year was related to a gain on the sale of an excess corporate property.</w:t>
      </w:r>
      <w:r>
        <w:rPr>
          <w:rFonts w:ascii="Times New Roman" w:hAnsi="Times New Roman"/>
          <w:sz w:val="20"/>
        </w:rPr>
        <w:t xml:space="preserve"> </w:t>
      </w:r>
    </w:p>
    <w:p>
      <w:pPr>
        <w:pStyle w:val="TextBody"/>
        <w:spacing w:before="120" w:after="0"/>
        <w:jc w:val="both"/>
        <w:rPr/>
      </w:pPr>
      <w:r>
        <w:rPr/>
        <w:t> </w:t>
      </w:r>
    </w:p>
    <w:tbl>
      <w:tblPr>
        <w:tblW w:w="9549" w:type="dxa"/>
        <w:jc w:val="left"/>
        <w:tblInd w:w="0" w:type="dxa"/>
        <w:tblCellMar>
          <w:top w:w="28" w:type="dxa"/>
          <w:left w:w="28" w:type="dxa"/>
          <w:bottom w:w="28" w:type="dxa"/>
          <w:right w:w="28" w:type="dxa"/>
        </w:tblCellMar>
      </w:tblPr>
      <w:tblGrid>
        <w:gridCol w:w="3496"/>
        <w:gridCol w:w="146"/>
        <w:gridCol w:w="233"/>
        <w:gridCol w:w="415"/>
        <w:gridCol w:w="183"/>
        <w:gridCol w:w="161"/>
        <w:gridCol w:w="233"/>
        <w:gridCol w:w="382"/>
        <w:gridCol w:w="161"/>
        <w:gridCol w:w="161"/>
        <w:gridCol w:w="264"/>
        <w:gridCol w:w="472"/>
        <w:gridCol w:w="166"/>
        <w:gridCol w:w="146"/>
        <w:gridCol w:w="215"/>
        <w:gridCol w:w="384"/>
        <w:gridCol w:w="169"/>
        <w:gridCol w:w="149"/>
        <w:gridCol w:w="215"/>
        <w:gridCol w:w="353"/>
        <w:gridCol w:w="149"/>
        <w:gridCol w:w="149"/>
        <w:gridCol w:w="264"/>
        <w:gridCol w:w="472"/>
        <w:gridCol w:w="41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4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65"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519"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interest and other expense (income)</w:t>
            </w:r>
          </w:p>
        </w:tc>
        <w:tc>
          <w:tcPr>
            <w:tcW w:w="146" w:type="dxa"/>
            <w:tcBorders/>
            <w:shd w:fill="auto" w:val="clear"/>
            <w:vAlign w:val="center"/>
          </w:tcPr>
          <w:p>
            <w:pPr>
              <w:pStyle w:val="TableContents"/>
              <w:spacing w:before="0" w:after="0"/>
              <w:ind w:left="0" w:right="0" w:hanging="0"/>
              <w:jc w:val="left"/>
              <w:rPr/>
            </w:pPr>
            <w:r>
              <w:rPr/>
              <w:t> </w:t>
            </w:r>
          </w:p>
        </w:tc>
        <w:tc>
          <w:tcPr>
            <w:tcW w:w="648"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615" w:type="dxa"/>
            <w:gridSpan w:val="2"/>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568" w:type="dxa"/>
            <w:gridSpan w:val="2"/>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83"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382" w:type="dxa"/>
            <w:tcBorders/>
            <w:shd w:fill="auto" w:val="clear"/>
            <w:vAlign w:val="center"/>
          </w:tcPr>
          <w:p>
            <w:pPr>
              <w:pStyle w:val="TableContents"/>
              <w:spacing w:before="0" w:after="0"/>
              <w:ind w:left="0" w:right="0" w:hanging="0"/>
              <w:jc w:val="right"/>
              <w:rPr/>
            </w:pPr>
            <w:r>
              <w:rPr/>
              <w:t>—</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pPr>
            <w:r>
              <w:rPr/>
              <w:t>—</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(income) from restricted investments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3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financing costs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8"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615" w:type="dxa"/>
            <w:gridSpan w:val="2"/>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568" w:type="dxa"/>
            <w:gridSpan w:val="2"/>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Net interest and other expense decreased by $53 million during the current quarter compared to the prior year quarter. Interest expense decreased $2 million primarily due to lower debt levels during the current quarter compared to the prior year quarter. Interest income increased $3 million due to higher investment yields and higher cash balances. Restricted investments income of $22 million and losses of $26 million included realized gains of $20 million compared to losses $28 million for the three months ended March 31, 2023 and 2022, respectively. See Note E for more information on the restricted investments.</w:t>
      </w:r>
    </w:p>
    <w:p>
      <w:pPr>
        <w:pStyle w:val="TextBody"/>
        <w:spacing w:before="120" w:after="12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Net interest and other expense decreased by $73 million during the current period compared to the prior year period. Interest expense decreased $6 million primarily due to lower debt levels during the current year compared to the prior year period. Interest income increased $7 million due to higher investment yields and higher cash balances. Restricted investments income of $47 million and losses of $14 million included realized gains of</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$41 million compared to losses of $24 million for the six months ended March 31, 2023 and 2022, respectively. See Note E for more information on the restricted investments.</w:t>
      </w:r>
    </w:p>
    <w:tbl>
      <w:tblPr>
        <w:tblW w:w="9402" w:type="dxa"/>
        <w:jc w:val="left"/>
        <w:tblInd w:w="0" w:type="dxa"/>
        <w:tblCellMar>
          <w:top w:w="28" w:type="dxa"/>
          <w:left w:w="28" w:type="dxa"/>
          <w:bottom w:w="28" w:type="dxa"/>
          <w:right w:w="28" w:type="dxa"/>
        </w:tblCellMar>
      </w:tblPr>
      <w:tblGrid>
        <w:gridCol w:w="3421"/>
        <w:gridCol w:w="146"/>
        <w:gridCol w:w="282"/>
        <w:gridCol w:w="282"/>
        <w:gridCol w:w="195"/>
        <w:gridCol w:w="195"/>
        <w:gridCol w:w="282"/>
        <w:gridCol w:w="362"/>
        <w:gridCol w:w="221"/>
        <w:gridCol w:w="195"/>
        <w:gridCol w:w="368"/>
        <w:gridCol w:w="368"/>
        <w:gridCol w:w="146"/>
        <w:gridCol w:w="146"/>
        <w:gridCol w:w="263"/>
        <w:gridCol w:w="263"/>
        <w:gridCol w:w="180"/>
        <w:gridCol w:w="180"/>
        <w:gridCol w:w="260"/>
        <w:gridCol w:w="335"/>
        <w:gridCol w:w="205"/>
        <w:gridCol w:w="180"/>
        <w:gridCol w:w="368"/>
        <w:gridCol w:w="368"/>
        <w:gridCol w:w="1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2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750"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02"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net periodic benefit loss (income)</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95"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5"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Other net periodic benefit loss for the three months ended March 31, 2023 primarily included interest cost of $4 million which was partially offset by expected return on plan assets of $2 million. Other net periodic benefit income included a $1 million actuarial gain on the remeasurement of a pension plan during the prior year quarter. See Note K for more information.</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Other net periodic benefit loss for the six months ended March 31, 2023 primarily included interest cost of $7 million which was partially offset by expected return on plan assets of $4 million. Other net periodic benefit income included a $1 million actuarial gain on the remeasurement of a pension plan during the prior year period. See Note K for more information.</w:t>
      </w:r>
    </w:p>
    <w:p>
      <w:pPr>
        <w:pStyle w:val="TextBody"/>
        <w:spacing w:before="0" w:after="0"/>
        <w:jc w:val="both"/>
        <w:rPr/>
      </w:pPr>
      <w:r>
        <w:rPr/>
        <w:t> </w:t>
      </w:r>
    </w:p>
    <w:tbl>
      <w:tblPr>
        <w:tblW w:w="8508" w:type="dxa"/>
        <w:jc w:val="left"/>
        <w:tblInd w:w="0" w:type="dxa"/>
        <w:tblCellMar>
          <w:top w:w="28" w:type="dxa"/>
          <w:left w:w="28" w:type="dxa"/>
          <w:bottom w:w="28" w:type="dxa"/>
          <w:right w:w="28" w:type="dxa"/>
        </w:tblCellMar>
      </w:tblPr>
      <w:tblGrid>
        <w:gridCol w:w="2506"/>
        <w:gridCol w:w="146"/>
        <w:gridCol w:w="230"/>
        <w:gridCol w:w="296"/>
        <w:gridCol w:w="287"/>
        <w:gridCol w:w="155"/>
        <w:gridCol w:w="224"/>
        <w:gridCol w:w="335"/>
        <w:gridCol w:w="287"/>
        <w:gridCol w:w="155"/>
        <w:gridCol w:w="264"/>
        <w:gridCol w:w="472"/>
        <w:gridCol w:w="166"/>
        <w:gridCol w:w="146"/>
        <w:gridCol w:w="263"/>
        <w:gridCol w:w="263"/>
        <w:gridCol w:w="272"/>
        <w:gridCol w:w="146"/>
        <w:gridCol w:w="212"/>
        <w:gridCol w:w="318"/>
        <w:gridCol w:w="272"/>
        <w:gridCol w:w="146"/>
        <w:gridCol w:w="264"/>
        <w:gridCol w:w="472"/>
        <w:gridCol w:w="211"/>
      </w:tblGrid>
      <w:tr>
        <w:trPr/>
        <w:tc>
          <w:tcPr>
            <w:tcW w:w="2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50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705"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628"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tax expense (benefit)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8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Effective tax rate</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Ashland’s effective tax rate in any interim period is subject to adjustments related to discrete items and the mix of domestic and foreign operating results. The overall effective tax rate was a benefit of 1% for the three months ended March 31, 2023 and was impacted by jurisdictional income mix, as well as net favorable discrete items of $20 million primarily related to changes in uncertain tax positions.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overall effective tax rate was 34% for the three months ended March 31, 2022 and was impacted by jurisdictional income mix, as well as net unfavorable discrete items of $7 million, primarily related to restructuring and separation activity partially offset by a favorable valuation allowance adjustment for certain foreign tax credits.</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Ashland’s effective tax rate in any interim period is subject to adjustments related to discrete items and the mix of domestic and foreign operating results. The overall effective tax rate was 5% for the six months ended March 31, 2023 and was impacted by jurisdictional income mix, as well as net favorable discrete items of $23 million primarily related to changes in uncertain tax positions resulting primarily from a combination of state expirations and audit settlements.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overall effective tax rate was 26% for the six months ended March 31, 2022 and was impacted by jurisdictional income mix, as well as net unfavorable discrete items of $5 million, primarily related to restructuring and separation activity partially offset by a favorable valuation allowance for certain foreign tax credits and adjustments to uncertain tax positions.</w:t>
      </w:r>
    </w:p>
    <w:p>
      <w:pPr>
        <w:pStyle w:val="TextBody"/>
        <w:spacing w:before="120" w:after="0"/>
        <w:jc w:val="both"/>
        <w:rPr>
          <w:rFonts w:ascii="Times New Roman" w:hAnsi="Times New Roman"/>
          <w:sz w:val="20"/>
        </w:rPr>
      </w:pPr>
      <w:r>
        <w:rPr>
          <w:rFonts w:ascii="Times New Roman;serif" w:hAnsi="Times New Roman;serif"/>
          <w:b w:val="false"/>
          <w:i/>
          <w:sz w:val="22"/>
        </w:rPr>
        <w:t>Adjusted income tax expense (benefit)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2"/>
        </w:rPr>
        <w:t xml:space="preserve">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 </w:t>
        <w:br/>
      </w:r>
      <w:r>
        <w:rPr>
          <w:rFonts w:ascii="Times New Roman" w:hAnsi="Times New Roman"/>
          <w:sz w:val="20"/>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effective tax rate during the three and six months ended March 31, 2023 and 2022 was significantly impacted by the following tax specific key items: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 xml:space="preserve">Uncertain tax positions - Includes the impact from the settlement of uncertain tax positions with various tax authorities;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Valuation allowances - Includes the impact from the release of certain foreign tax credit valuation allowances during 2022; and</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Restructuring and separation activity - Includes the impact from company-wide cost reduction programs during 2022.</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is a calculation of the effective tax rate, excluding these key items.</w:t>
      </w:r>
    </w:p>
    <w:p>
      <w:pPr>
        <w:pStyle w:val="TextBody"/>
        <w:spacing w:before="0" w:after="0"/>
        <w:jc w:val="both"/>
        <w:rPr/>
      </w:pPr>
      <w:r>
        <w:rPr/>
        <w:t> </w:t>
      </w:r>
    </w:p>
    <w:tbl>
      <w:tblPr>
        <w:tblW w:w="9174" w:type="dxa"/>
        <w:jc w:val="left"/>
        <w:tblInd w:w="0" w:type="dxa"/>
        <w:tblCellMar>
          <w:top w:w="28" w:type="dxa"/>
          <w:left w:w="28" w:type="dxa"/>
          <w:bottom w:w="28" w:type="dxa"/>
          <w:right w:w="28" w:type="dxa"/>
        </w:tblCellMar>
      </w:tblPr>
      <w:tblGrid>
        <w:gridCol w:w="4681"/>
        <w:gridCol w:w="146"/>
        <w:gridCol w:w="212"/>
        <w:gridCol w:w="379"/>
        <w:gridCol w:w="273"/>
        <w:gridCol w:w="147"/>
        <w:gridCol w:w="212"/>
        <w:gridCol w:w="530"/>
        <w:gridCol w:w="271"/>
        <w:gridCol w:w="146"/>
        <w:gridCol w:w="211"/>
        <w:gridCol w:w="421"/>
        <w:gridCol w:w="271"/>
        <w:gridCol w:w="146"/>
        <w:gridCol w:w="211"/>
        <w:gridCol w:w="526"/>
        <w:gridCol w:w="391"/>
      </w:tblGrid>
      <w:tr>
        <w:trPr/>
        <w:tc>
          <w:tcPr>
            <w:tcW w:w="4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68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3"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27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8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3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4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273"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391" w:type="dxa"/>
            <w:tcBorders/>
            <w:shd w:fill="auto" w:val="cle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Key items (pre-tax)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591" w:type="dxa"/>
            <w:gridSpan w:val="2"/>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74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681" w:type="dxa"/>
            <w:tcBorders/>
            <w:shd w:fill="auto" w:val="clear"/>
            <w:vAlign w:val="center"/>
          </w:tcPr>
          <w:p>
            <w:pPr>
              <w:pStyle w:val="TableContents"/>
              <w:spacing w:before="0" w:after="0"/>
              <w:ind w:left="100" w:right="0" w:hanging="0"/>
              <w:jc w:val="left"/>
              <w:rPr>
                <w:rFonts w:ascii="Times New Roman;serif" w:hAnsi="Times New Roman;serif"/>
                <w:b/>
                <w:sz w:val="20"/>
              </w:rPr>
            </w:pPr>
            <w:r>
              <w:rPr>
                <w:rFonts w:ascii="Times New Roman;serif" w:hAnsi="Times New Roman;serif"/>
                <w:b/>
                <w:sz w:val="20"/>
              </w:rPr>
              <w:t>before income taxes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1" w:type="dxa"/>
            <w:gridSpan w:val="2"/>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74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rate adjustments:</w:t>
            </w:r>
          </w:p>
        </w:tc>
        <w:tc>
          <w:tcPr>
            <w:tcW w:w="146" w:type="dxa"/>
            <w:tcBorders/>
            <w:shd w:fill="auto" w:val="clear"/>
            <w:vAlign w:val="center"/>
          </w:tcPr>
          <w:p>
            <w:pPr>
              <w:pStyle w:val="TableContents"/>
              <w:spacing w:before="0" w:after="0"/>
              <w:ind w:left="0" w:right="0" w:hanging="0"/>
              <w:jc w:val="left"/>
              <w:rPr/>
            </w:pPr>
            <w:r>
              <w:rPr/>
              <w:t> </w:t>
            </w:r>
          </w:p>
        </w:tc>
        <w:tc>
          <w:tcPr>
            <w:tcW w:w="591" w:type="dxa"/>
            <w:gridSpan w:val="2"/>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74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6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Tax effect of key items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shd w:fill="auto" w:val="clear"/>
            <w:vAlign w:val="center"/>
          </w:tcPr>
          <w:p>
            <w:pPr>
              <w:pStyle w:val="TableContents"/>
              <w:spacing w:before="0" w:after="0"/>
              <w:ind w:left="0" w:right="0" w:firstLine="100"/>
              <w:jc w:val="left"/>
              <w:rPr/>
            </w:pPr>
            <w:r>
              <w:rPr/>
              <w:t> </w:t>
            </w:r>
          </w:p>
        </w:tc>
      </w:tr>
      <w:tr>
        <w:trPr/>
        <w:tc>
          <w:tcPr>
            <w:tcW w:w="4681"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 xml:space="preserve">Tax specific key items: </w:t>
            </w:r>
            <w:r>
              <w:rPr>
                <w:rFonts w:ascii="Times New Roman;serif" w:hAnsi="Times New Roman;serif"/>
                <w:b w:val="false"/>
                <w:sz w:val="16"/>
              </w:rPr>
              <w:t>(b)</w:t>
            </w:r>
          </w:p>
        </w:tc>
        <w:tc>
          <w:tcPr>
            <w:tcW w:w="146" w:type="dxa"/>
            <w:tcBorders/>
            <w:shd w:fill="auto" w:val="clear"/>
            <w:vAlign w:val="center"/>
          </w:tcPr>
          <w:p>
            <w:pPr>
              <w:pStyle w:val="TableContents"/>
              <w:spacing w:before="0" w:after="0"/>
              <w:ind w:left="0" w:right="0" w:hanging="0"/>
              <w:jc w:val="left"/>
              <w:rPr/>
            </w:pPr>
            <w:r>
              <w:rPr/>
              <w:t> </w:t>
            </w:r>
          </w:p>
        </w:tc>
        <w:tc>
          <w:tcPr>
            <w:tcW w:w="591" w:type="dxa"/>
            <w:gridSpan w:val="2"/>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74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Uncertain tax positions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3"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right"/>
              <w:rPr/>
            </w:pPr>
            <w:r>
              <w:rPr/>
              <w:t>—</w:t>
            </w:r>
          </w:p>
        </w:tc>
        <w:tc>
          <w:tcPr>
            <w:tcW w:w="273"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shd w:fill="auto" w:val="clear"/>
            <w:vAlign w:val="center"/>
          </w:tcPr>
          <w:p>
            <w:pPr>
              <w:pStyle w:val="TableContents"/>
              <w:spacing w:before="0" w:after="0"/>
              <w:ind w:left="0" w:right="0" w:firstLine="200"/>
              <w:jc w:val="left"/>
              <w:rPr/>
            </w:pPr>
            <w:r>
              <w:rPr/>
              <w:t> </w:t>
            </w:r>
          </w:p>
        </w:tc>
      </w:tr>
      <w:tr>
        <w:trPr/>
        <w:tc>
          <w:tcPr>
            <w:tcW w:w="4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and separation activity</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income tax rate adjustments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income tax expense</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1" w:type="dxa"/>
            <w:gridSpan w:val="2"/>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74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6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 xml:space="preserve">Effective tax rate, excluding key items (Non-GAAP) </w:t>
            </w:r>
            <w:r>
              <w:rPr>
                <w:rFonts w:ascii="Times New Roman;serif" w:hAnsi="Times New Roman;serif"/>
                <w:b/>
                <w:sz w:val="18"/>
              </w:rPr>
              <w:t>(c)</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See Adjusted EBITDA reconciliation table disclosed in this MD&amp;A for a summary of the key items, before tax.</w:t>
      </w:r>
    </w:p>
    <w:p>
      <w:pPr>
        <w:pStyle w:val="TextBody"/>
        <w:spacing w:before="0" w:after="0"/>
        <w:jc w:val="both"/>
        <w:rPr>
          <w:rFonts w:ascii="Times New Roman" w:hAnsi="Times New Roman"/>
          <w:b w:val="false"/>
          <w:sz w:val="16"/>
        </w:rPr>
      </w:pPr>
      <w:r>
        <w:rPr>
          <w:rFonts w:ascii="Times New Roman" w:hAnsi="Times New Roman"/>
          <w:b w:val="false"/>
          <w:sz w:val="16"/>
        </w:rPr>
        <w:t>(b)</w:t>
      </w:r>
    </w:p>
    <w:p>
      <w:pPr>
        <w:pStyle w:val="TextBody"/>
        <w:spacing w:before="0" w:after="0"/>
        <w:jc w:val="both"/>
        <w:rPr>
          <w:rFonts w:ascii="Times New Roman;serif" w:hAnsi="Times New Roman;serif"/>
          <w:b w:val="false"/>
          <w:sz w:val="16"/>
        </w:rPr>
      </w:pPr>
      <w:r>
        <w:rPr>
          <w:rFonts w:ascii="Times New Roman;serif" w:hAnsi="Times New Roman;serif"/>
          <w:b w:val="false"/>
          <w:sz w:val="16"/>
        </w:rPr>
        <w:t>For additional information on the effect that these tax specific key items had on EPS, see the Adjusted Diluted EPS table disclosed in this MD&amp;A.</w:t>
      </w:r>
    </w:p>
    <w:p>
      <w:pPr>
        <w:pStyle w:val="TextBody"/>
        <w:spacing w:before="0" w:after="0"/>
        <w:jc w:val="both"/>
        <w:rPr>
          <w:rFonts w:ascii="Times New Roman" w:hAnsi="Times New Roman"/>
          <w:b w:val="false"/>
          <w:sz w:val="16"/>
        </w:rPr>
      </w:pPr>
      <w:r>
        <w:rPr>
          <w:rFonts w:ascii="Times New Roman" w:hAnsi="Times New Roman"/>
          <w:b w:val="false"/>
          <w:sz w:val="16"/>
        </w:rPr>
        <w:t>(c)</w:t>
      </w:r>
    </w:p>
    <w:p>
      <w:pPr>
        <w:pStyle w:val="TextBody"/>
        <w:jc w:val="both"/>
        <w:rPr>
          <w:rFonts w:ascii="Times New Roman;serif" w:hAnsi="Times New Roman;serif"/>
          <w:b w:val="false"/>
          <w:sz w:val="16"/>
        </w:rPr>
      </w:pPr>
      <w:r>
        <w:rPr>
          <w:rFonts w:ascii="Times New Roman;serif" w:hAnsi="Times New Roman;serif"/>
          <w:b w:val="false"/>
          <w:sz w:val="16"/>
        </w:rPr>
        <w:t>Due to rounding conventions, the effective tax rate presented may not recalculate precisely based on the numbers disclosed within this table.</w:t>
      </w:r>
    </w:p>
    <w:p>
      <w:pPr>
        <w:pStyle w:val="TextBody"/>
        <w:spacing w:before="0" w:after="0"/>
        <w:jc w:val="both"/>
        <w:rPr/>
      </w:pPr>
      <w:r>
        <w:rPr/>
        <w:t> </w:t>
      </w:r>
    </w:p>
    <w:p>
      <w:pPr>
        <w:pStyle w:val="TextBody"/>
        <w:spacing w:before="0" w:after="0"/>
        <w:jc w:val="both"/>
        <w:rPr/>
      </w:pPr>
      <w:r>
        <w:rPr/>
        <w:t> </w:t>
      </w:r>
    </w:p>
    <w:tbl>
      <w:tblPr>
        <w:tblW w:w="8280" w:type="dxa"/>
        <w:jc w:val="left"/>
        <w:tblInd w:w="0" w:type="dxa"/>
        <w:tblCellMar>
          <w:top w:w="28" w:type="dxa"/>
          <w:left w:w="28" w:type="dxa"/>
          <w:bottom w:w="28" w:type="dxa"/>
          <w:right w:w="28" w:type="dxa"/>
        </w:tblCellMar>
      </w:tblPr>
      <w:tblGrid>
        <w:gridCol w:w="2161"/>
        <w:gridCol w:w="146"/>
        <w:gridCol w:w="217"/>
        <w:gridCol w:w="356"/>
        <w:gridCol w:w="171"/>
        <w:gridCol w:w="150"/>
        <w:gridCol w:w="217"/>
        <w:gridCol w:w="433"/>
        <w:gridCol w:w="171"/>
        <w:gridCol w:w="150"/>
        <w:gridCol w:w="224"/>
        <w:gridCol w:w="512"/>
        <w:gridCol w:w="166"/>
        <w:gridCol w:w="146"/>
        <w:gridCol w:w="211"/>
        <w:gridCol w:w="346"/>
        <w:gridCol w:w="166"/>
        <w:gridCol w:w="146"/>
        <w:gridCol w:w="211"/>
        <w:gridCol w:w="421"/>
        <w:gridCol w:w="166"/>
        <w:gridCol w:w="146"/>
        <w:gridCol w:w="224"/>
        <w:gridCol w:w="512"/>
        <w:gridCol w:w="51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216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601"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549"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5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908" w:type="dxa"/>
            <w:gridSpan w:val="1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 xml:space="preserve">Income (loss) from discontinued </w:t>
              <w:br/>
              <w:t>   operations (net of taxes)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300"/>
              <w:jc w:val="left"/>
              <w:rPr/>
            </w:pPr>
            <w:r>
              <w:rPr/>
              <w:t> </w:t>
            </w:r>
          </w:p>
        </w:tc>
      </w:tr>
      <w:tr>
        <w:trPr/>
        <w:tc>
          <w:tcPr>
            <w:tcW w:w="216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Performance Adhesives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6"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7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511" w:type="dxa"/>
            <w:tcBorders/>
            <w:shd w:fill="auto" w:val="cle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Composites/Marl facility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33"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11" w:type="dxa"/>
            <w:tcBorders/>
            <w:shd w:fill="auto" w:val="cle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Distribution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11" w:type="dxa"/>
            <w:tcBorders/>
            <w:shd w:fill="auto" w:val="clear"/>
            <w:vAlign w:val="center"/>
          </w:tcPr>
          <w:p>
            <w:pPr>
              <w:pStyle w:val="TableContents"/>
              <w:spacing w:before="0" w:after="0"/>
              <w:ind w:left="0" w:right="0" w:hanging="0"/>
              <w:jc w:val="left"/>
              <w:rPr/>
            </w:pPr>
            <w:r>
              <w:rPr/>
              <w:t> </w:t>
            </w:r>
          </w:p>
        </w:tc>
      </w:tr>
      <w:tr>
        <w:trPr/>
        <w:tc>
          <w:tcPr>
            <w:tcW w:w="4908" w:type="dxa"/>
            <w:gridSpan w:val="1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 xml:space="preserve">Gain (loss) on disposal of discontinued </w:t>
              <w:br/>
              <w:t>   operations (net of taxes)</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300"/>
              <w:jc w:val="left"/>
              <w:rPr/>
            </w:pPr>
            <w:r>
              <w:rPr/>
              <w:t> </w:t>
            </w:r>
          </w:p>
        </w:tc>
      </w:tr>
      <w:tr>
        <w:trPr/>
        <w:tc>
          <w:tcPr>
            <w:tcW w:w="216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Performance Adhesives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shd w:fill="auto" w:val="clear"/>
            <w:vAlign w:val="center"/>
          </w:tcPr>
          <w:p>
            <w:pPr>
              <w:pStyle w:val="TableContents"/>
              <w:spacing w:before="0" w:after="283"/>
              <w:ind w:left="0" w:right="0" w:firstLine="3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748</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The activity for Composites/Marl facility and Distribution during the current and prior year quarter was related to post-closing adjustments. The Performance Adhesives segment sales and pre-tax operating income included in discontinued operations were $75 million and $12 million for the prior year quarter. A $732 million gain on disposal was recorded in the prior year quarter associated with the February 28, 2022 closing of the Performance Adhesives business segment divestiture.</w:t>
      </w:r>
    </w:p>
    <w:p>
      <w:pPr>
        <w:pStyle w:val="TextBody"/>
        <w:spacing w:before="120" w:after="12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The activity for Composites/Marl facility and Distribution during the current and prior year periods was related to post-closing adjustments. The Performance Adhesives segment sales and pre-tax operating income included in discontinued operations were $171 million and $35 million for the prior year period. A $732 million</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gain on disposal was recorded in the prior year period associated with the February 28, 2022 closing of the Performance Adhesives business segment divestiture.</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Other comprehensive income (loss)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 comparative analysis of the components of other comprehensive income is provided below for the three and six months ended March 31, 2023 and 2022.</w:t>
      </w:r>
    </w:p>
    <w:p>
      <w:pPr>
        <w:pStyle w:val="TextBody"/>
        <w:spacing w:before="0" w:after="0"/>
        <w:jc w:val="both"/>
        <w:rPr/>
      </w:pPr>
      <w:r>
        <w:rPr/>
        <w:t> </w:t>
      </w:r>
    </w:p>
    <w:tbl>
      <w:tblPr>
        <w:tblW w:w="10171" w:type="dxa"/>
        <w:jc w:val="left"/>
        <w:tblInd w:w="0" w:type="dxa"/>
        <w:tblCellMar>
          <w:top w:w="28" w:type="dxa"/>
          <w:left w:w="28" w:type="dxa"/>
          <w:bottom w:w="28" w:type="dxa"/>
          <w:right w:w="28" w:type="dxa"/>
        </w:tblCellMar>
      </w:tblPr>
      <w:tblGrid>
        <w:gridCol w:w="4186"/>
        <w:gridCol w:w="243"/>
        <w:gridCol w:w="364"/>
        <w:gridCol w:w="191"/>
        <w:gridCol w:w="168"/>
        <w:gridCol w:w="243"/>
        <w:gridCol w:w="399"/>
        <w:gridCol w:w="191"/>
        <w:gridCol w:w="168"/>
        <w:gridCol w:w="294"/>
        <w:gridCol w:w="442"/>
        <w:gridCol w:w="166"/>
        <w:gridCol w:w="146"/>
        <w:gridCol w:w="211"/>
        <w:gridCol w:w="421"/>
        <w:gridCol w:w="166"/>
        <w:gridCol w:w="146"/>
        <w:gridCol w:w="211"/>
        <w:gridCol w:w="376"/>
        <w:gridCol w:w="166"/>
        <w:gridCol w:w="146"/>
        <w:gridCol w:w="245"/>
        <w:gridCol w:w="491"/>
        <w:gridCol w:w="391"/>
      </w:tblGrid>
      <w:tr>
        <w:trPr/>
        <w:tc>
          <w:tcPr>
            <w:tcW w:w="418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8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703"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579"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4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6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comprehensive income (loss) (net of taxes)</w:t>
            </w:r>
          </w:p>
        </w:tc>
        <w:tc>
          <w:tcPr>
            <w:tcW w:w="60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1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translation gain (loss)</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391" w:type="dxa"/>
            <w:tcBorders/>
            <w:shd w:fill="auto" w:val="clear"/>
            <w:vAlign w:val="center"/>
          </w:tcPr>
          <w:p>
            <w:pPr>
              <w:pStyle w:val="TableContents"/>
              <w:spacing w:before="0" w:after="0"/>
              <w:ind w:left="0" w:right="0" w:firstLine="200"/>
              <w:jc w:val="left"/>
              <w:rPr/>
            </w:pPr>
            <w:r>
              <w:rPr/>
              <w:t> </w:t>
            </w:r>
          </w:p>
        </w:tc>
      </w:tr>
      <w:tr>
        <w:trPr/>
        <w:tc>
          <w:tcPr>
            <w:tcW w:w="41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commodity hedges</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8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sz w:val="20"/>
        </w:rPr>
      </w:pPr>
      <w:r>
        <w:rPr>
          <w:rFonts w:ascii="Times New Roman;serif" w:hAnsi="Times New Roman;serif"/>
          <w:b w:val="false"/>
          <w:sz w:val="22"/>
          <w:u w:val="single"/>
        </w:rPr>
        <w:t>Current Quarter</w:t>
      </w:r>
      <w:r>
        <w:rPr>
          <w:rFonts w:ascii="Times New Roman" w:hAnsi="Times New Roman"/>
          <w:sz w:val="20"/>
        </w:rPr>
        <w:t xml:space="preserve"> </w:t>
      </w:r>
      <w:r>
        <w:rPr>
          <w:rFonts w:ascii="Times New Roman;serif" w:hAnsi="Times New Roman;serif"/>
          <w:b w:val="false"/>
          <w:sz w:val="22"/>
        </w:rPr>
        <w:t>- Total other comprehensive income (loss), net of tax, for the current quarter increased $24 million compared to the prior year quarter primarily as a result of the following:</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For the three months ended March 31, 2023, the change in unrealized gain (loss) from foreign currency translation adjustments resulted in a gain of $27 million compared to a loss of $5 million for the three months ended March 31, 2022. The fluctuations in unrealized translation gains and losses are primarily due to translating foreign subsidiary financial statements from local currencies to U.S. Dollars.</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For the three months ended March 31, 2023 and 2022, the change in commodity hedges is primarily due to the fluctuations of the market prices of the underlying commodities. Commodity hedges resulted in unrealized losses of $3 million and gains of $5 million for the three months ended March 31, 2023 and 2022, respectively.</w:t>
      </w:r>
    </w:p>
    <w:p>
      <w:pPr>
        <w:pStyle w:val="TextBody"/>
        <w:spacing w:before="120" w:after="0"/>
        <w:jc w:val="both"/>
        <w:rPr>
          <w:rFonts w:ascii="Times New Roman" w:hAnsi="Times New Roman"/>
          <w:sz w:val="20"/>
        </w:rPr>
      </w:pPr>
      <w:r>
        <w:rPr>
          <w:rFonts w:ascii="Times New Roman;serif" w:hAnsi="Times New Roman;serif"/>
          <w:b w:val="false"/>
          <w:sz w:val="22"/>
          <w:u w:val="single"/>
        </w:rPr>
        <w:t>Year-to-date</w:t>
      </w:r>
      <w:r>
        <w:rPr>
          <w:rFonts w:ascii="Times New Roman" w:hAnsi="Times New Roman"/>
          <w:sz w:val="20"/>
        </w:rPr>
        <w:t xml:space="preserve"> </w:t>
      </w:r>
      <w:r>
        <w:rPr>
          <w:rFonts w:ascii="Times New Roman;serif" w:hAnsi="Times New Roman;serif"/>
          <w:b w:val="false"/>
          <w:sz w:val="22"/>
        </w:rPr>
        <w:t>- Total other comprehensive income (loss), net of tax, for the current year increased $122 million compared to the prior year period primarily as a result of the following:</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For the six months ended March 31, 2023, the change in unrealized gain (loss) from foreign currency translation adjustments resulted in a gain of $109 million compared to a loss of $21 million for the six months ended March 31, 2022. The fluctuations in unrealized translation gains and losses are primarily due to translating foreign subsidiary financial statements from local currencies to U.S. Dollars.</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For the six months ended March 31, 2023 and 2022, the change in commodity hedges is primarily due to the fluctuations of the market prices of the underlying commodities. Commodity hedges resulted in unrealized losses of $7 million and gains of $1 million for the six months ended March 31, 2023 and 2022, respectively.</w:t>
      </w:r>
    </w:p>
    <w:p>
      <w:pPr>
        <w:pStyle w:val="TextBody"/>
        <w:spacing w:before="120" w:after="0"/>
        <w:jc w:val="both"/>
        <w:rPr>
          <w:rFonts w:ascii="Times New Roman;serif" w:hAnsi="Times New Roman;serif"/>
          <w:b/>
          <w:i/>
          <w:sz w:val="22"/>
        </w:rPr>
      </w:pPr>
      <w:r>
        <w:rPr>
          <w:rFonts w:ascii="Times New Roman;serif" w:hAnsi="Times New Roman;serif"/>
          <w:b/>
          <w:i/>
          <w:sz w:val="22"/>
        </w:rPr>
        <w:t>Use of non-GAAP measures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EBITDA – net income (loss), plus income tax expense (benefit), net interest and other expenses, and depreciation and amortization.</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Adjusted EBITDA – EBITDA adjusted for noncontrolling interests, discontinued operations, net income (loss) on acquisitions and divestitures, other income and (expense) and key items (including remeasurement gains and losses related to pension and other postretirement plans).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Adjusted EBITDA margin – Adjusted EBITDA divided by sales.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Adjusted diluted earnings per share (EPS) – income (loss) from continuing operations, adjusted for key items, net of tax, divided by the average outstanding diluted shares for the applicable period.</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Adjusted diluted earnings per share (EPS) excluding intangibles amortization expense – Adjusted earnings per share adjusted for intangibles amortization expense net of tax, divided by the average outstanding diluted shares for the applicable period.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Free cash flow – operating cash flows less capital expenditures.</w:t>
      </w:r>
    </w:p>
    <w:p>
      <w:pPr>
        <w:pStyle w:val="TextBody"/>
        <w:spacing w:before="120" w:after="0"/>
        <w:jc w:val="both"/>
        <w:rPr/>
      </w:pPr>
      <w:r>
        <w:rPr/>
        <w: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Ongoing free cash flow – operating cash flows less capital expenditures and certain other adjustments as applicable.</w:t>
      </w:r>
    </w:p>
    <w:p>
      <w:pPr>
        <w:pStyle w:val="TextBody"/>
        <w:spacing w:before="120" w:after="0"/>
        <w:jc w:val="both"/>
        <w:rPr/>
      </w:pPr>
      <w:r>
        <w:rPr/>
        <w:t>•</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Ongoing free cash flow conversion – ongoing free cash flow divided by adjusted EBITDA.</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ongoing free cash flow and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producing cash from regular business activities. Free cash flow, ongoing free cash flow and free cash flow conversion have certain limitations, including that it does not reflect adjustment for certain non-discretionary cash flows such as mandatory debt repayments. The amount of mandatory versus discretionary expenditures can vary significantly between periods.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pStyle w:val="TextBody"/>
        <w:spacing w:before="120" w:after="120"/>
        <w:jc w:val="both"/>
        <w:rPr>
          <w:rFonts w:ascii="Times New Roman" w:hAnsi="Times New Roman"/>
          <w:sz w:val="20"/>
        </w:rPr>
      </w:pPr>
      <w:r>
        <w:rPr>
          <w:rFonts w:ascii="Times New Roman;serif" w:hAnsi="Times New Roman;serif"/>
          <w:b w:val="false"/>
          <w:sz w:val="22"/>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measures and are defined further in the sections that reference this metric.</w:t>
      </w:r>
    </w:p>
    <w:p>
      <w:pPr>
        <w:pStyle w:val="TextBody"/>
        <w:spacing w:before="120" w:after="120"/>
        <w:jc w:val="both"/>
        <w:rPr>
          <w:rFonts w:ascii="Times New Roman;serif" w:hAnsi="Times New Roman;serif"/>
          <w:b w:val="false"/>
          <w:i/>
          <w:sz w:val="22"/>
        </w:rPr>
      </w:pPr>
      <w:r>
        <w:rPr>
          <w:rFonts w:ascii="Times New Roman;serif" w:hAnsi="Times New Roman;serif"/>
          <w:b w:val="false"/>
          <w:i/>
          <w:sz w:val="22"/>
        </w:rPr>
        <w:t>EBITDA and Adjusted EBITDA</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EBITDA totaled income of $140 million and $910 million for the three months ended March 31, 2023 and 2022, respectively, and $235 million and $1,028 million for the six months ended March 31, 2023 and 2022,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tbl>
      <w:tblPr>
        <w:tblW w:w="9049" w:type="dxa"/>
        <w:jc w:val="left"/>
        <w:tblInd w:w="0" w:type="dxa"/>
        <w:tblCellMar>
          <w:top w:w="28" w:type="dxa"/>
          <w:left w:w="28" w:type="dxa"/>
          <w:bottom w:w="28" w:type="dxa"/>
          <w:right w:w="28" w:type="dxa"/>
        </w:tblCellMar>
      </w:tblPr>
      <w:tblGrid>
        <w:gridCol w:w="4621"/>
        <w:gridCol w:w="146"/>
        <w:gridCol w:w="226"/>
        <w:gridCol w:w="451"/>
        <w:gridCol w:w="178"/>
        <w:gridCol w:w="156"/>
        <w:gridCol w:w="226"/>
        <w:gridCol w:w="516"/>
        <w:gridCol w:w="166"/>
        <w:gridCol w:w="146"/>
        <w:gridCol w:w="211"/>
        <w:gridCol w:w="421"/>
        <w:gridCol w:w="166"/>
        <w:gridCol w:w="146"/>
        <w:gridCol w:w="211"/>
        <w:gridCol w:w="571"/>
        <w:gridCol w:w="491"/>
      </w:tblGrid>
      <w:tr>
        <w:trPr/>
        <w:tc>
          <w:tcPr>
            <w:tcW w:w="4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62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3"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2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4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491" w:type="dxa"/>
            <w:tcBorders/>
            <w:shd w:fill="auto" w:val="clear"/>
            <w:vAlign w:val="center"/>
          </w:tcPr>
          <w:p>
            <w:pPr>
              <w:pStyle w:val="TableContents"/>
              <w:spacing w:before="0" w:after="0"/>
              <w:ind w:left="0" w:right="0" w:firstLine="200"/>
              <w:jc w:val="left"/>
              <w:rPr/>
            </w:pPr>
            <w:r>
              <w:rPr/>
              <w:t> </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491" w:type="dxa"/>
            <w:tcBorders/>
            <w:shd w:fill="auto" w:val="clear"/>
            <w:vAlign w:val="center"/>
          </w:tcPr>
          <w:p>
            <w:pPr>
              <w:pStyle w:val="TableContents"/>
              <w:spacing w:before="0" w:after="0"/>
              <w:ind w:left="0" w:right="0" w:firstLine="200"/>
              <w:jc w:val="left"/>
              <w:rPr/>
            </w:pPr>
            <w:r>
              <w:rPr/>
              <w:t> </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interest and other expense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491" w:type="dxa"/>
            <w:tcBorders/>
            <w:shd w:fill="auto" w:val="clear"/>
            <w:vAlign w:val="center"/>
          </w:tcPr>
          <w:p>
            <w:pPr>
              <w:pStyle w:val="TableContents"/>
              <w:spacing w:before="0" w:after="0"/>
              <w:ind w:left="0" w:right="0" w:firstLine="200"/>
              <w:jc w:val="left"/>
              <w:rPr/>
            </w:pPr>
            <w:r>
              <w:rPr/>
              <w:t> </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1,028</w:t>
            </w:r>
          </w:p>
        </w:tc>
        <w:tc>
          <w:tcPr>
            <w:tcW w:w="491" w:type="dxa"/>
            <w:tcBorders/>
            <w:shd w:fill="auto" w:val="clear"/>
            <w:vAlign w:val="center"/>
          </w:tcPr>
          <w:p>
            <w:pPr>
              <w:pStyle w:val="TableContents"/>
              <w:spacing w:before="0" w:after="0"/>
              <w:ind w:left="0" w:right="0" w:firstLine="200"/>
              <w:jc w:val="left"/>
              <w:rPr/>
            </w:pPr>
            <w:r>
              <w:rPr/>
              <w:t> </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(income)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w:t>
            </w:r>
          </w:p>
        </w:tc>
        <w:tc>
          <w:tcPr>
            <w:tcW w:w="4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Key items included in EBITDA:</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300"/>
              <w:jc w:val="left"/>
              <w:rPr/>
            </w:pPr>
            <w:r>
              <w:rPr/>
              <w:t> </w:t>
            </w:r>
          </w:p>
        </w:tc>
      </w:tr>
      <w:tr>
        <w:trPr/>
        <w:tc>
          <w:tcPr>
            <w:tcW w:w="462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Restructuring, separation and other costs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91" w:type="dxa"/>
            <w:tcBorders/>
            <w:shd w:fill="auto" w:val="clear"/>
            <w:vAlign w:val="center"/>
          </w:tcPr>
          <w:p>
            <w:pPr>
              <w:pStyle w:val="TableContents"/>
              <w:spacing w:before="0" w:after="0"/>
              <w:ind w:left="0" w:right="0" w:firstLine="300"/>
              <w:jc w:val="left"/>
              <w:rPr/>
            </w:pPr>
            <w:r>
              <w:rPr/>
              <w:t> </w:t>
            </w:r>
          </w:p>
        </w:tc>
      </w:tr>
      <w:tr>
        <w:trPr/>
        <w:tc>
          <w:tcPr>
            <w:tcW w:w="462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Environmental reserve adjustments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491" w:type="dxa"/>
            <w:tcBorders/>
            <w:shd w:fill="auto" w:val="clear"/>
            <w:vAlign w:val="center"/>
          </w:tcPr>
          <w:p>
            <w:pPr>
              <w:pStyle w:val="TableContents"/>
              <w:spacing w:before="0" w:after="0"/>
              <w:ind w:left="0" w:right="0" w:firstLine="300"/>
              <w:jc w:val="left"/>
              <w:rPr/>
            </w:pPr>
            <w:r>
              <w:rPr/>
              <w:t> </w:t>
            </w:r>
          </w:p>
        </w:tc>
      </w:tr>
      <w:tr>
        <w:trPr/>
        <w:tc>
          <w:tcPr>
            <w:tcW w:w="462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Asset impairments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firstLine="300"/>
              <w:jc w:val="left"/>
              <w:rPr/>
            </w:pPr>
            <w:r>
              <w:rPr/>
              <w:t> </w:t>
            </w:r>
          </w:p>
        </w:tc>
      </w:tr>
      <w:tr>
        <w:trPr/>
        <w:tc>
          <w:tcPr>
            <w:tcW w:w="462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Gain on acquisitions and divestitures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key items included in EBITDA</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7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key items included in EBITDA</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91" w:type="dxa"/>
            <w:tcBorders/>
            <w:shd w:fill="auto" w:val="cle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loss on securities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key items, before tax</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Diluted EPS and Adjusted Diluted EPS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table reflects the U.S. GAAP calculation for the income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764"/>
        <w:gridCol w:w="146"/>
        <w:gridCol w:w="211"/>
        <w:gridCol w:w="526"/>
        <w:gridCol w:w="166"/>
        <w:gridCol w:w="146"/>
        <w:gridCol w:w="211"/>
        <w:gridCol w:w="526"/>
        <w:gridCol w:w="166"/>
        <w:gridCol w:w="146"/>
        <w:gridCol w:w="211"/>
        <w:gridCol w:w="526"/>
        <w:gridCol w:w="166"/>
        <w:gridCol w:w="146"/>
        <w:gridCol w:w="211"/>
        <w:gridCol w:w="526"/>
        <w:gridCol w:w="411"/>
      </w:tblGrid>
      <w:tr>
        <w:trPr/>
        <w:tc>
          <w:tcPr>
            <w:tcW w:w="57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76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8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8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57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EPS from continuing operations (as reported)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411" w:type="dxa"/>
            <w:tcBorders/>
            <w:shd w:fill="auto" w:val="cle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Key items, before tax:</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7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separation and other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411" w:type="dxa"/>
            <w:tcBorders/>
            <w:shd w:fill="auto" w:val="clear"/>
            <w:vAlign w:val="center"/>
          </w:tcPr>
          <w:p>
            <w:pPr>
              <w:pStyle w:val="TableContents"/>
              <w:spacing w:before="0" w:after="0"/>
              <w:ind w:left="0" w:right="0" w:firstLine="200"/>
              <w:jc w:val="left"/>
              <w:rPr/>
            </w:pPr>
            <w:r>
              <w:rPr/>
              <w:t> </w:t>
            </w:r>
          </w:p>
        </w:tc>
      </w:tr>
      <w:tr>
        <w:trPr/>
        <w:tc>
          <w:tcPr>
            <w:tcW w:w="57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Environmental reserve adjustments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411" w:type="dxa"/>
            <w:tcBorders/>
            <w:shd w:fill="auto" w:val="clear"/>
            <w:vAlign w:val="center"/>
          </w:tcPr>
          <w:p>
            <w:pPr>
              <w:pStyle w:val="TableContents"/>
              <w:spacing w:before="0" w:after="0"/>
              <w:ind w:left="0" w:right="0" w:firstLine="200"/>
              <w:jc w:val="left"/>
              <w:rPr/>
            </w:pPr>
            <w:r>
              <w:rPr/>
              <w:t> </w:t>
            </w:r>
          </w:p>
        </w:tc>
      </w:tr>
      <w:tr>
        <w:trPr/>
        <w:tc>
          <w:tcPr>
            <w:tcW w:w="57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Asset impairments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7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0.42</w:t>
            </w:r>
          </w:p>
        </w:tc>
        <w:tc>
          <w:tcPr>
            <w:tcW w:w="411" w:type="dxa"/>
            <w:tcBorders/>
            <w:shd w:fill="auto" w:val="clear"/>
            <w:vAlign w:val="center"/>
          </w:tcPr>
          <w:p>
            <w:pPr>
              <w:pStyle w:val="TableContents"/>
              <w:spacing w:before="0" w:after="0"/>
              <w:ind w:left="0" w:right="0" w:firstLine="200"/>
              <w:jc w:val="left"/>
              <w:rPr/>
            </w:pPr>
            <w:r>
              <w:rPr/>
              <w:t> </w:t>
            </w:r>
          </w:p>
        </w:tc>
      </w:tr>
      <w:tr>
        <w:trPr/>
        <w:tc>
          <w:tcPr>
            <w:tcW w:w="57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acquisitions and divestitures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Key items, before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411" w:type="dxa"/>
            <w:tcBorders/>
            <w:shd w:fill="auto" w:val="cle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Tax effect of key items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Key items, after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411" w:type="dxa"/>
            <w:tcBorders/>
            <w:shd w:fill="auto" w:val="cle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specific key items:</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7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and separation activity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411" w:type="dxa"/>
            <w:tcBorders/>
            <w:shd w:fill="auto" w:val="clear"/>
            <w:vAlign w:val="center"/>
          </w:tcPr>
          <w:p>
            <w:pPr>
              <w:pStyle w:val="TableContents"/>
              <w:spacing w:before="0" w:after="0"/>
              <w:ind w:left="0" w:right="0" w:firstLine="200"/>
              <w:jc w:val="left"/>
              <w:rPr/>
            </w:pPr>
            <w:r>
              <w:rPr/>
              <w:t> </w:t>
            </w:r>
          </w:p>
        </w:tc>
      </w:tr>
      <w:tr>
        <w:trPr/>
        <w:tc>
          <w:tcPr>
            <w:tcW w:w="57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Uncertain tax positions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Tax specific key items </w:t>
            </w:r>
            <w:r>
              <w:rPr>
                <w:rFonts w:ascii="Times New Roman;serif" w:hAnsi="Times New Roman;serif"/>
                <w:b w:val="false"/>
                <w:sz w:val="16"/>
              </w:rPr>
              <w:t>(b)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key items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diluted EPS from continuing operations (non-GAAP)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expense adjustment (net of tax) (c)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diluted EPS from continuing operations (non-GAAP) excluding intangibles amortization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Represents the diluted EPS impact from the tax effect of the key items that are identified above.</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Represents the diluted EPS impact from tax specific financial transactions, tax law changes or other matters that fall within the definition of key items. For additional explanation of these tax specific key items, see the income tax expense (benefit) discussion within the Statements of Consolidated Comprehensive Income (Loss) caption review section above.</w:t>
      </w:r>
    </w:p>
    <w:p>
      <w:pPr>
        <w:pStyle w:val="TextBody"/>
        <w:spacing w:before="40" w:after="0"/>
        <w:jc w:val="both"/>
        <w:rPr>
          <w:rFonts w:ascii="Times New Roman" w:hAnsi="Times New Roman"/>
          <w:b w:val="false"/>
          <w:sz w:val="16"/>
        </w:rPr>
      </w:pPr>
      <w:r>
        <w:rPr>
          <w:rFonts w:ascii="Times New Roman" w:hAnsi="Times New Roman"/>
          <w:b w:val="false"/>
          <w:sz w:val="16"/>
        </w:rPr>
        <w:t>(c)</w:t>
      </w:r>
    </w:p>
    <w:p>
      <w:pPr>
        <w:pStyle w:val="TextBody"/>
        <w:spacing w:before="40" w:after="283"/>
        <w:jc w:val="both"/>
        <w:rPr>
          <w:rFonts w:ascii="Times New Roman;serif" w:hAnsi="Times New Roman;serif"/>
          <w:b w:val="false"/>
          <w:sz w:val="16"/>
        </w:rPr>
      </w:pPr>
      <w:r>
        <w:rPr>
          <w:rFonts w:ascii="Times New Roman;serif" w:hAnsi="Times New Roman;serif"/>
          <w:b w:val="false"/>
          <w:sz w:val="16"/>
        </w:rPr>
        <w:t>Amortization expense adjustment (net of tax) tax rates were 20% for the three and six months ended March 31, 2023 and 2022.</w:t>
      </w:r>
    </w:p>
    <w:p>
      <w:pPr>
        <w:pStyle w:val="TextBody"/>
        <w:spacing w:before="240" w:after="0"/>
        <w:jc w:val="both"/>
        <w:rPr>
          <w:rFonts w:ascii="Times New Roman;serif" w:hAnsi="Times New Roman;serif"/>
          <w:b/>
          <w:sz w:val="22"/>
        </w:rPr>
      </w:pPr>
      <w:r>
        <w:rPr>
          <w:rFonts w:ascii="Times New Roman;serif" w:hAnsi="Times New Roman;serif"/>
          <w:b/>
          <w:sz w:val="22"/>
        </w:rPr>
        <w:t>RESULTS OF OPERATIONS – REPORTABLE SEGMENT REVIEW</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Ashland’s reportable segments include Life Sciences, Personal Care, Specialty Additives, and Intermediates. Unallocated and Other includes corporate governance activities and certain legacy matters.</w:t>
      </w:r>
    </w:p>
    <w:p>
      <w:pPr>
        <w:pStyle w:val="TextBody"/>
        <w:spacing w:before="120" w:after="120"/>
        <w:jc w:val="both"/>
        <w:rPr>
          <w:rFonts w:ascii="Times New Roman" w:hAnsi="Times New Roman"/>
          <w:sz w:val="20"/>
        </w:rPr>
      </w:pPr>
      <w:r>
        <w:rPr>
          <w:rFonts w:ascii="Times New Roman;serif" w:hAnsi="Times New Roman;serif"/>
          <w:b w:val="false"/>
          <w:sz w:val="22"/>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2"/>
        </w:rPr>
        <w:t xml:space="preserve">Significant revisions to Ashland’s methodologies are adjusted for all segments on a retrospective basis. </w:t>
        <w:br/>
      </w:r>
      <w:r>
        <w:rPr>
          <w:rFonts w:ascii="Times New Roman" w:hAnsi="Times New Roman"/>
          <w:sz w:val="20"/>
        </w:rPr>
        <w:t> </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table discloses sales, operating income, depreciation and amortization and EBITDA by reportable segment for the three and six months ended March 31, 2023 and 2022.</w:t>
      </w:r>
    </w:p>
    <w:tbl>
      <w:tblPr>
        <w:tblW w:w="7139" w:type="dxa"/>
        <w:jc w:val="left"/>
        <w:tblInd w:w="0" w:type="dxa"/>
        <w:tblCellMar>
          <w:top w:w="28" w:type="dxa"/>
          <w:left w:w="28" w:type="dxa"/>
          <w:bottom w:w="28" w:type="dxa"/>
          <w:right w:w="28" w:type="dxa"/>
        </w:tblCellMar>
      </w:tblPr>
      <w:tblGrid>
        <w:gridCol w:w="2806"/>
        <w:gridCol w:w="235"/>
        <w:gridCol w:w="469"/>
        <w:gridCol w:w="184"/>
        <w:gridCol w:w="162"/>
        <w:gridCol w:w="235"/>
        <w:gridCol w:w="469"/>
        <w:gridCol w:w="166"/>
        <w:gridCol w:w="146"/>
        <w:gridCol w:w="211"/>
        <w:gridCol w:w="571"/>
        <w:gridCol w:w="166"/>
        <w:gridCol w:w="146"/>
        <w:gridCol w:w="211"/>
        <w:gridCol w:w="571"/>
        <w:gridCol w:w="391"/>
      </w:tblGrid>
      <w:tr>
        <w:trPr/>
        <w:tc>
          <w:tcPr>
            <w:tcW w:w="280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0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54"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87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3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 - unaudited)</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SALES</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i/>
                <w:sz w:val="20"/>
              </w:rPr>
              <w:t xml:space="preserve">Intersegment sales </w:t>
            </w:r>
            <w:r>
              <w:rPr>
                <w:rFonts w:ascii="Times New Roman;serif" w:hAnsi="Times New Roman;serif"/>
                <w:b w:val="false"/>
                <w:sz w:val="16"/>
              </w:rPr>
              <w:t>(a)</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shd w:fill="auto" w:val="clear"/>
            <w:vAlign w:val="center"/>
          </w:tcPr>
          <w:p>
            <w:pPr>
              <w:pStyle w:val="TableContents"/>
              <w:spacing w:before="0" w:after="283"/>
              <w:ind w:left="0" w:right="0" w:hanging="0"/>
              <w:rPr>
                <w:sz w:val="4"/>
                <w:szCs w:val="4"/>
              </w:rPr>
            </w:pPr>
            <w:r>
              <w:rPr>
                <w:sz w:val="4"/>
                <w:szCs w:val="4"/>
              </w:rPr>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INCOME (LOSS)</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Unallocated and other</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DEPRECIATION EXPENSE</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AMORTIZATION EXPENSE</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 xml:space="preserve">EBITDA </w:t>
            </w:r>
            <w:r>
              <w:rPr>
                <w:rFonts w:ascii="Times New Roman;serif" w:hAnsi="Times New Roman;serif"/>
                <w:b w:val="false"/>
                <w:sz w:val="16"/>
              </w:rPr>
              <w:t>(b)</w:t>
            </w:r>
          </w:p>
        </w:tc>
        <w:tc>
          <w:tcPr>
            <w:tcW w:w="704"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7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Life Sciences</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Personal Care</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Specialty Additives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Intermediates</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Unallocated and other</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 w:after="0"/>
        <w:jc w:val="both"/>
        <w:rPr>
          <w:rFonts w:ascii="Times New Roman" w:hAnsi="Times New Roman"/>
          <w:b w:val="false"/>
          <w:sz w:val="16"/>
        </w:rPr>
      </w:pPr>
      <w:r>
        <w:rPr>
          <w:rFonts w:ascii="Times New Roman" w:hAnsi="Times New Roman"/>
          <w:b w:val="false"/>
          <w:sz w:val="16"/>
        </w:rPr>
        <w:t>(a)</w:t>
      </w:r>
    </w:p>
    <w:p>
      <w:pPr>
        <w:pStyle w:val="TextBody"/>
        <w:spacing w:before="20" w:after="0"/>
        <w:jc w:val="both"/>
        <w:rPr>
          <w:rFonts w:ascii="Times New Roman;serif" w:hAnsi="Times New Roman;serif"/>
          <w:b w:val="false"/>
          <w:sz w:val="16"/>
        </w:rPr>
      </w:pPr>
      <w:r>
        <w:rPr>
          <w:rFonts w:ascii="Times New Roman;serif" w:hAnsi="Times New Roman;serif"/>
          <w:b w:val="false"/>
          <w:sz w:val="16"/>
        </w:rPr>
        <w:t>Intersegment sales from Intermediates are accounted for at prices that approximate fair value. All other intersegment transfers are accounted for at cost.</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283"/>
        <w:jc w:val="both"/>
        <w:rPr>
          <w:rFonts w:ascii="Times New Roman;serif" w:hAnsi="Times New Roman;serif"/>
          <w:b w:val="false"/>
          <w:sz w:val="16"/>
        </w:rPr>
      </w:pPr>
      <w:r>
        <w:rPr>
          <w:rFonts w:ascii="Times New Roman;serif" w:hAnsi="Times New Roman;serif"/>
          <w:b w:val="false"/>
          <w:sz w:val="16"/>
        </w:rPr>
        <w:t>Excludes income (loss) from discontinued operations, other net periodic benefit loss (income). See the Statement of Consolidated Comprehensive Income (Loss) for applicable amounts excluded.</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Life Sciences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pStyle w:val="TextBody"/>
        <w:spacing w:before="220" w:after="0"/>
        <w:jc w:val="both"/>
        <w:rPr>
          <w:rFonts w:ascii="Times New Roman;serif" w:hAnsi="Times New Roman;serif"/>
          <w:b w:val="false"/>
          <w:i/>
          <w:sz w:val="22"/>
        </w:rPr>
      </w:pPr>
      <w:r>
        <w:rPr>
          <w:rFonts w:ascii="Times New Roman;serif" w:hAnsi="Times New Roman;serif"/>
          <w:b w:val="false"/>
          <w:i/>
          <w:sz w:val="22"/>
        </w:rPr>
        <w:t>March 2023 quarter compared to March 2022 quarter</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Life Sciences’ sales increased $36 million to $240 million in the current quarter. Favorable pricing and higher volume increased sales by $38 million and $4 million, respectively, while unfavorable foreign currency exchange decreased sales by $6 million.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increased $15 million to income of $58 million for the current quarter. Favorable price/mix and higher volume increased operating income by $34 million and $4 million, respectively, partially offset by unfavorable foreign currency exchange and higher costs which decreased operating income by $4 million and $19 million, respectively. Current quarter EBITDA increased $17 million to $75 million. EBITDA margin increased 2.9 percentage points in the current quarter to 31.3%.</w:t>
      </w:r>
    </w:p>
    <w:p>
      <w:pPr>
        <w:pStyle w:val="TextBody"/>
        <w:spacing w:before="220" w:after="0"/>
        <w:jc w:val="both"/>
        <w:rPr>
          <w:rFonts w:ascii="Times New Roman;serif" w:hAnsi="Times New Roman;serif"/>
          <w:b w:val="false"/>
          <w:i/>
          <w:sz w:val="22"/>
        </w:rPr>
      </w:pPr>
      <w:r>
        <w:rPr>
          <w:rFonts w:ascii="Times New Roman;serif" w:hAnsi="Times New Roman;serif"/>
          <w:b w:val="false"/>
          <w:i/>
          <w:sz w:val="22"/>
        </w:rPr>
        <w:t>Fiscal 2023 year-to-date compared to fiscal 2022 year-to-date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Life Sciences’ sales increased $73 million to $447 million in the current period. Favorable pricing and higher volume increased sales by $61 million and $26 million, respectively, while unfavorable foreign currency exchange decreased sales by $14 million. Life Sciences experienced strong global demand for pharmaceutical ingredients throughout the current period.</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increased $28 million to income of $92 million for the current period. Favorable price/mix and higher volume increased operating income by $59 million and $14 million, respectively, while unfavorable foreign currency exchange and higher costs decreased operating income by $11 million and $34 million, respectively. Current period EBITDA increased $32 million to $126 million while adjusted EBITDA increased $33 million to $127 million. Adjusted EBITDA margin increased 3.3 percentage points in the current period to 28.4%.</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EBITDA and Adjusted EBITDA reconciliation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2"/>
        </w:rPr>
        <w:t>The following EBITDA presentation for the three and six months ended March 31, 2023 and 2022 is provided as a means to enhance the understanding of financial measurements that Ashland has internally determined to be relevant measures of comparison for the results of Life Sciences. The key items during the six months ended March 31, 2023 related to $1 million for restructuring program within the Nutraceuticals business of the Life Sciences segment.</w:t>
      </w:r>
      <w:r>
        <w:rPr>
          <w:rFonts w:ascii="Times New Roman" w:hAnsi="Times New Roman"/>
          <w:sz w:val="20"/>
        </w:rPr>
        <w:t xml:space="preserve"> </w:t>
      </w:r>
    </w:p>
    <w:p>
      <w:pPr>
        <w:pStyle w:val="TextBody"/>
        <w:spacing w:before="0" w:after="0"/>
        <w:jc w:val="both"/>
        <w:rPr/>
      </w:pPr>
      <w:r>
        <w:rPr/>
        <w:t> </w:t>
      </w:r>
    </w:p>
    <w:tbl>
      <w:tblPr>
        <w:tblW w:w="8188" w:type="dxa"/>
        <w:jc w:val="left"/>
        <w:tblInd w:w="0" w:type="dxa"/>
        <w:tblCellMar>
          <w:top w:w="28" w:type="dxa"/>
          <w:left w:w="28" w:type="dxa"/>
          <w:bottom w:w="28" w:type="dxa"/>
          <w:right w:w="28" w:type="dxa"/>
        </w:tblCellMar>
      </w:tblPr>
      <w:tblGrid>
        <w:gridCol w:w="2596"/>
        <w:gridCol w:w="146"/>
        <w:gridCol w:w="387"/>
        <w:gridCol w:w="635"/>
        <w:gridCol w:w="268"/>
        <w:gridCol w:w="268"/>
        <w:gridCol w:w="387"/>
        <w:gridCol w:w="635"/>
        <w:gridCol w:w="146"/>
        <w:gridCol w:w="146"/>
        <w:gridCol w:w="339"/>
        <w:gridCol w:w="678"/>
        <w:gridCol w:w="235"/>
        <w:gridCol w:w="235"/>
        <w:gridCol w:w="339"/>
        <w:gridCol w:w="557"/>
        <w:gridCol w:w="1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255" w:type="dxa"/>
            <w:gridSpan w:val="14"/>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Life Sciences</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68"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235"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9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and other costs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sz w:val="20"/>
        </w:rPr>
      </w:pPr>
      <w:r>
        <w:rPr>
          <w:rFonts w:ascii="Times New Roman;serif" w:hAnsi="Times New Roman;serif"/>
          <w:b/>
          <w:sz w:val="22"/>
        </w:rPr>
        <w:t>Personal Care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2"/>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r>
        <w:rPr>
          <w:rFonts w:ascii="Times New Roman" w:hAnsi="Times New Roman"/>
          <w:sz w:val="20"/>
        </w:rPr>
        <w:t xml:space="preserve"> </w:t>
      </w:r>
    </w:p>
    <w:p>
      <w:pPr>
        <w:pStyle w:val="TextBody"/>
        <w:spacing w:before="220" w:after="0"/>
        <w:jc w:val="both"/>
        <w:rPr>
          <w:rFonts w:ascii="Times New Roman;serif" w:hAnsi="Times New Roman;serif"/>
          <w:b w:val="false"/>
          <w:i/>
          <w:sz w:val="22"/>
        </w:rPr>
      </w:pPr>
      <w:r>
        <w:rPr>
          <w:rFonts w:ascii="Times New Roman;serif" w:hAnsi="Times New Roman;serif"/>
          <w:b w:val="false"/>
          <w:i/>
          <w:sz w:val="22"/>
        </w:rPr>
        <w:t>March 2023 quarter compared to March 2022 quarter</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Personal Care's sales decreased $5 million to $167 million in the current quarter. Unfavorable volume and foreign currency exchange decreased sales by $18 million and $4 million, respectively, while favorable product pricing increased sales by $17 million.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decreased $14 million to income of $14 million for the current quarter. Lower volume, higher operating costs and unfavorable foreign currency exchange decreased operating income by $7 million, $19 million and $1 million, respectively. These decreases were partially offset by favorable price/mix which increased operating income by $13 million. Current quarter EBITDA decreased $14 million to $35 million. EBITDA margin decreased 7.5 percentage points in the current quarter to 21.0%.</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Fiscal 2023 year-to-date compared to fiscal 2022 year-to-date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Personal Care's sales decreased $13 million to $305 million in the current year perior. Unfavorable volume and foreign currency exchange decreased sales by $33 million and $10 million, respectively, while favorable product pricing increased sales by $30 million.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decreased $17 million to income of $25 million for the current year period. Lower volume, higher operating costs and unfavorable foreign currency exchange decreased operating income by $12 million, $24 million and $4 million, respectively. These decreases were partially offset by favorable price/mix which increased operating income by $23 million. Current year EBITDA decreased $17 million to $67 million. EBITDA margin decreased 4.4 percentage points in the current quarter to 22.0%.</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EBITDA and Adjusted EBITDA reconciliation</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EBITDA presentation for the three and six months ended March 31, 2023 and 2022 is provided as a means to enhance the understanding of financial measurements that Ashland has internally determined to be relevant measures of comparison for the results of Personal Care. Personal Care had no key items for the three and six months ended March 31, 2023 or 2022.</w:t>
      </w:r>
    </w:p>
    <w:tbl>
      <w:tblPr>
        <w:tblW w:w="8185" w:type="dxa"/>
        <w:jc w:val="left"/>
        <w:tblInd w:w="0" w:type="dxa"/>
        <w:tblCellMar>
          <w:top w:w="28" w:type="dxa"/>
          <w:left w:w="28" w:type="dxa"/>
          <w:bottom w:w="28" w:type="dxa"/>
          <w:right w:w="28" w:type="dxa"/>
        </w:tblCellMar>
      </w:tblPr>
      <w:tblGrid>
        <w:gridCol w:w="2596"/>
        <w:gridCol w:w="146"/>
        <w:gridCol w:w="404"/>
        <w:gridCol w:w="605"/>
        <w:gridCol w:w="279"/>
        <w:gridCol w:w="279"/>
        <w:gridCol w:w="404"/>
        <w:gridCol w:w="605"/>
        <w:gridCol w:w="146"/>
        <w:gridCol w:w="146"/>
        <w:gridCol w:w="374"/>
        <w:gridCol w:w="560"/>
        <w:gridCol w:w="258"/>
        <w:gridCol w:w="258"/>
        <w:gridCol w:w="374"/>
        <w:gridCol w:w="560"/>
        <w:gridCol w:w="1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252" w:type="dxa"/>
            <w:gridSpan w:val="14"/>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Personal Care</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9"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5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9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serif" w:hAnsi="Times New Roman;serif"/>
          <w:b/>
          <w:sz w:val="22"/>
        </w:rPr>
      </w:pPr>
      <w:r>
        <w:rPr>
          <w:rFonts w:ascii="Times New Roman;serif" w:hAnsi="Times New Roman;serif"/>
          <w:b/>
          <w:sz w:val="22"/>
        </w:rPr>
        <w:t>Specialty Additives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March 2023 quarter compared to March 2022 quarter</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Specialty Additives’ sales decreased $21 million to $161 million in the current quarter. Lower volume and unfavorable foreign currency exchange decreased sales by $35 million and $4 million, respectively. Those decreases were partially offset by favorable product pricing which increased sales by $18 million.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decreased $11 million to income of $15 million for the current quarter. Lower volume, higher operating costs and unfavorable foreign currency exchange decreased operating income by $10 million, $10 million and $1 million, respectively. These decreases were partially offset by favorable pricing/mix which increased operating income by $10 million. Current quarter EBITDA decreased $14 million to $34 million. EBITDA margin decreased 5.3 percentage points in the current quarter to 21.1%.</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Fiscal 2023 year-to-date compared to fiscal 2022 year-to-date</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Specialty Additives’ sales decreased $34 million to $304 million in the current year period. Lower volume and unfavorable foreign currency exchange decreased sales by $61 million and $11 million, respectively. Those decreases were partially offset by favorable product pricing which increased sales by $38 million. Specialty Additives sales were negatively impacted by the COVID-19 impact related to the China re-opening and the general economic slowdown in Europe in the current period.</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Operating income decreased $28 million to income of $16 million for the current year period. Lower volume, higher operating costs, asset impairments, and unfavorable foreign currency exchange decreased operating income by $16 million, $28 million, $4 million, and $1 million, respectively. Operating costs were negatively impacted by COVID-19 dynamics in China which resulted in additional extended unplanned plant shutdowns, that were in addition to planned plant maintenance shutdowns. These decreases were partially offset by favorable pricing/mix which increased operating income by $21 million. Current year EBITDA decreased $33 million to $53 million while Adjusted EBITDA decreased $29 million to $57 million. Adjusted EBITDA margin decreased 6.6 percentage points in the current quarter to 18.8%.</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EBITDA and Adjusted EBITDA reconciliation</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EBITDA presentation for the three and six months ended March 31, 2023 and 2022 is provided as a means to enhance the understanding of financial measurements that Ashland has internally determined to be relevant measures of comparison for the results of Specialty Additives. The key items during the six months ended March 31, 2023 related to an impairment charge of $4 million associated with a manufacturing facility.</w:t>
      </w:r>
    </w:p>
    <w:tbl>
      <w:tblPr>
        <w:tblW w:w="8187" w:type="dxa"/>
        <w:jc w:val="left"/>
        <w:tblInd w:w="0" w:type="dxa"/>
        <w:tblCellMar>
          <w:top w:w="28" w:type="dxa"/>
          <w:left w:w="28" w:type="dxa"/>
          <w:bottom w:w="28" w:type="dxa"/>
          <w:right w:w="28" w:type="dxa"/>
        </w:tblCellMar>
      </w:tblPr>
      <w:tblGrid>
        <w:gridCol w:w="2596"/>
        <w:gridCol w:w="146"/>
        <w:gridCol w:w="387"/>
        <w:gridCol w:w="635"/>
        <w:gridCol w:w="268"/>
        <w:gridCol w:w="268"/>
        <w:gridCol w:w="387"/>
        <w:gridCol w:w="635"/>
        <w:gridCol w:w="146"/>
        <w:gridCol w:w="146"/>
        <w:gridCol w:w="365"/>
        <w:gridCol w:w="547"/>
        <w:gridCol w:w="253"/>
        <w:gridCol w:w="253"/>
        <w:gridCol w:w="365"/>
        <w:gridCol w:w="599"/>
        <w:gridCol w:w="1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254" w:type="dxa"/>
            <w:gridSpan w:val="14"/>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Specialty Additives</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68"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53"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9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sz w:val="22"/>
        </w:rPr>
        <w:t>Intermediates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2"/>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i/>
          <w:sz w:val="22"/>
        </w:rPr>
        <w:t>March 2023 quarter compared to March 2022 quarter</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Intermediates’ sales decreased $15 million to $51 million in the current quarter. Unfavorable product pricing, lower volume and unfavorable foreign currency exchange decreased sales by $2 million, 12 million and $1 million, respectively.</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decreased $10 million to $17 million for the current quarter. Unfavorable price/mix, lower volume, higher production costs and unfavorable foreign currency exchange which decreased operating income by $2 million, $5 million, $2 million and $1 million, respectively. Current quarter EBITDA decreased $10 million to $20 million. EBITDA margin decreased 6.3 percentage points in the current quarter to 39.2%.</w:t>
      </w:r>
    </w:p>
    <w:p>
      <w:pPr>
        <w:pStyle w:val="TextBody"/>
        <w:spacing w:before="120" w:after="0"/>
        <w:jc w:val="both"/>
        <w:rPr>
          <w:rFonts w:ascii="Times New Roman" w:hAnsi="Times New Roman"/>
          <w:sz w:val="20"/>
        </w:rPr>
      </w:pPr>
      <w:r>
        <w:rPr>
          <w:rFonts w:ascii="Times New Roman;serif" w:hAnsi="Times New Roman;serif"/>
          <w:b w:val="false"/>
          <w:i/>
          <w:sz w:val="22"/>
        </w:rPr>
        <w:t>Fiscal 2023 year-to-date compared to fiscal 2022 year-to-date</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Intermediates’ sales decreased $14 million to $105 million in the current period. Lower volume and unfavorable foreign currency exchange decreased sales by $19 million and $2 million, respectively. These decreases were partially offset by favorable product pricing which increased sales by $7 million.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Operating income decreased $5 million to $37 million for the current period. Lower volume, higher production costs and unfavorable foreign currency exchange decreased operating income by $7 million, $3 million and $1 million, respectively. These decreases were partially offset by price/mix which increased operating income by $6 million. Current year EBITDA decreased $5 million to $44 million. EBITDA margin increased 0.7 percentage points in the current quarter to 41.9%.</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EBITDA and Adjusted EBITDA reconciliation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EBITDA presentation (as defined and described in the section above) for the three and six months ended March 31, 2023 and 2022 is provided as a means to enhance the understanding of financial measurements that Ashland has internally determined to be relevant measures of comparison for the results of Intermediates. Intermediates had no key items for the three and six months ended March 31, 2023 or 2022.</w:t>
      </w:r>
    </w:p>
    <w:tbl>
      <w:tblPr>
        <w:tblW w:w="8185" w:type="dxa"/>
        <w:jc w:val="left"/>
        <w:tblInd w:w="0" w:type="dxa"/>
        <w:tblCellMar>
          <w:top w:w="28" w:type="dxa"/>
          <w:left w:w="28" w:type="dxa"/>
          <w:bottom w:w="28" w:type="dxa"/>
          <w:right w:w="28" w:type="dxa"/>
        </w:tblCellMar>
      </w:tblPr>
      <w:tblGrid>
        <w:gridCol w:w="2596"/>
        <w:gridCol w:w="146"/>
        <w:gridCol w:w="404"/>
        <w:gridCol w:w="605"/>
        <w:gridCol w:w="279"/>
        <w:gridCol w:w="279"/>
        <w:gridCol w:w="404"/>
        <w:gridCol w:w="605"/>
        <w:gridCol w:w="146"/>
        <w:gridCol w:w="146"/>
        <w:gridCol w:w="374"/>
        <w:gridCol w:w="560"/>
        <w:gridCol w:w="258"/>
        <w:gridCol w:w="258"/>
        <w:gridCol w:w="374"/>
        <w:gridCol w:w="560"/>
        <w:gridCol w:w="1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252" w:type="dxa"/>
            <w:gridSpan w:val="14"/>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Intermediates</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9"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5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9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Unallocated and other</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table summarizes the key components of the Unallocated and other segment’s operating income (loss) for the three ended March 31, 2023 and 2022.</w:t>
      </w:r>
    </w:p>
    <w:tbl>
      <w:tblPr>
        <w:tblW w:w="10205" w:type="dxa"/>
        <w:jc w:val="left"/>
        <w:tblInd w:w="0" w:type="dxa"/>
        <w:tblCellMar>
          <w:top w:w="28" w:type="dxa"/>
          <w:left w:w="28" w:type="dxa"/>
          <w:bottom w:w="28" w:type="dxa"/>
          <w:right w:w="28" w:type="dxa"/>
        </w:tblCellMar>
      </w:tblPr>
      <w:tblGrid>
        <w:gridCol w:w="4713"/>
        <w:gridCol w:w="146"/>
        <w:gridCol w:w="355"/>
        <w:gridCol w:w="633"/>
        <w:gridCol w:w="279"/>
        <w:gridCol w:w="245"/>
        <w:gridCol w:w="355"/>
        <w:gridCol w:w="633"/>
        <w:gridCol w:w="166"/>
        <w:gridCol w:w="146"/>
        <w:gridCol w:w="329"/>
        <w:gridCol w:w="587"/>
        <w:gridCol w:w="259"/>
        <w:gridCol w:w="227"/>
        <w:gridCol w:w="329"/>
        <w:gridCol w:w="587"/>
        <w:gridCol w:w="216"/>
      </w:tblGrid>
      <w:tr>
        <w:trPr/>
        <w:tc>
          <w:tcPr>
            <w:tcW w:w="47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471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130" w:type="dxa"/>
            <w:gridSpan w:val="14"/>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Unallocated and Other</w:t>
            </w:r>
          </w:p>
        </w:tc>
        <w:tc>
          <w:tcPr>
            <w:tcW w:w="21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47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1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 March 31</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7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activities</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5"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Environmental expenses</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5"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on acquisitions and divestitures, net</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pPr>
            <w:r>
              <w:rPr/>
              <w:t>—</w:t>
            </w:r>
          </w:p>
        </w:tc>
        <w:tc>
          <w:tcPr>
            <w:tcW w:w="27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87" w:type="dxa"/>
            <w:tcBorders/>
            <w:shd w:fill="auto" w:val="clear"/>
            <w:vAlign w:val="center"/>
          </w:tcPr>
          <w:p>
            <w:pPr>
              <w:pStyle w:val="TableContents"/>
              <w:spacing w:before="0" w:after="0"/>
              <w:ind w:left="0" w:right="0" w:hanging="0"/>
              <w:jc w:val="right"/>
              <w:rPr/>
            </w:pPr>
            <w:r>
              <w:rPr/>
              <w:t>—</w:t>
            </w:r>
          </w:p>
        </w:tc>
        <w:tc>
          <w:tcPr>
            <w:tcW w:w="25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6" w:type="dxa"/>
            <w:tcBorders/>
            <w:shd w:fill="auto" w:val="clear"/>
            <w:vAlign w:val="center"/>
          </w:tcPr>
          <w:p>
            <w:pPr>
              <w:pStyle w:val="TableContents"/>
              <w:spacing w:before="0" w:after="0"/>
              <w:ind w:left="0" w:right="0" w:hanging="0"/>
              <w:jc w:val="left"/>
              <w:rPr/>
            </w:pPr>
            <w:r>
              <w:rPr/>
              <w:t> </w:t>
            </w:r>
          </w:p>
        </w:tc>
      </w:tr>
      <w:tr>
        <w:trPr/>
        <w:tc>
          <w:tcPr>
            <w:tcW w:w="47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expenses (primarily governance and legacy expenses)</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5" w:type="dxa"/>
            <w:tcBorders/>
            <w:shd w:fill="auto" w:val="cle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shd w:fill="auto" w:val="cle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expense</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5" w:type="dxa"/>
            <w:tcBorders/>
            <w:shd w:fill="auto" w:val="cle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2"/>
        </w:rPr>
        <w:t>March 2023 quarter compared to March 2022 quarter</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Unallocated and other recorded expense of $21 million and $24 million for the three months ended March 31, 2023 and 2022, respectively. The current and prior year quarter included expense of $1 million and $4 million, respectively, for restructuring activities mainly comprised of severance, lease abandonment and other restructuring costs related to company-wide cost reduction programs during the current and prior year quarter, respectively, which included stranded costs of $3 million for prior year quarter associated with the Performance Adhesives divestiture.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current quarter and prior year quarter included $4 million and $7 million for environmental expenses, respectively. The prior year quarter also included income of $7 million from acquisitions and divestitiures. See income on acquisitions and divestitures caption review above for additional details.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Other expenses between periods were driven by decreases in governance and legacy expenses primarily associated with fluctuations in foreign currency, deferred compensation and incentive compensation.</w:t>
      </w:r>
    </w:p>
    <w:p>
      <w:pPr>
        <w:pStyle w:val="TextBody"/>
        <w:spacing w:before="120" w:after="0"/>
        <w:jc w:val="both"/>
        <w:rPr>
          <w:rFonts w:ascii="Times New Roman" w:hAnsi="Times New Roman"/>
          <w:sz w:val="20"/>
        </w:rPr>
      </w:pPr>
      <w:r>
        <w:rPr>
          <w:rFonts w:ascii="Times New Roman;serif" w:hAnsi="Times New Roman;serif"/>
          <w:b w:val="false"/>
          <w:i/>
          <w:sz w:val="22"/>
        </w:rPr>
        <w:t>Fiscal 2023 year-to-date compared to fiscal 2022 year-to-date</w:t>
      </w:r>
      <w:r>
        <w:rPr>
          <w:rFonts w:ascii="Times New Roman" w:hAnsi="Times New Roman"/>
          <w:sz w:val="20"/>
        </w:rPr>
        <w:t xml:space="preserve">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Unallocated and other recorded expense of $50 million for the six months ended March 31, 2023 and 2022, respectively. The current and prior year period included expense of $2 million and $9 million, respectively, for restructuring activities mainly comprised of severance, lease abandonment and other restructuring costs related to company-wide cost reduction programs during the current and prior year period, respectively, which included stranded costs of $7 million for the prior year associated with the Performance Adhesives divestiture.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current period and prior year period included $12 million and $11 million for environmental expenses, respectively. The prior year quarter also included income of $7 million from acquisitions and divestitures. See income on acquisitions and divestitures caption review above for additional details.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Other expenses between periods were driven by decreases in governance and legacy expenses primarily associated with fluctuations in foreign currency, deferred compensation and incentive compensation.</w:t>
      </w:r>
    </w:p>
    <w:p>
      <w:pPr>
        <w:pStyle w:val="TextBody"/>
        <w:spacing w:before="240" w:after="0"/>
        <w:jc w:val="both"/>
        <w:rPr>
          <w:rFonts w:ascii="Times New Roman;serif" w:hAnsi="Times New Roman;serif"/>
          <w:b/>
          <w:sz w:val="22"/>
        </w:rPr>
      </w:pPr>
      <w:r>
        <w:rPr>
          <w:rFonts w:ascii="Times New Roman;serif" w:hAnsi="Times New Roman;serif"/>
          <w:b/>
          <w:sz w:val="22"/>
        </w:rPr>
        <w:t>FINANCIAL POSITION</w:t>
      </w:r>
    </w:p>
    <w:p>
      <w:pPr>
        <w:pStyle w:val="TextBody"/>
        <w:spacing w:before="120" w:after="0"/>
        <w:jc w:val="both"/>
        <w:rPr>
          <w:rFonts w:ascii="Times New Roman;serif" w:hAnsi="Times New Roman;serif"/>
          <w:b/>
          <w:sz w:val="22"/>
        </w:rPr>
      </w:pPr>
      <w:r>
        <w:rPr>
          <w:rFonts w:ascii="Times New Roman;serif" w:hAnsi="Times New Roman;serif"/>
          <w:b/>
          <w:sz w:val="22"/>
        </w:rPr>
        <w:t>Liquidity</w:t>
      </w:r>
    </w:p>
    <w:p>
      <w:pPr>
        <w:pStyle w:val="TextBody"/>
        <w:spacing w:before="120" w:after="0"/>
        <w:jc w:val="both"/>
        <w:rPr>
          <w:rFonts w:ascii="Times New Roman" w:hAnsi="Times New Roman"/>
          <w:sz w:val="20"/>
        </w:rPr>
      </w:pPr>
      <w:r>
        <w:rPr>
          <w:rFonts w:ascii="Times New Roman;serif" w:hAnsi="Times New Roman;serif"/>
          <w:b w:val="false"/>
          <w:sz w:val="22"/>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Cash flows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cash flows from operating, investing and financing activities, as reflected in the Statements of Condensed Consolidated Cash Flows, are summarized as follows for the six months ended March 31, 2023 and 2022.</w:t>
      </w:r>
    </w:p>
    <w:p>
      <w:pPr>
        <w:pStyle w:val="TextBody"/>
        <w:spacing w:before="0" w:after="0"/>
        <w:jc w:val="both"/>
        <w:rPr/>
      </w:pPr>
      <w:r>
        <w:rPr/>
        <w:t> </w:t>
      </w:r>
    </w:p>
    <w:tbl>
      <w:tblPr>
        <w:tblW w:w="8179" w:type="dxa"/>
        <w:jc w:val="left"/>
        <w:tblInd w:w="0" w:type="dxa"/>
        <w:tblCellMar>
          <w:top w:w="28" w:type="dxa"/>
          <w:left w:w="28" w:type="dxa"/>
          <w:bottom w:w="28" w:type="dxa"/>
          <w:right w:w="28" w:type="dxa"/>
        </w:tblCellMar>
      </w:tblPr>
      <w:tblGrid>
        <w:gridCol w:w="5836"/>
        <w:gridCol w:w="146"/>
        <w:gridCol w:w="211"/>
        <w:gridCol w:w="481"/>
        <w:gridCol w:w="166"/>
        <w:gridCol w:w="146"/>
        <w:gridCol w:w="211"/>
        <w:gridCol w:w="571"/>
        <w:gridCol w:w="411"/>
      </w:tblGrid>
      <w:tr>
        <w:trPr/>
        <w:tc>
          <w:tcPr>
            <w:tcW w:w="5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8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786" w:type="dxa"/>
            <w:gridSpan w:val="6"/>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58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provided (used) by:</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411" w:type="dxa"/>
            <w:tcBorders/>
            <w:shd w:fill="auto" w:val="clear"/>
            <w:vAlign w:val="center"/>
          </w:tcPr>
          <w:p>
            <w:pPr>
              <w:pStyle w:val="TableContents"/>
              <w:spacing w:before="0" w:after="0"/>
              <w:ind w:left="0" w:right="0" w:firstLine="200"/>
              <w:jc w:val="left"/>
              <w:rPr/>
            </w:pPr>
            <w:r>
              <w:rPr/>
              <w:t> </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1,577</w:t>
            </w:r>
          </w:p>
        </w:tc>
        <w:tc>
          <w:tcPr>
            <w:tcW w:w="411" w:type="dxa"/>
            <w:tcBorders/>
            <w:shd w:fill="auto" w:val="clear"/>
            <w:vAlign w:val="center"/>
          </w:tcPr>
          <w:p>
            <w:pPr>
              <w:pStyle w:val="TableContents"/>
              <w:spacing w:before="0" w:after="0"/>
              <w:ind w:left="0" w:right="0" w:firstLine="200"/>
              <w:jc w:val="left"/>
              <w:rPr/>
            </w:pPr>
            <w:r>
              <w:rPr/>
              <w:t> </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currency exchange rate changes on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serif" w:hAnsi="Times New Roman;serif"/>
          <w:b w:val="false"/>
          <w:sz w:val="22"/>
        </w:rPr>
      </w:pPr>
      <w:r>
        <w:rPr>
          <w:rFonts w:ascii="Times New Roman;serif" w:hAnsi="Times New Roman;serif"/>
          <w:b w:val="false"/>
          <w:sz w:val="22"/>
        </w:rPr>
        <w:t>Cash and cash equivalents decreased $247 million for the six months ended March 31, 2023 compared to a $754 million increase for the six months ended March 31, 2022.</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$247 million decrease for the six months ended March 31, 2023 was primarily driven by payment of cash dividends, additions to property, plant and equipment, and stock repurchase activity of $36 million, $58 million, and $142 million, respectively. Operating cash flows from continuing operations were inflows of $27 million, while discontinued operations cash flows were outflows of $47 million.</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$754 million increase for the six months ended March 31, 2022 was primarily driven by the proceeds of the sale of the Performance Adhesives business segment of approximately $1.7 billion, net of transaction costs, and $31 million of operating cash flows from continuing operations offset by short-term debt repayments of $365 million, long-term debt repayments of $250 million, and $155 million of stock repurchase activity.</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See the Statements of Condensed Consolidated Cash Flows for additional details.</w:t>
      </w:r>
    </w:p>
    <w:p>
      <w:pPr>
        <w:pStyle w:val="TextBody"/>
        <w:spacing w:before="120" w:after="120"/>
        <w:jc w:val="both"/>
        <w:rPr>
          <w:rFonts w:ascii="Times New Roman;serif" w:hAnsi="Times New Roman;serif"/>
          <w:b w:val="false"/>
          <w:i/>
          <w:sz w:val="22"/>
        </w:rPr>
      </w:pPr>
      <w:r>
        <w:rPr>
          <w:rFonts w:ascii="Times New Roman;serif" w:hAnsi="Times New Roman;serif"/>
          <w:b w:val="false"/>
          <w:i/>
          <w:sz w:val="22"/>
        </w:rPr>
        <w:t>Free cash flow and other liquidity resources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following represents Ashland’s calculation of free cash flow and ongoing free cash flows for the disclosed periods. Free cash flow does not reflect adjustments for certain non-discretionary cash flows such as mandatory debt repayments.</w:t>
      </w:r>
    </w:p>
    <w:p>
      <w:pPr>
        <w:pStyle w:val="TextBody"/>
        <w:spacing w:before="0" w:after="0"/>
        <w:jc w:val="both"/>
        <w:rPr/>
      </w:pPr>
      <w:r>
        <w:rPr/>
        <w:t> </w:t>
      </w:r>
    </w:p>
    <w:tbl>
      <w:tblPr>
        <w:tblW w:w="8684" w:type="dxa"/>
        <w:jc w:val="left"/>
        <w:tblInd w:w="0" w:type="dxa"/>
        <w:tblCellMar>
          <w:top w:w="28" w:type="dxa"/>
          <w:left w:w="28" w:type="dxa"/>
          <w:bottom w:w="28" w:type="dxa"/>
          <w:right w:w="28" w:type="dxa"/>
        </w:tblCellMar>
      </w:tblPr>
      <w:tblGrid>
        <w:gridCol w:w="6361"/>
        <w:gridCol w:w="146"/>
        <w:gridCol w:w="211"/>
        <w:gridCol w:w="421"/>
        <w:gridCol w:w="271"/>
        <w:gridCol w:w="146"/>
        <w:gridCol w:w="211"/>
        <w:gridCol w:w="526"/>
        <w:gridCol w:w="391"/>
      </w:tblGrid>
      <w:tr>
        <w:trPr/>
        <w:tc>
          <w:tcPr>
            <w:tcW w:w="6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36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27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2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flows provided by operating activities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 to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Cash (inflows) outflows from U.S. Accounts Receivable Sales Program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Restructuring-related payments </w:t>
            </w:r>
            <w:r>
              <w:rPr>
                <w:rFonts w:ascii="Times New Roman;serif" w:hAnsi="Times New Roman;serif"/>
                <w:b w:val="false"/>
                <w:sz w:val="16"/>
              </w:rPr>
              <w:t>(b)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Environmental and related litigation payments </w:t>
            </w:r>
            <w:r>
              <w:rPr>
                <w:rFonts w:ascii="Times New Roman;serif" w:hAnsi="Times New Roman;serif"/>
                <w:b w:val="false"/>
                <w:sz w:val="16"/>
              </w:rPr>
              <w:t>(c)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Ongoing free cash flow</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3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Adjusted EBITDA </w:t>
            </w:r>
            <w:r>
              <w:rPr>
                <w:rFonts w:ascii="Times New Roman;serif" w:hAnsi="Times New Roman;serif"/>
                <w:b w:val="false"/>
                <w:sz w:val="16"/>
              </w:rPr>
              <w:t>(d)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3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cash flow conversion (e)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Ongoing free cash flow conversion </w:t>
            </w:r>
            <w:r>
              <w:rPr>
                <w:rFonts w:ascii="Times New Roman;serif" w:hAnsi="Times New Roman;serif"/>
                <w:b w:val="false"/>
                <w:sz w:val="16"/>
              </w:rPr>
              <w:t>(f)</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Represents activity associated with the U.S. Accounts Receivable Sales Program impacting each period presented.</w:t>
      </w:r>
    </w:p>
    <w:p>
      <w:pPr>
        <w:pStyle w:val="TextBody"/>
        <w:spacing w:before="40" w:after="0"/>
        <w:jc w:val="both"/>
        <w:rPr>
          <w:rFonts w:ascii="Times New Roman" w:hAnsi="Times New Roman"/>
          <w:b w:val="false"/>
          <w:sz w:val="16"/>
        </w:rPr>
      </w:pPr>
      <w:r>
        <w:rPr>
          <w:rFonts w:ascii="Times New Roman" w:hAnsi="Times New Roman"/>
          <w:b w:val="false"/>
          <w:sz w:val="16"/>
        </w:rPr>
        <w:t>(b)</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Restructuring payments incurred during each period.</w:t>
      </w:r>
    </w:p>
    <w:p>
      <w:pPr>
        <w:pStyle w:val="TextBody"/>
        <w:spacing w:before="40" w:after="0"/>
        <w:jc w:val="both"/>
        <w:rPr>
          <w:rFonts w:ascii="Times New Roman" w:hAnsi="Times New Roman"/>
          <w:b w:val="false"/>
          <w:sz w:val="16"/>
        </w:rPr>
      </w:pPr>
      <w:r>
        <w:rPr>
          <w:rFonts w:ascii="Times New Roman" w:hAnsi="Times New Roman"/>
          <w:b w:val="false"/>
          <w:sz w:val="16"/>
        </w:rPr>
        <w:t>(c)</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Represents cash outflows associated with environmental and related litigation payments which will be reimbursed by the environmental trust.</w:t>
      </w:r>
    </w:p>
    <w:p>
      <w:pPr>
        <w:pStyle w:val="TextBody"/>
        <w:spacing w:before="40" w:after="0"/>
        <w:jc w:val="both"/>
        <w:rPr>
          <w:rFonts w:ascii="Times New Roman" w:hAnsi="Times New Roman"/>
          <w:b w:val="false"/>
          <w:sz w:val="16"/>
        </w:rPr>
      </w:pPr>
      <w:r>
        <w:rPr>
          <w:rFonts w:ascii="Times New Roman" w:hAnsi="Times New Roman"/>
          <w:b w:val="false"/>
          <w:sz w:val="16"/>
        </w:rPr>
        <w:t>(d)</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See adjusted EBITDA reconciliation.</w:t>
      </w:r>
    </w:p>
    <w:p>
      <w:pPr>
        <w:pStyle w:val="TextBody"/>
        <w:spacing w:before="40" w:after="0"/>
        <w:jc w:val="both"/>
        <w:rPr>
          <w:rFonts w:ascii="Times New Roman" w:hAnsi="Times New Roman"/>
          <w:b w:val="false"/>
          <w:sz w:val="16"/>
        </w:rPr>
      </w:pPr>
      <w:r>
        <w:rPr>
          <w:rFonts w:ascii="Times New Roman" w:hAnsi="Times New Roman"/>
          <w:b w:val="false"/>
          <w:sz w:val="16"/>
        </w:rPr>
        <w:t>(e)</w:t>
      </w:r>
    </w:p>
    <w:p>
      <w:pPr>
        <w:pStyle w:val="TextBody"/>
        <w:spacing w:before="40" w:after="0"/>
        <w:jc w:val="both"/>
        <w:rPr>
          <w:rFonts w:ascii="Times New Roman;serif" w:hAnsi="Times New Roman;serif"/>
          <w:b w:val="false"/>
          <w:sz w:val="16"/>
        </w:rPr>
      </w:pPr>
      <w:r>
        <w:rPr>
          <w:rFonts w:ascii="Times New Roman;serif" w:hAnsi="Times New Roman;serif"/>
          <w:b w:val="false"/>
          <w:sz w:val="16"/>
        </w:rPr>
        <w:t>Operating cash flow conversion is defined Cash flows provided by operating activities from continuing operations divided by Net income.</w:t>
      </w:r>
    </w:p>
    <w:p>
      <w:pPr>
        <w:pStyle w:val="TextBody"/>
        <w:spacing w:before="40" w:after="0"/>
        <w:jc w:val="both"/>
        <w:rPr>
          <w:rFonts w:ascii="Times New Roman" w:hAnsi="Times New Roman"/>
          <w:b w:val="false"/>
          <w:sz w:val="16"/>
        </w:rPr>
      </w:pPr>
      <w:r>
        <w:rPr>
          <w:rFonts w:ascii="Times New Roman" w:hAnsi="Times New Roman"/>
          <w:b w:val="false"/>
          <w:sz w:val="16"/>
        </w:rPr>
        <w:t>(f)</w:t>
      </w:r>
    </w:p>
    <w:p>
      <w:pPr>
        <w:pStyle w:val="TextBody"/>
        <w:spacing w:before="40" w:after="283"/>
        <w:jc w:val="both"/>
        <w:rPr>
          <w:rFonts w:ascii="Times New Roman;serif" w:hAnsi="Times New Roman;serif"/>
          <w:b w:val="false"/>
          <w:sz w:val="16"/>
        </w:rPr>
      </w:pPr>
      <w:r>
        <w:rPr>
          <w:rFonts w:ascii="Times New Roman;serif" w:hAnsi="Times New Roman;serif"/>
          <w:b w:val="false"/>
          <w:sz w:val="16"/>
        </w:rPr>
        <w:t>Ongoing free cash flow conversion is defined as Ongoing free cash flow divided by Adjusted EBITDA.</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Working capital (current assets minus current liabilities, excluding long-term debt due within one year) amounted to $1,159 million and $1,215 million as of March 31, 2023 and September 30, 2022, respectively. The $56 million decrease in working capital was driven by a reduction in cash and cash equivalents, primarily associated with repurchases of common stock, offset by higher trade working capital (accounts receivable and inventories minus trade and other payables and accrued expenses and other liabilities). The $5 million decline in ongoing free cash flows between periods was primarily as a result of increased inventories to navigate supply-chain issues as well as cost inflation, and reduced accrued expenses as a result of annual incentive program payouts, which were $24 million higher than the prior year, and $21 million higher additions to property, plant and equipment. Liquid assets (cash, cash equivalents and accounts receivable) amounted to 168% and 190% of current liabilities as as of March 31, 2023 and September 30, 2022, respectively.</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summary reflects Ashland’s cash, unused borrowing capacity and liquidity as of March 31, 2023 and September 30, 2022.</w:t>
      </w:r>
    </w:p>
    <w:p>
      <w:pPr>
        <w:pStyle w:val="TextBody"/>
        <w:spacing w:before="0" w:after="0"/>
        <w:jc w:val="both"/>
        <w:rPr/>
      </w:pPr>
      <w:r>
        <w:rPr/>
        <w:t> </w:t>
      </w:r>
    </w:p>
    <w:tbl>
      <w:tblPr>
        <w:tblW w:w="6825" w:type="dxa"/>
        <w:jc w:val="left"/>
        <w:tblInd w:w="0" w:type="dxa"/>
        <w:tblCellMar>
          <w:top w:w="28" w:type="dxa"/>
          <w:left w:w="28" w:type="dxa"/>
          <w:bottom w:w="28" w:type="dxa"/>
          <w:right w:w="28" w:type="dxa"/>
        </w:tblCellMar>
      </w:tblPr>
      <w:tblGrid>
        <w:gridCol w:w="4096"/>
        <w:gridCol w:w="146"/>
        <w:gridCol w:w="295"/>
        <w:gridCol w:w="590"/>
        <w:gridCol w:w="146"/>
        <w:gridCol w:w="146"/>
        <w:gridCol w:w="404"/>
        <w:gridCol w:w="811"/>
        <w:gridCol w:w="191"/>
      </w:tblGrid>
      <w:tr>
        <w:trPr/>
        <w:tc>
          <w:tcPr>
            <w:tcW w:w="4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8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21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30</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40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investment securities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Restricted investments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Unused borrowing capacity and liquidity</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jc w:val="righ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1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2018 accounts receivable securitization (foreign)</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sales program (U.S.)</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0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 w:hAnsi="Times New Roman"/>
          <w:b w:val="false"/>
          <w:sz w:val="16"/>
        </w:rPr>
      </w:pPr>
      <w:r>
        <w:rPr>
          <w:rFonts w:ascii="Times New Roman" w:hAnsi="Times New Roman"/>
          <w:b w:val="false"/>
          <w:sz w:val="16"/>
        </w:rPr>
        <w:t>(a)</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Includes $267 million and $245 million related to the Asbestos trust and $143 million and $129 million related to the Environmental trust as of March 31, 2023 and September 30, 2022, respectively.</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borrowing capacity remaining under the $600 million revolving credit facility was $582 million due to an outstanding balance of zero, as well as a reduction of $18 million for letters of credit outstanding at March 31, 2023. In total, Ashland’s available liquidity position, which includes cash, the revolving credit facility and foreign accounts receivable securitization facility, was $1,089 million at March 31, 2023, compared to $1,326 million at September 30, 2022. Ashland had zero available liquidity under the U.S. Accounts Receivable Sales Program as of March 31, 2023. Ashland also maintained $410 million of restricted investments to pay for future asbestos claims and environmental remediation and related litigation.</w:t>
      </w:r>
    </w:p>
    <w:p>
      <w:pPr>
        <w:pStyle w:val="TextBody"/>
        <w:spacing w:before="0" w:after="0"/>
        <w:jc w:val="both"/>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Capital resources</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Debt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summary reflects Ashland’s debt as of March 31, 2023 and September 30, 2022.</w:t>
      </w:r>
    </w:p>
    <w:p>
      <w:pPr>
        <w:pStyle w:val="TextBody"/>
        <w:spacing w:before="0" w:after="0"/>
        <w:jc w:val="both"/>
        <w:rPr/>
      </w:pPr>
      <w:r>
        <w:rPr/>
        <w:t> </w:t>
      </w:r>
    </w:p>
    <w:tbl>
      <w:tblPr>
        <w:tblW w:w="8760" w:type="dxa"/>
        <w:jc w:val="left"/>
        <w:tblInd w:w="0" w:type="dxa"/>
        <w:tblCellMar>
          <w:top w:w="28" w:type="dxa"/>
          <w:left w:w="28" w:type="dxa"/>
          <w:bottom w:w="28" w:type="dxa"/>
          <w:right w:w="28" w:type="dxa"/>
        </w:tblCellMar>
      </w:tblPr>
      <w:tblGrid>
        <w:gridCol w:w="6031"/>
        <w:gridCol w:w="146"/>
        <w:gridCol w:w="239"/>
        <w:gridCol w:w="646"/>
        <w:gridCol w:w="146"/>
        <w:gridCol w:w="146"/>
        <w:gridCol w:w="327"/>
        <w:gridCol w:w="888"/>
        <w:gridCol w:w="19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03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8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c>
          <w:tcPr>
            <w:tcW w:w="1215"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30</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pPr>
            <w:r>
              <w:rPr/>
              <w:t> </w:t>
            </w:r>
          </w:p>
        </w:tc>
      </w:tr>
      <w:tr>
        <w:trPr/>
        <w:tc>
          <w:tcPr>
            <w:tcW w:w="6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debt (includes 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Long-term debt (less current portion and debt issuance cost discounts) </w:t>
            </w:r>
            <w:r>
              <w:rPr>
                <w:rFonts w:ascii="Times New Roman;serif" w:hAnsi="Times New Roman;serif"/>
                <w:b w:val="false"/>
                <w:sz w:val="16"/>
              </w:rPr>
              <w:t>(a)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debt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pPr>
      <w:r>
        <w:rPr>
          <w:rFonts w:ascii="Times New Roman;serif" w:hAnsi="Times New Roman;serif"/>
          <w:b w:val="false"/>
          <w:sz w:val="16"/>
        </w:rPr>
        <w:t>Includes $14 million of debt issuance cost discounts as of March 31, 2023 and September 30, 2022</w:t>
      </w:r>
      <w:r>
        <w:rPr>
          <w:rFonts w:ascii="Times New Roman;serif" w:hAnsi="Times New Roman;serif"/>
          <w:b w:val="false"/>
          <w:sz w:val="20"/>
        </w:rPr>
        <w:t xml:space="preserve">, </w:t>
      </w:r>
      <w:r>
        <w:rPr>
          <w:rFonts w:ascii="Times New Roman;serif" w:hAnsi="Times New Roman;serif"/>
          <w:b w:val="false"/>
          <w:sz w:val="16"/>
        </w:rPr>
        <w:t>respectively.</w:t>
      </w:r>
      <w:r>
        <w:rPr/>
        <w:t xml:space="preserve"> </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Debt as a percent of capital employed was 29% and 28% at March 31, 2023 and at September 30, 2022, respectively. At March 31, 2023, Ashland’s total debt had an outstanding principal balance of $1,377 million, discounts of $35 million, and debt issuance costs of $14 million. Ashland had no long-term debt (excluding debt issuance costs) maturing within the next 4 years and $4 million due in fiscal 2027.</w:t>
      </w:r>
    </w:p>
    <w:p>
      <w:pPr>
        <w:pStyle w:val="TextBody"/>
        <w:spacing w:before="120" w:after="120"/>
        <w:jc w:val="both"/>
        <w:rPr>
          <w:rFonts w:ascii="Times New Roman;serif" w:hAnsi="Times New Roman;serif"/>
          <w:b w:val="false"/>
          <w:i/>
          <w:sz w:val="22"/>
        </w:rPr>
      </w:pPr>
      <w:r>
        <w:rPr>
          <w:rFonts w:ascii="Times New Roman;serif" w:hAnsi="Times New Roman;serif"/>
          <w:b w:val="false"/>
          <w:i/>
          <w:sz w:val="22"/>
        </w:rPr>
        <w:t>Ashland credit ratings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Ashland’s corporate credit ratings remained unchanged at BB+ by Standard &amp; Poor’s and Ba1 by Moody’s Investor Services. As of March 31, 2023, both Moody’s Investor Services and Standard &amp; Poor's outlook remained at stable. Subsequent changes to these ratings or outlook may have an effect on Ashland’s borrowing rate or ability to access capital markets in the future.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i/>
          <w:sz w:val="22"/>
        </w:rPr>
      </w:pPr>
      <w:r>
        <w:rPr>
          <w:rFonts w:ascii="Times New Roman;serif" w:hAnsi="Times New Roman;serif"/>
          <w:b w:val="false"/>
          <w:i/>
          <w:sz w:val="22"/>
        </w:rPr>
        <w:t>Ashland debt covenant restrictions</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Ashland's current credit agreement (the 2022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2023, Ashland is in compliance with all debt agreement covenant restrictions under the 2022 Credit Agreement.</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March 31, 2023, Ashland’s calculation of the consolidated net leverage ratio was 1.6.</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March 31, 2023, Ashland’s calculation of the consolidated interest coverage ratio was 10.6.</w:t>
      </w:r>
    </w:p>
    <w:p>
      <w:pPr>
        <w:pStyle w:val="TextBody"/>
        <w:spacing w:before="120" w:after="120"/>
        <w:jc w:val="both"/>
        <w:rPr>
          <w:rFonts w:ascii="Times New Roman" w:hAnsi="Times New Roman"/>
          <w:sz w:val="20"/>
        </w:rPr>
      </w:pPr>
      <w:r>
        <w:rPr>
          <w:rFonts w:ascii="Times New Roman;serif" w:hAnsi="Times New Roman;serif"/>
          <w:b w:val="false"/>
          <w:sz w:val="22"/>
        </w:rPr>
        <w:t>Any change in Covenant Adjusted EBITDA of $100 million would have an approximate 0.2x effect on the consolidated net leverage ratio and a 1.9x effect on the consolidated interest coverage ratio. The change in consolidated indebtedness of $100 million would affect the consolidated leverage ratio by approximately 0.2x.</w:t>
        <w:br/>
      </w:r>
      <w:r>
        <w:rPr>
          <w:rFonts w:ascii="Times New Roman" w:hAnsi="Times New Roman"/>
          <w:sz w:val="20"/>
        </w:rPr>
        <w:t> </w:t>
      </w:r>
    </w:p>
    <w:p>
      <w:pPr>
        <w:pStyle w:val="TextBody"/>
        <w:spacing w:before="120" w:after="0"/>
        <w:jc w:val="both"/>
        <w:rPr>
          <w:rFonts w:ascii="Times New Roman;serif" w:hAnsi="Times New Roman;serif"/>
          <w:b/>
          <w:sz w:val="22"/>
        </w:rPr>
      </w:pPr>
      <w:r>
        <w:rPr>
          <w:rFonts w:ascii="Times New Roman;serif" w:hAnsi="Times New Roman;serif"/>
          <w:b/>
          <w:sz w:val="22"/>
        </w:rPr>
        <w:t>Additional capital resources</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Ashland cash projection</w:t>
      </w:r>
    </w:p>
    <w:p>
      <w:pPr>
        <w:pStyle w:val="TextBody"/>
        <w:spacing w:before="120" w:after="0"/>
        <w:jc w:val="both"/>
        <w:rPr>
          <w:rFonts w:ascii="Times New Roman" w:hAnsi="Times New Roman"/>
          <w:sz w:val="20"/>
        </w:rPr>
      </w:pPr>
      <w:r>
        <w:rPr>
          <w:rFonts w:ascii="Times New Roman;serif" w:hAnsi="Times New Roman;serif"/>
          <w:b w:val="false"/>
          <w:sz w:val="22"/>
        </w:rPr>
        <w:t>During the March 31, 2023 quarter, Ashland entered into a new, ten year raw materials contract with the option to terminate in year five. The purchase obligations under the contract are estimated to be roughly $12 million for fiscal 2023, and $209 million thereafter for a total of $221 million for the ten year period.</w:t>
      </w:r>
      <w:r>
        <w:rPr>
          <w:rFonts w:ascii="Times New Roman" w:hAnsi="Times New Roman"/>
          <w:sz w:val="20"/>
        </w:rPr>
        <w:t xml:space="preserve"> </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Total equity</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Total equity increased by $47 million since September 30, 2022 to $3,267 million at March 31, 2023. The increase of $47 million was due to net income of $132 million, compensation expense and common shares issued of $2 million, and $109 million of deferred translation gains offset by stock repurchase activity of $153 million, dividends of $36 million, and losses on commodity hedges of $7 million.</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Stock repurchase program agreements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During March 2023, under the 2022 stock repurchase program, Ashland inititated a Rule 10b5-1 trading plan agreement to repurchase up to $100 million of its outstanding shares. The program was completed during April 2023, when Ashland paid a total of $100 million and received a delivery of 1.0 million shares of common stock. As of March 31, 2023, Ashland repurchased a total of $52 million (of which $42 million was cash settled and $10 million was accrued within the accrued expenses and other liabilities caption for authorized and executed share repurchases pending settlement as of period end) and received a delivery of 0.5 million shares of common stock.</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During February 2023, under the existing 2022 stock repurchase program, Ashland initiated a Rule 10b5-1 trading plan agreement to repurchase up to $100 million of its outstanding shares. The program was completed during February 2023 when Ashland paid a total of $100 million and received a delivery of 1.0 million shares of common stock.</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i/>
          <w:sz w:val="22"/>
        </w:rPr>
      </w:pPr>
      <w:r>
        <w:rPr>
          <w:rFonts w:ascii="Times New Roman;serif" w:hAnsi="Times New Roman;serif"/>
          <w:b w:val="false"/>
          <w:i/>
          <w:sz w:val="22"/>
        </w:rPr>
        <w:t>Stockholder dividends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paid a dividend of 33.5 cents per share for the first and second quarter of fiscal 2023 and 30 cents per share in the first and second quarter of fiscal 2022.</w:t>
      </w:r>
    </w:p>
    <w:p>
      <w:pPr>
        <w:pStyle w:val="TextBody"/>
        <w:spacing w:before="120" w:after="0"/>
        <w:jc w:val="both"/>
        <w:rPr>
          <w:rFonts w:ascii="Times New Roman" w:hAnsi="Times New Roman"/>
          <w:sz w:val="20"/>
        </w:rPr>
      </w:pPr>
      <w:r>
        <w:rPr>
          <w:rFonts w:ascii="Times New Roman;serif" w:hAnsi="Times New Roman;serif"/>
          <w:b w:val="false"/>
          <w:i/>
          <w:sz w:val="22"/>
        </w:rPr>
        <w:t>Capital</w:t>
      </w:r>
      <w:r>
        <w:rPr>
          <w:rFonts w:ascii="Times New Roman" w:hAnsi="Times New Roman"/>
          <w:sz w:val="20"/>
        </w:rPr>
        <w:t xml:space="preserve"> </w:t>
      </w:r>
      <w:r>
        <w:rPr>
          <w:rFonts w:ascii="Times New Roman;serif" w:hAnsi="Times New Roman;serif"/>
          <w:b w:val="false"/>
          <w:i/>
          <w:sz w:val="22"/>
        </w:rPr>
        <w:t>expenditures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Capital expenditures were $58 million for the six months ended March 31, 2023 compared to $37 million for the six months ended March 31, 2022.</w:t>
      </w:r>
    </w:p>
    <w:p>
      <w:pPr>
        <w:pStyle w:val="TextBody"/>
        <w:spacing w:before="240" w:after="0"/>
        <w:jc w:val="both"/>
        <w:rPr>
          <w:rFonts w:ascii="Times New Roman;serif" w:hAnsi="Times New Roman;serif"/>
          <w:b/>
          <w:sz w:val="22"/>
        </w:rPr>
      </w:pPr>
      <w:r>
        <w:rPr>
          <w:rFonts w:ascii="Times New Roman;serif" w:hAnsi="Times New Roman;serif"/>
          <w:b/>
          <w:sz w:val="22"/>
        </w:rPr>
        <w:t>CRITICAL ACCOUNTING POLICIES</w:t>
      </w:r>
    </w:p>
    <w:p>
      <w:pPr>
        <w:pStyle w:val="TextBody"/>
        <w:spacing w:before="120" w:after="0"/>
        <w:jc w:val="both"/>
        <w:rPr>
          <w:rFonts w:ascii="Times New Roman" w:hAnsi="Times New Roman"/>
          <w:sz w:val="20"/>
        </w:rPr>
      </w:pPr>
      <w:r>
        <w:rPr>
          <w:rFonts w:ascii="Times New Roman;serif" w:hAnsi="Times New Roman;serif"/>
          <w:b w:val="false"/>
          <w:sz w:val="22"/>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2022.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six months ended March 31, 2023.</w:t>
      </w:r>
      <w:r>
        <w:rPr>
          <w:rFonts w:ascii="Times New Roman" w:hAnsi="Times New Roman"/>
          <w:sz w:val="20"/>
        </w:rPr>
        <w:t xml:space="preserve"> </w:t>
      </w:r>
    </w:p>
    <w:p>
      <w:pPr>
        <w:pStyle w:val="TextBody"/>
        <w:spacing w:before="240" w:after="0"/>
        <w:jc w:val="both"/>
        <w:rPr>
          <w:rFonts w:ascii="Times New Roman;serif" w:hAnsi="Times New Roman;serif"/>
          <w:b/>
          <w:sz w:val="22"/>
        </w:rPr>
      </w:pPr>
      <w:r>
        <w:rPr>
          <w:rFonts w:ascii="Times New Roman;serif" w:hAnsi="Times New Roman;serif"/>
          <w:b/>
          <w:sz w:val="22"/>
        </w:rPr>
        <w:t>OUTLOOK</w:t>
      </w:r>
    </w:p>
    <w:p>
      <w:pPr>
        <w:pStyle w:val="TextBody"/>
        <w:spacing w:before="120" w:after="120"/>
        <w:jc w:val="both"/>
        <w:rPr>
          <w:rFonts w:ascii="Times New Roman;serif" w:hAnsi="Times New Roman;serif"/>
          <w:b w:val="false"/>
          <w:sz w:val="22"/>
        </w:rPr>
      </w:pPr>
      <w:r>
        <w:rPr>
          <w:rFonts w:ascii="Times New Roman;serif" w:hAnsi="Times New Roman;serif"/>
          <w:b w:val="false"/>
          <w:sz w:val="22"/>
        </w:rPr>
        <w:t>Ashland issued its outlook for fiscal 2023 in November 2022. Based on current forecasting, continued customer de-stocking and external uncertainties for the second half of the fiscal year, Ashland commenced actions in April to reduce inventories in certain product lines for impacted end markets. These inventory-control actions are expected to negatively impact Adjusted EBITDA in the second half of the fiscal year by approximately $20 million. As a result, the company has updated its financial outlook for fiscal year 2023. Ashland now expects sales in the fiscal year to be in the range of $2.3 billion to $2.4 billion reflecting weaker global demand dynamics. In addition, Ashland now expects Adjusted EBITDA to be in the range of $580 million to $610 million reflecting weaker global end-market demand and the inventory-control actions for specific product lines.</w:t>
      </w:r>
    </w:p>
    <w:tbl>
      <w:tblPr>
        <w:tblW w:w="6790" w:type="dxa"/>
        <w:jc w:val="left"/>
        <w:tblInd w:w="0" w:type="dxa"/>
        <w:tblCellMar>
          <w:top w:w="28" w:type="dxa"/>
          <w:left w:w="28" w:type="dxa"/>
          <w:bottom w:w="28" w:type="dxa"/>
          <w:right w:w="28" w:type="dxa"/>
        </w:tblCellMar>
      </w:tblPr>
      <w:tblGrid>
        <w:gridCol w:w="2071"/>
        <w:gridCol w:w="146"/>
        <w:gridCol w:w="2311"/>
        <w:gridCol w:w="146"/>
        <w:gridCol w:w="2116"/>
      </w:tblGrid>
      <w:tr>
        <w:trPr/>
        <w:tc>
          <w:tcPr>
            <w:tcW w:w="2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6" w:type="dxa"/>
            <w:tcBorders/>
            <w:shd w:fill="auto" w:val="clear"/>
            <w:vAlign w:val="center"/>
          </w:tcPr>
          <w:p>
            <w:pPr>
              <w:pStyle w:val="TableContents"/>
              <w:spacing w:before="0" w:after="283"/>
              <w:rPr>
                <w:sz w:val="4"/>
                <w:szCs w:val="4"/>
              </w:rPr>
            </w:pPr>
            <w:r>
              <w:rPr>
                <w:sz w:val="4"/>
                <w:szCs w:val="4"/>
              </w:rPr>
            </w:r>
          </w:p>
        </w:tc>
      </w:tr>
      <w:tr>
        <w:trPr/>
        <w:tc>
          <w:tcPr>
            <w:tcW w:w="207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3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Updated FY 2023 Outlook</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Prior FY 2023 Outlook</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Key Operating Metrics</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$2.3 - $2.4 billion</w:t>
            </w:r>
          </w:p>
        </w:tc>
        <w:tc>
          <w:tcPr>
            <w:tcW w:w="1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$2.5 - $2.7 billion</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$580 - $610 million</w:t>
            </w:r>
          </w:p>
        </w:tc>
        <w:tc>
          <w:tcPr>
            <w:tcW w:w="1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$600 - $650 million</w:t>
            </w:r>
          </w:p>
        </w:tc>
      </w:tr>
      <w:tr>
        <w:trPr/>
        <w:tc>
          <w:tcPr>
            <w:tcW w:w="20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is unable to reconcile forward-looking adjusted EBITDA to forward-looking net income, the most closely comparable GAAP financial measure, because the information needed to provide such reconciliation would require unreasonable efforts.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ITEM 3. QUANTITATIVE AND QUALITATIVE DISCLOSURES ABOUT MARKET RISK</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Ashland’s market risk exposure at March 31, 2023 is generally consistent with the types of market risk exposures presented in Ashland’s Annual Report on Form 10-K for the fiscal year ended September 30, 2022.</w:t>
      </w:r>
    </w:p>
    <w:p>
      <w:pPr>
        <w:pStyle w:val="TextBody"/>
        <w:spacing w:before="240" w:after="0"/>
        <w:jc w:val="both"/>
        <w:rPr>
          <w:rFonts w:ascii="Times New Roman;serif" w:hAnsi="Times New Roman;serif"/>
          <w:b/>
          <w:sz w:val="22"/>
        </w:rPr>
      </w:pPr>
      <w:r>
        <w:rPr>
          <w:rFonts w:ascii="Times New Roman;serif" w:hAnsi="Times New Roman;serif"/>
          <w:b/>
          <w:sz w:val="22"/>
        </w:rPr>
        <w:t>ITEM 4. CONTROLS AND PROCEDURES</w:t>
      </w:r>
    </w:p>
    <w:p>
      <w:pPr>
        <w:pStyle w:val="TextBody"/>
        <w:spacing w:before="120" w:after="0"/>
        <w:jc w:val="both"/>
        <w:rPr>
          <w:rFonts w:ascii="Times New Roman" w:hAnsi="Times New Roman"/>
          <w:sz w:val="20"/>
        </w:rPr>
      </w:pPr>
      <w:r>
        <w:rPr>
          <w:rFonts w:ascii="Times New Roman;serif" w:hAnsi="Times New Roman;serif"/>
          <w:b w:val="false"/>
          <w:i/>
          <w:sz w:val="22"/>
        </w:rPr>
        <w:t xml:space="preserve">Disclosure Controls and Procedures </w:t>
      </w:r>
      <w:r>
        <w:rPr>
          <w:rFonts w:ascii="Times New Roman;serif" w:hAnsi="Times New Roman;serif"/>
          <w:b w:val="false"/>
          <w:sz w:val="22"/>
        </w:rPr>
        <w:t>- As of the end of the period covered by this quarterly report, Ashland, under the supervision 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March 31, 2023.</w:t>
      </w:r>
    </w:p>
    <w:p>
      <w:pPr>
        <w:pStyle w:val="TextBody"/>
        <w:spacing w:before="120" w:after="0"/>
        <w:jc w:val="both"/>
        <w:rPr>
          <w:rFonts w:ascii="Times New Roman" w:hAnsi="Times New Roman"/>
          <w:sz w:val="20"/>
        </w:rPr>
      </w:pPr>
      <w:r>
        <w:rPr>
          <w:rFonts w:ascii="Times New Roman;serif" w:hAnsi="Times New Roman;serif"/>
          <w:b w:val="false"/>
          <w:i/>
          <w:sz w:val="22"/>
        </w:rPr>
        <w:t xml:space="preserve">Changes in Internal Control over Financial Reporting </w:t>
      </w:r>
      <w:r>
        <w:rPr>
          <w:rFonts w:ascii="Times New Roman;serif" w:hAnsi="Times New Roman;serif"/>
          <w:b w:val="false"/>
          <w:sz w:val="22"/>
        </w:rPr>
        <w:t>- During the three months ended March 31, 2023, there were no significant 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pStyle w:val="TextBody"/>
        <w:spacing w:before="12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PART II – OTHER INFORMATION</w:t>
      </w:r>
    </w:p>
    <w:p>
      <w:pPr>
        <w:pStyle w:val="TextBody"/>
        <w:spacing w:before="240" w:after="0"/>
        <w:jc w:val="both"/>
        <w:rPr>
          <w:rFonts w:ascii="Times New Roman;serif" w:hAnsi="Times New Roman;serif"/>
          <w:b/>
          <w:sz w:val="22"/>
        </w:rPr>
      </w:pPr>
      <w:r>
        <w:rPr>
          <w:rFonts w:ascii="Times New Roman;serif" w:hAnsi="Times New Roman;serif"/>
          <w:b/>
          <w:sz w:val="22"/>
        </w:rPr>
        <w:t>ITEM 1. LEGAL PROCEEDINGS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following is a description of Ashland’s material legal proceedings. Ashland’s threshold for disclosing material environmental legal proceedings involving a governmental authority where potential monetary sanctions are involved is $1 million.</w:t>
      </w:r>
    </w:p>
    <w:p>
      <w:pPr>
        <w:pStyle w:val="TextBody"/>
        <w:spacing w:before="120" w:after="0"/>
        <w:jc w:val="both"/>
        <w:rPr>
          <w:rFonts w:ascii="Times New Roman;serif" w:hAnsi="Times New Roman;serif"/>
          <w:b/>
          <w:i/>
          <w:sz w:val="22"/>
        </w:rPr>
      </w:pPr>
      <w:r>
        <w:rPr>
          <w:rFonts w:ascii="Times New Roman;serif" w:hAnsi="Times New Roman;serif"/>
          <w:b/>
          <w:i/>
          <w:sz w:val="22"/>
        </w:rPr>
        <w:t>Asbestos-Related Litigation</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Ashland and Hercules are also defendants in lawsuits alleging exposure to asbestos at facilities formerly or presently owned or operated by Ashland or Hercules.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For additional detailed information regarding liabilities arising from asbestos-related litigation, see Note L of Notes to Condensed Consolidated Financial Statements in this quarterly report on Form 10-Q.</w:t>
      </w:r>
    </w:p>
    <w:p>
      <w:pPr>
        <w:pStyle w:val="TextBody"/>
        <w:spacing w:before="120" w:after="0"/>
        <w:jc w:val="both"/>
        <w:rPr>
          <w:rFonts w:ascii="Times New Roman;serif" w:hAnsi="Times New Roman;serif"/>
          <w:b/>
          <w:i/>
          <w:sz w:val="22"/>
        </w:rPr>
      </w:pPr>
      <w:r>
        <w:rPr>
          <w:rFonts w:ascii="Times New Roman;serif" w:hAnsi="Times New Roman;serif"/>
          <w:b/>
          <w:i/>
          <w:sz w:val="22"/>
        </w:rPr>
        <w:t>Environmental Proceedings</w:t>
      </w:r>
    </w:p>
    <w:p>
      <w:pPr>
        <w:pStyle w:val="TextBody"/>
        <w:spacing w:before="120" w:after="0"/>
        <w:jc w:val="both"/>
        <w:rPr>
          <w:rFonts w:ascii="Times New Roman" w:hAnsi="Times New Roman"/>
          <w:sz w:val="20"/>
        </w:rPr>
      </w:pPr>
      <w:r>
        <w:rPr>
          <w:rFonts w:ascii="Times New Roman;serif" w:hAnsi="Times New Roman;serif"/>
          <w:b w:val="false"/>
          <w:i/>
          <w:sz w:val="22"/>
        </w:rPr>
        <w:t>(a) CERCLA and Similar State Law Sites -</w:t>
      </w:r>
      <w:r>
        <w:rPr>
          <w:rFonts w:ascii="Times New Roman" w:hAnsi="Times New Roman"/>
          <w:sz w:val="20"/>
        </w:rPr>
        <w:t xml:space="preserve"> </w:t>
      </w:r>
      <w:r>
        <w:rPr>
          <w:rFonts w:ascii="Times New Roman;serif" w:hAnsi="Times New Roman;serif"/>
          <w:b w:val="false"/>
          <w:sz w:val="22"/>
        </w:rPr>
        <w:t>Under the Comprehensive Environmental Response, Compensation and Liability Act of 1980 and similar state laws, Ashland and its subsidiaries may be subject to joint and several liability for cleanup costs in connection with alleged releases of hazardous substances at sites where it has been identified as a “potentially responsible party” (PRP). As of March 31, 2023, Ashland and its subsidiaries have been identified as a PRP by U.S. federal and state authorities, or by private parties seeking contribution, for the cost of environmental investigation and/or cleanup at 58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i/>
          <w:sz w:val="22"/>
        </w:rPr>
        <w:t>(b) Lower Passaic River, New Jersey Matters -</w:t>
      </w:r>
      <w:r>
        <w:rPr>
          <w:rFonts w:ascii="Times New Roman" w:hAnsi="Times New Roman"/>
          <w:sz w:val="20"/>
        </w:rPr>
        <w:t xml:space="preserve"> </w:t>
      </w:r>
      <w:r>
        <w:rPr>
          <w:rFonts w:ascii="Times New Roman;serif" w:hAnsi="Times New Roman;serif"/>
          <w:b w:val="false"/>
          <w:sz w:val="22"/>
        </w:rPr>
        <w:t>Ashland, through two formerly owned facilities, and ISP, through a now-closed 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For additional information regarding environmental matters and reserves, see Note L of Notes to Condensed Consolidated Financial Statements in this quarterly report on Form 10-Q.</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i/>
          <w:sz w:val="22"/>
        </w:rPr>
      </w:pPr>
      <w:r>
        <w:rPr>
          <w:rFonts w:ascii="Times New Roman;serif" w:hAnsi="Times New Roman;serif"/>
          <w:b/>
          <w:i/>
          <w:sz w:val="22"/>
        </w:rPr>
        <w:t>Other Pending Legal Proceedings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2023. There is a reasonable possibility that a loss exceeding amounts already recognized may be incurred related to these actions; however, Ashland believes that such potential losses were immaterial as of March 31, 2023.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240" w:after="0"/>
        <w:jc w:val="both"/>
        <w:rPr>
          <w:rFonts w:ascii="Times New Roman;serif" w:hAnsi="Times New Roman;serif"/>
          <w:b/>
          <w:sz w:val="22"/>
        </w:rPr>
      </w:pPr>
      <w:r>
        <w:rPr>
          <w:rFonts w:ascii="Times New Roman;serif" w:hAnsi="Times New Roman;serif"/>
          <w:b/>
          <w:sz w:val="22"/>
        </w:rPr>
        <w:t>ITEM 1A. RISK FACTORS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During the period covered by this report, there were no material changes from the risk factors previously disclosed in Ashland’s Annual Report on Form 10-K for the fiscal year ended September 30, 2022.</w:t>
      </w:r>
    </w:p>
    <w:p>
      <w:pPr>
        <w:pStyle w:val="TextBody"/>
        <w:spacing w:before="240" w:after="0"/>
        <w:jc w:val="both"/>
        <w:rPr>
          <w:rFonts w:ascii="Times New Roman;serif" w:hAnsi="Times New Roman;serif"/>
          <w:b/>
          <w:sz w:val="22"/>
        </w:rPr>
      </w:pPr>
      <w:r>
        <w:rPr>
          <w:rFonts w:ascii="Times New Roman;serif" w:hAnsi="Times New Roman;serif"/>
          <w:b/>
          <w:sz w:val="22"/>
        </w:rPr>
        <w:t>ITEM 2. UNREGISTERED SALES OF EQUITY SECURITIES AND USE OF PROCEEDS</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Share repurchase activity during the three months ended March 31, 2023 was as follow:</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979"/>
        <w:gridCol w:w="146"/>
        <w:gridCol w:w="196"/>
        <w:gridCol w:w="1257"/>
        <w:gridCol w:w="146"/>
        <w:gridCol w:w="146"/>
        <w:gridCol w:w="304"/>
        <w:gridCol w:w="976"/>
        <w:gridCol w:w="146"/>
        <w:gridCol w:w="146"/>
        <w:gridCol w:w="205"/>
        <w:gridCol w:w="1314"/>
        <w:gridCol w:w="146"/>
        <w:gridCol w:w="146"/>
        <w:gridCol w:w="451"/>
        <w:gridCol w:w="906"/>
        <w:gridCol w:w="595"/>
      </w:tblGrid>
      <w:tr>
        <w:trPr/>
        <w:tc>
          <w:tcPr>
            <w:tcW w:w="29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9610" w:type="dxa"/>
            <w:gridSpan w:val="1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Issuer Purchases of Equity Securities</w:t>
            </w:r>
          </w:p>
        </w:tc>
        <w:tc>
          <w:tcPr>
            <w:tcW w:w="595" w:type="dxa"/>
            <w:tcBorders/>
            <w:shd w:fill="auto" w:val="clear"/>
            <w:vAlign w:val="center"/>
          </w:tcPr>
          <w:p>
            <w:pPr>
              <w:pStyle w:val="TableContents"/>
              <w:spacing w:before="0" w:after="0"/>
              <w:ind w:left="0" w:right="0" w:hanging="0"/>
              <w:jc w:val="center"/>
              <w:rPr/>
            </w:pPr>
            <w:r>
              <w:rPr/>
              <w:t> </w:t>
            </w:r>
          </w:p>
        </w:tc>
      </w:tr>
      <w:tr>
        <w:trPr/>
        <w:tc>
          <w:tcPr>
            <w:tcW w:w="29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Q2 Fiscal Periods</w:t>
            </w:r>
          </w:p>
        </w:tc>
        <w:tc>
          <w:tcPr>
            <w:tcW w:w="146" w:type="dxa"/>
            <w:tcBorders/>
            <w:shd w:fill="auto" w:val="clear"/>
            <w:vAlign w:val="center"/>
          </w:tcPr>
          <w:p>
            <w:pPr>
              <w:pStyle w:val="TableContents"/>
              <w:spacing w:before="0" w:after="0"/>
              <w:ind w:left="0" w:right="0" w:hanging="0"/>
              <w:jc w:val="left"/>
              <w:rPr/>
            </w:pPr>
            <w:r>
              <w:rPr/>
              <w:t> </w:t>
            </w:r>
          </w:p>
        </w:tc>
        <w:tc>
          <w:tcPr>
            <w:tcW w:w="14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Number of</w:t>
              <w:br/>
              <w:t>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Average Price</w:t>
              <w:br/>
              <w:t>Paid Per Share,</w:t>
              <w:br/>
              <w:t>including</w:t>
              <w:br/>
              <w:t>commission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Number of</w:t>
              <w:br/>
              <w:t>Shares Purchased</w:t>
              <w:br/>
              <w:t>as Part of Publicly</w:t>
              <w:br/>
              <w:t>Announced Plans</w:t>
              <w:br/>
              <w:t>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Dollar Value of</w:t>
              <w:br/>
              <w:t>Shares that May</w:t>
              <w:br/>
              <w:t>Be Purchased</w:t>
              <w:br/>
              <w:t>Under the Plans</w:t>
              <w:br/>
              <w:t>or Programs</w:t>
              <w:br/>
              <w:t xml:space="preserve">(in millions) </w:t>
            </w:r>
            <w:r>
              <w:rPr>
                <w:rFonts w:ascii="Times New Roman;serif" w:hAnsi="Times New Roman;serif"/>
                <w:b w:val="false"/>
                <w:sz w:val="16"/>
              </w:rPr>
              <w:t>(a)</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 to January 31, 2023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25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13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595" w:type="dxa"/>
            <w:tcBorders/>
            <w:shd w:fill="auto" w:val="clear"/>
            <w:vAlign w:val="center"/>
          </w:tcPr>
          <w:p>
            <w:pPr>
              <w:pStyle w:val="TableContents"/>
              <w:spacing w:before="0" w:after="0"/>
              <w:ind w:left="0" w:right="0" w:hanging="0"/>
              <w:jc w:val="left"/>
              <w:rPr/>
            </w:pPr>
            <w:r>
              <w:rPr/>
              <w:t> </w:t>
            </w:r>
          </w:p>
        </w:tc>
      </w:tr>
      <w:tr>
        <w:trPr/>
        <w:tc>
          <w:tcPr>
            <w:tcW w:w="29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2023 to February 28, 2023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2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13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595" w:type="dxa"/>
            <w:tcBorders/>
            <w:shd w:fill="auto" w:val="clear"/>
            <w:vAlign w:val="center"/>
          </w:tcPr>
          <w:p>
            <w:pPr>
              <w:pStyle w:val="TableContents"/>
              <w:spacing w:before="0" w:after="0"/>
              <w:ind w:left="0" w:right="0" w:hanging="0"/>
              <w:jc w:val="left"/>
              <w:rPr/>
            </w:pPr>
            <w:r>
              <w:rPr/>
              <w:t> </w:t>
            </w:r>
          </w:p>
        </w:tc>
      </w:tr>
      <w:tr>
        <w:trPr/>
        <w:tc>
          <w:tcPr>
            <w:tcW w:w="29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1, 2023 to March 31, 2023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527,899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527,899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9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1,488,251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1,488,251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(a)</w:t>
      </w:r>
    </w:p>
    <w:p>
      <w:pPr>
        <w:pStyle w:val="TextBody"/>
        <w:spacing w:before="120" w:after="283"/>
        <w:jc w:val="both"/>
        <w:rPr>
          <w:rFonts w:ascii="Times New Roman;serif" w:hAnsi="Times New Roman;serif"/>
          <w:b w:val="false"/>
          <w:sz w:val="16"/>
        </w:rPr>
      </w:pPr>
      <w:r>
        <w:rPr>
          <w:rFonts w:ascii="Times New Roman;serif" w:hAnsi="Times New Roman;serif"/>
          <w:b w:val="false"/>
          <w:sz w:val="16"/>
        </w:rPr>
        <w:t xml:space="preserve">During May 2022, Ashland’s Board of Directors approved a new evergreen $500 million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March 31, 2023, $348 million remains available for repurchase under this authorization.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33"/>
        <w:gridCol w:w="9472"/>
      </w:tblGrid>
      <w:tr>
        <w:trPr/>
        <w:tc>
          <w:tcPr>
            <w:tcW w:w="733" w:type="dxa"/>
            <w:tcBorders/>
            <w:shd w:fill="auto" w:val="clear"/>
            <w:vAlign w:val="center"/>
          </w:tcPr>
          <w:p>
            <w:pPr>
              <w:pStyle w:val="TableContents"/>
              <w:spacing w:before="0" w:after="283"/>
              <w:rPr>
                <w:sz w:val="4"/>
                <w:szCs w:val="4"/>
              </w:rPr>
            </w:pPr>
            <w:r>
              <w:rPr>
                <w:sz w:val="4"/>
                <w:szCs w:val="4"/>
              </w:rPr>
            </w:r>
          </w:p>
        </w:tc>
        <w:tc>
          <w:tcPr>
            <w:tcW w:w="9472" w:type="dxa"/>
            <w:tcBorders/>
            <w:shd w:fill="auto" w:val="clear"/>
            <w:vAlign w:val="center"/>
          </w:tcPr>
          <w:p>
            <w:pPr>
              <w:pStyle w:val="TableContents"/>
              <w:spacing w:before="0" w:after="283"/>
              <w:rPr>
                <w:sz w:val="4"/>
                <w:szCs w:val="4"/>
              </w:rPr>
            </w:pPr>
            <w:r>
              <w:rPr>
                <w:sz w:val="4"/>
                <w:szCs w:val="4"/>
              </w:rPr>
            </w:r>
          </w:p>
        </w:tc>
      </w:tr>
      <w:tr>
        <w:trPr/>
        <w:tc>
          <w:tcPr>
            <w:tcW w:w="733"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(a) Exhibits</w:t>
            </w:r>
          </w:p>
        </w:tc>
        <w:tc>
          <w:tcPr>
            <w:tcW w:w="9472" w:type="dxa"/>
            <w:tcBorders/>
            <w:shd w:fill="auto" w:val="cle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10.1</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2"/>
                  <w:u w:val="single"/>
                </w:rPr>
                <w:t>Third Amendment to the Receivables Purchase Agreement dated as of April 14, 2023, by and among CVG Capital III LLC as the Seller, PNC Bank National association as the Administrative Agent and Ashland Inc. as the Servicer filed as Exhibit 10.1 to Ashland Inc.’s Form 8-K filed on April 20, 2023 (SEC File No. 333-211719) and incorporated herein by reference.</w:t>
              </w:r>
            </w:hyperlink>
          </w:p>
        </w:tc>
      </w:tr>
      <w:tr>
        <w:trPr/>
        <w:tc>
          <w:tcPr>
            <w:tcW w:w="733" w:type="dxa"/>
            <w:tcBorders/>
            <w:shd w:fill="auto" w:val="cle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10.2</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2"/>
                  <w:u w:val="single"/>
                </w:rPr>
                <w:t>Second Amendment to the Second Amended and Restated Purchase and Sale Agreement dated as of April 14, 2023, by and among Ashland Inc. as Exiting Originator and Servicer, Ashland Specialty Ingredients G.P. as remaining originator and CVG Capital III as the Buyer filed as Exhibit 10.2 to Ashland Inc.’s Form 8-K filed on April 20, 2023 (SEC File No. 333-211719) and incorporated herein by reference.</w:t>
              </w:r>
            </w:hyperlink>
          </w:p>
        </w:tc>
      </w:tr>
      <w:tr>
        <w:trPr/>
        <w:tc>
          <w:tcPr>
            <w:tcW w:w="733" w:type="dxa"/>
            <w:tcBorders/>
            <w:shd w:fill="auto" w:val="cle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31.1*</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ash-ex31_1.htm">
              <w:r>
                <w:rPr>
                  <w:rStyle w:val="InternetLink"/>
                  <w:rFonts w:ascii="Times New Roman;serif" w:hAnsi="Times New Roman;serif"/>
                  <w:b w:val="false"/>
                  <w:sz w:val="22"/>
                  <w:u w:val="single"/>
                </w:rPr>
                <w:t>Certificate of Guillermo Novo, Chief Executive Officer of Ashland pursuant to Section 302 of the Sarbanes-Oxley Act of 2002.</w:t>
              </w:r>
            </w:hyperlink>
          </w:p>
        </w:tc>
      </w:tr>
      <w:tr>
        <w:trPr/>
        <w:tc>
          <w:tcPr>
            <w:tcW w:w="733" w:type="dxa"/>
            <w:tcBorders/>
            <w:shd w:fill="auto" w:val="cle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pPr>
            <w:r>
              <w:rPr/>
              <w:t> </w:t>
            </w:r>
            <w:r>
              <w:rPr>
                <w:rFonts w:ascii="Times New Roman;serif" w:hAnsi="Times New Roman;serif"/>
                <w:b w:val="false"/>
                <w:sz w:val="22"/>
              </w:rPr>
              <w:t>31.2*</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ash-ex31_2.htm">
              <w:r>
                <w:rPr>
                  <w:rStyle w:val="InternetLink"/>
                  <w:rFonts w:ascii="Times New Roman;serif" w:hAnsi="Times New Roman;serif"/>
                  <w:b w:val="false"/>
                  <w:sz w:val="22"/>
                  <w:u w:val="single"/>
                </w:rPr>
                <w:t>Certificate of J. Kevin Willis, Chief Financial Officer of Ashland pursuant to Section 302 of the Sarbanes-Oxley Act of 2002.</w:t>
              </w:r>
            </w:hyperlink>
          </w:p>
        </w:tc>
      </w:tr>
      <w:tr>
        <w:trPr/>
        <w:tc>
          <w:tcPr>
            <w:tcW w:w="733" w:type="dxa"/>
            <w:tcBorders/>
            <w:shd w:fill="auto" w:val="cle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pPr>
            <w:r>
              <w:rPr/>
              <w:t> </w:t>
            </w:r>
            <w:r>
              <w:rPr>
                <w:rFonts w:ascii="Times New Roman;serif" w:hAnsi="Times New Roman;serif"/>
                <w:b w:val="false"/>
                <w:sz w:val="22"/>
              </w:rPr>
              <w:t>32*</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ash-ex32.htm">
              <w:r>
                <w:rPr>
                  <w:rStyle w:val="InternetLink"/>
                  <w:rFonts w:ascii="Times New Roman;serif" w:hAnsi="Times New Roman;serif"/>
                  <w:b w:val="false"/>
                  <w:sz w:val="22"/>
                  <w:u w:val="single"/>
                </w:rPr>
                <w:t>Certificate of Guillermo Novo, Chief Executive Officer of Ashland, and J. Kevin Willis, Chief Financial Officer of Ashland pursuant to Section 906 of the Sarbanes-Oxley Act of 2002.</w:t>
              </w:r>
            </w:hyperlink>
          </w:p>
        </w:tc>
      </w:tr>
      <w:tr>
        <w:trPr/>
        <w:tc>
          <w:tcPr>
            <w:tcW w:w="733" w:type="dxa"/>
            <w:tcBorders/>
            <w:shd w:fill="auto" w:val="cle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101.INS**</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Inline XBRL Instance Document.</w:t>
            </w:r>
          </w:p>
        </w:tc>
      </w:tr>
      <w:tr>
        <w:trPr/>
        <w:tc>
          <w:tcPr>
            <w:tcW w:w="733"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101.SCH**</w:t>
            </w:r>
          </w:p>
        </w:tc>
        <w:tc>
          <w:tcPr>
            <w:tcW w:w="9472"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Inline XBRL Taxonomy Extension Schema Document.</w:t>
            </w:r>
          </w:p>
        </w:tc>
      </w:tr>
      <w:tr>
        <w:trPr/>
        <w:tc>
          <w:tcPr>
            <w:tcW w:w="733"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101.CAL**</w:t>
            </w:r>
          </w:p>
        </w:tc>
        <w:tc>
          <w:tcPr>
            <w:tcW w:w="9472"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Inline XBRL Taxonomy Extension Calculation Linkbase Document.</w:t>
            </w:r>
          </w:p>
        </w:tc>
      </w:tr>
      <w:tr>
        <w:trPr/>
        <w:tc>
          <w:tcPr>
            <w:tcW w:w="733"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101.DEF**</w:t>
            </w:r>
          </w:p>
        </w:tc>
        <w:tc>
          <w:tcPr>
            <w:tcW w:w="9472"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Inline XBRL Taxonomy Extension Definition Linkbase Document.</w:t>
            </w:r>
          </w:p>
        </w:tc>
      </w:tr>
      <w:tr>
        <w:trPr/>
        <w:tc>
          <w:tcPr>
            <w:tcW w:w="733"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101.LAB**</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Inline XBRL Taxonomy Extension Label Linkbase Document.</w:t>
            </w:r>
          </w:p>
        </w:tc>
      </w:tr>
      <w:tr>
        <w:trPr/>
        <w:tc>
          <w:tcPr>
            <w:tcW w:w="733"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101.PRE**</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Inline XBRL Taxonomy Extension Presentation Linkbase Document.</w:t>
            </w:r>
          </w:p>
        </w:tc>
      </w:tr>
      <w:tr>
        <w:trPr/>
        <w:tc>
          <w:tcPr>
            <w:tcW w:w="733"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733" w:type="dxa"/>
            <w:tcBorders/>
            <w:shd w:fill="auto" w:val="cle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104</w:t>
            </w:r>
          </w:p>
        </w:tc>
        <w:tc>
          <w:tcPr>
            <w:tcW w:w="9472"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2"/>
              </w:rPr>
            </w:pPr>
            <w:r>
              <w:rPr>
                <w:rFonts w:ascii="Times New Roman;serif" w:hAnsi="Times New Roman;serif"/>
                <w:b w:val="false"/>
                <w:sz w:val="22"/>
              </w:rPr>
              <w:t>Cover Page Interactive Data File (formatted as inline XBRL and contained in Exhibit 101).</w:t>
            </w:r>
          </w:p>
        </w:tc>
      </w:tr>
    </w:tbl>
    <w:p>
      <w:pPr>
        <w:pStyle w:val="TextBody"/>
        <w:spacing w:before="40" w:after="0"/>
        <w:jc w:val="both"/>
        <w:rPr/>
      </w:pPr>
      <w:r>
        <w:rPr/>
        <w:t> </w:t>
      </w:r>
    </w:p>
    <w:tbl>
      <w:tblPr>
        <w:tblW w:w="10205" w:type="dxa"/>
        <w:jc w:val="left"/>
        <w:tblInd w:w="0" w:type="dxa"/>
        <w:tblCellMar>
          <w:top w:w="28" w:type="dxa"/>
          <w:left w:w="28" w:type="dxa"/>
          <w:bottom w:w="28" w:type="dxa"/>
          <w:right w:w="28" w:type="dxa"/>
        </w:tblCellMar>
      </w:tblPr>
      <w:tblGrid>
        <w:gridCol w:w="161"/>
        <w:gridCol w:w="263"/>
        <w:gridCol w:w="9781"/>
      </w:tblGrid>
      <w:tr>
        <w:trPr/>
        <w:tc>
          <w:tcPr>
            <w:tcW w:w="16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7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263"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w:t>
            </w:r>
          </w:p>
        </w:tc>
        <w:tc>
          <w:tcPr>
            <w:tcW w:w="9781" w:type="dxa"/>
            <w:tcBorders/>
            <w:shd w:fill="auto" w:val="clear"/>
            <w:tcMar>
              <w:top w:w="0" w:type="dxa"/>
              <w:left w:w="0" w:type="dxa"/>
              <w:bottom w:w="0" w:type="dxa"/>
              <w:right w:w="0" w:type="dxa"/>
            </w:tcMar>
            <w:vAlign w:val="center"/>
          </w:tcPr>
          <w:p>
            <w:pPr>
              <w:pStyle w:val="TableContents"/>
              <w:spacing w:before="40" w:after="0"/>
              <w:ind w:left="0" w:right="0" w:hanging="0"/>
              <w:jc w:val="both"/>
              <w:rPr>
                <w:rFonts w:ascii="Times New Roman;serif" w:hAnsi="Times New Roman;serif"/>
                <w:b w:val="false"/>
                <w:sz w:val="16"/>
              </w:rPr>
            </w:pPr>
            <w:r>
              <w:rPr>
                <w:rFonts w:ascii="Times New Roman;serif" w:hAnsi="Times New Roman;serif"/>
                <w:b w:val="false"/>
                <w:sz w:val="16"/>
              </w:rPr>
              <w:t>Filed herewith.</w:t>
            </w:r>
          </w:p>
        </w:tc>
      </w:tr>
      <w:tr>
        <w:trPr/>
        <w:tc>
          <w:tcPr>
            <w:tcW w:w="161" w:type="dxa"/>
            <w:tcBorders/>
            <w:shd w:fill="auto" w:val="clear"/>
            <w:tcMar>
              <w:top w:w="0" w:type="dxa"/>
              <w:left w:w="0" w:type="dxa"/>
              <w:bottom w:w="0" w:type="dxa"/>
              <w:right w:w="0" w:type="dxa"/>
            </w:tcMar>
            <w:vAlign w:val="center"/>
          </w:tcPr>
          <w:p>
            <w:pPr>
              <w:pStyle w:val="TableContents"/>
              <w:spacing w:before="40" w:after="0"/>
              <w:ind w:left="0" w:right="0" w:hanging="0"/>
              <w:jc w:val="both"/>
              <w:rPr/>
            </w:pPr>
            <w:r>
              <w:rPr/>
              <w:t> </w:t>
            </w:r>
          </w:p>
        </w:tc>
        <w:tc>
          <w:tcPr>
            <w:tcW w:w="263" w:type="dxa"/>
            <w:tcBorders/>
            <w:shd w:fill="auto" w:val="clear"/>
            <w:tcMar>
              <w:top w:w="0" w:type="dxa"/>
              <w:left w:w="0" w:type="dxa"/>
              <w:bottom w:w="0" w:type="dxa"/>
              <w:right w:w="0" w:type="dxa"/>
            </w:tcMar>
            <w:vAlign w:val="center"/>
          </w:tcPr>
          <w:p>
            <w:pPr>
              <w:pStyle w:val="TableContents"/>
              <w:spacing w:before="40" w:after="0"/>
              <w:ind w:left="0" w:right="0" w:hanging="0"/>
              <w:jc w:val="both"/>
              <w:rPr>
                <w:rFonts w:ascii="Times New Roman;serif" w:hAnsi="Times New Roman;serif"/>
                <w:b w:val="false"/>
                <w:sz w:val="16"/>
              </w:rPr>
            </w:pPr>
            <w:r>
              <w:rPr>
                <w:rFonts w:ascii="Times New Roman;serif" w:hAnsi="Times New Roman;serif"/>
                <w:b w:val="false"/>
                <w:sz w:val="16"/>
              </w:rPr>
              <w:t>**</w:t>
            </w:r>
          </w:p>
        </w:tc>
        <w:tc>
          <w:tcPr>
            <w:tcW w:w="9781" w:type="dxa"/>
            <w:tcBorders/>
            <w:shd w:fill="auto" w:val="clear"/>
            <w:tcMar>
              <w:top w:w="0" w:type="dxa"/>
              <w:left w:w="0" w:type="dxa"/>
              <w:bottom w:w="0" w:type="dxa"/>
              <w:right w:w="0" w:type="dxa"/>
            </w:tcMar>
            <w:vAlign w:val="center"/>
          </w:tcPr>
          <w:p>
            <w:pPr>
              <w:pStyle w:val="TableContents"/>
              <w:spacing w:before="40" w:after="0"/>
              <w:ind w:left="0" w:right="0" w:hanging="0"/>
              <w:jc w:val="both"/>
              <w:rPr>
                <w:rFonts w:ascii="Times New Roman;serif" w:hAnsi="Times New Roman;serif"/>
                <w:b w:val="false"/>
                <w:sz w:val="16"/>
              </w:rPr>
            </w:pPr>
            <w:r>
              <w:rPr>
                <w:rFonts w:ascii="Times New Roman;serif" w:hAnsi="Times New Roman;serif"/>
                <w:b w:val="false"/>
                <w:sz w:val="16"/>
              </w:rPr>
              <w:t>Attached as Exhibit 101 to this report are the following documents formatted in XBRL (Extensible Business Reporting Language): (i) Statements of Consolidated Comprehensive Income (Loss) for the three and six months ended March 31, 2023 and March 31, 2022; (ii) Condensed Consolidated Balance Sheets at March 31, 2023 and September 30, 2022; (iii) Statements of Condensed Consolidated Cash Flows for the six months ended March 31, 2023 and March 31, 2022; and (iv) Notes to Condensed Consolidated Financial Statements.</w:t>
            </w:r>
          </w:p>
        </w:tc>
      </w:tr>
      <w:tr>
        <w:trPr/>
        <w:tc>
          <w:tcPr>
            <w:tcW w:w="161" w:type="dxa"/>
            <w:tcBorders/>
            <w:shd w:fill="auto" w:val="clear"/>
            <w:tcMar>
              <w:top w:w="0" w:type="dxa"/>
              <w:left w:w="0" w:type="dxa"/>
              <w:bottom w:w="0" w:type="dxa"/>
              <w:right w:w="0" w:type="dxa"/>
            </w:tcMar>
            <w:vAlign w:val="center"/>
          </w:tcPr>
          <w:p>
            <w:pPr>
              <w:pStyle w:val="TableContents"/>
              <w:spacing w:before="40" w:after="0"/>
              <w:ind w:left="0" w:right="0" w:hanging="0"/>
              <w:jc w:val="both"/>
              <w:rPr/>
            </w:pPr>
            <w:r>
              <w:rPr/>
              <w:t> </w:t>
            </w:r>
          </w:p>
        </w:tc>
        <w:tc>
          <w:tcPr>
            <w:tcW w:w="263" w:type="dxa"/>
            <w:tcBorders/>
            <w:shd w:fill="auto" w:val="clear"/>
            <w:tcMar>
              <w:top w:w="0" w:type="dxa"/>
              <w:left w:w="0" w:type="dxa"/>
              <w:bottom w:w="0" w:type="dxa"/>
              <w:right w:w="0" w:type="dxa"/>
            </w:tcMar>
            <w:vAlign w:val="center"/>
          </w:tcPr>
          <w:p>
            <w:pPr>
              <w:pStyle w:val="TableContents"/>
              <w:spacing w:before="40" w:after="0"/>
              <w:ind w:left="0" w:right="0" w:hanging="0"/>
              <w:jc w:val="both"/>
              <w:rPr>
                <w:rFonts w:ascii="Times New Roman;serif" w:hAnsi="Times New Roman;serif"/>
                <w:b w:val="false"/>
                <w:sz w:val="11"/>
              </w:rPr>
            </w:pPr>
            <w:r>
              <w:rPr>
                <w:rFonts w:ascii="Times New Roman;serif" w:hAnsi="Times New Roman;serif"/>
                <w:b w:val="false"/>
                <w:sz w:val="11"/>
              </w:rPr>
              <w:t>SM</w:t>
            </w:r>
          </w:p>
        </w:tc>
        <w:tc>
          <w:tcPr>
            <w:tcW w:w="9781" w:type="dxa"/>
            <w:tcBorders/>
            <w:shd w:fill="auto" w:val="clear"/>
            <w:tcMar>
              <w:top w:w="0" w:type="dxa"/>
              <w:left w:w="0" w:type="dxa"/>
              <w:bottom w:w="0" w:type="dxa"/>
              <w:right w:w="0" w:type="dxa"/>
            </w:tcMar>
            <w:vAlign w:val="center"/>
          </w:tcPr>
          <w:p>
            <w:pPr>
              <w:pStyle w:val="TableContents"/>
              <w:spacing w:before="40" w:after="0"/>
              <w:ind w:left="0" w:right="0" w:hanging="0"/>
              <w:jc w:val="both"/>
              <w:rPr>
                <w:rFonts w:ascii="Times New Roman;serif" w:hAnsi="Times New Roman;serif"/>
                <w:b w:val="false"/>
                <w:sz w:val="16"/>
              </w:rPr>
            </w:pPr>
            <w:r>
              <w:rPr>
                <w:rFonts w:ascii="Times New Roman;serif" w:hAnsi="Times New Roman;serif"/>
                <w:b w:val="false"/>
                <w:sz w:val="16"/>
              </w:rPr>
              <w:t>Service mark, Ashland or its subsidiaries, registered in various countries.</w:t>
            </w:r>
          </w:p>
        </w:tc>
      </w:tr>
      <w:tr>
        <w:trPr/>
        <w:tc>
          <w:tcPr>
            <w:tcW w:w="161" w:type="dxa"/>
            <w:tcBorders/>
            <w:shd w:fill="auto" w:val="clear"/>
            <w:tcMar>
              <w:top w:w="0" w:type="dxa"/>
              <w:left w:w="0" w:type="dxa"/>
              <w:bottom w:w="0" w:type="dxa"/>
              <w:right w:w="0" w:type="dxa"/>
            </w:tcMar>
            <w:vAlign w:val="center"/>
          </w:tcPr>
          <w:p>
            <w:pPr>
              <w:pStyle w:val="TableContents"/>
              <w:spacing w:before="40" w:after="0"/>
              <w:ind w:left="0" w:right="0" w:hanging="0"/>
              <w:jc w:val="both"/>
              <w:rPr/>
            </w:pPr>
            <w:r>
              <w:rPr/>
              <w:t> </w:t>
            </w:r>
          </w:p>
        </w:tc>
        <w:tc>
          <w:tcPr>
            <w:tcW w:w="263" w:type="dxa"/>
            <w:tcBorders/>
            <w:shd w:fill="auto" w:val="clear"/>
            <w:tcMar>
              <w:top w:w="0" w:type="dxa"/>
              <w:left w:w="0" w:type="dxa"/>
              <w:bottom w:w="0" w:type="dxa"/>
              <w:right w:w="0" w:type="dxa"/>
            </w:tcMar>
            <w:vAlign w:val="center"/>
          </w:tcPr>
          <w:p>
            <w:pPr>
              <w:pStyle w:val="TableContents"/>
              <w:spacing w:before="40" w:after="0"/>
              <w:ind w:left="0" w:right="0" w:hanging="0"/>
              <w:jc w:val="both"/>
              <w:rPr>
                <w:rFonts w:ascii="Times New Roman;serif" w:hAnsi="Times New Roman;serif"/>
                <w:b w:val="false"/>
                <w:sz w:val="16"/>
              </w:rPr>
            </w:pPr>
            <w:r>
              <w:rPr>
                <w:rFonts w:ascii="Times New Roman;serif" w:hAnsi="Times New Roman;serif"/>
                <w:b w:val="false"/>
                <w:sz w:val="16"/>
              </w:rPr>
              <w:t></w:t>
            </w:r>
          </w:p>
        </w:tc>
        <w:tc>
          <w:tcPr>
            <w:tcW w:w="9781" w:type="dxa"/>
            <w:tcBorders/>
            <w:shd w:fill="auto" w:val="clear"/>
            <w:tcMar>
              <w:top w:w="0" w:type="dxa"/>
              <w:left w:w="0" w:type="dxa"/>
              <w:bottom w:w="0" w:type="dxa"/>
              <w:right w:w="0" w:type="dxa"/>
            </w:tcMar>
            <w:vAlign w:val="center"/>
          </w:tcPr>
          <w:p>
            <w:pPr>
              <w:pStyle w:val="TableContents"/>
              <w:spacing w:before="40" w:after="0"/>
              <w:ind w:left="0" w:right="0" w:hanging="0"/>
              <w:jc w:val="both"/>
              <w:rPr>
                <w:rFonts w:ascii="Times New Roman;serif" w:hAnsi="Times New Roman;serif"/>
                <w:b w:val="false"/>
                <w:sz w:val="16"/>
              </w:rPr>
            </w:pPr>
            <w:r>
              <w:rPr>
                <w:rFonts w:ascii="Times New Roman;serif" w:hAnsi="Times New Roman;serif"/>
                <w:b w:val="false"/>
                <w:sz w:val="16"/>
              </w:rPr>
              <w:t>Trademark, Ashland or its subsidiaries, registered in various countries.</w:t>
            </w:r>
          </w:p>
        </w:tc>
      </w:tr>
    </w:tbl>
    <w:p>
      <w:pPr>
        <w:pStyle w:val="TextBody"/>
        <w:spacing w:before="12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SIGNATURE</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5443" w:type="dxa"/>
        <w:jc w:val="left"/>
        <w:tblInd w:w="0" w:type="dxa"/>
        <w:tblCellMar>
          <w:top w:w="28" w:type="dxa"/>
          <w:left w:w="28" w:type="dxa"/>
          <w:bottom w:w="28" w:type="dxa"/>
          <w:right w:w="28" w:type="dxa"/>
        </w:tblCellMar>
      </w:tblPr>
      <w:tblGrid>
        <w:gridCol w:w="1156"/>
        <w:gridCol w:w="146"/>
        <w:gridCol w:w="4141"/>
      </w:tblGrid>
      <w:tr>
        <w:trPr/>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1"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1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Ashland Inc.</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1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(Registrant)</w:t>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3, 2023</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 Kevin Willis</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 Kevin Willis</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14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Senior Vice President and Chief Financial Officer</w:t>
            </w:r>
          </w:p>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(on behalf of the Registrant and as principal</w:t>
            </w:r>
          </w:p>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financial officer)</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r>
        <w:br w:type="page"/>
      </w:r>
    </w:p>
    <w:p>
      <w:pPr>
        <w:pStyle w:val="TextBody"/>
        <w:spacing w:before="0" w:after="0"/>
        <w:jc w:val="left"/>
        <w:rPr/>
      </w:pPr>
      <w:bookmarkStart w:id="2" w:name="ash-ex31_1.htm"/>
      <w:bookmarkStart w:id="3" w:name="ksashex31_1"/>
      <w:bookmarkEnd w:id="2"/>
      <w:bookmarkEnd w:id="3"/>
      <w:r>
        <w:rPr/>
        <w:t> </w:t>
      </w:r>
    </w:p>
    <w:p>
      <w:pPr>
        <w:pStyle w:val="TextBody"/>
        <w:spacing w:before="0" w:after="0"/>
        <w:jc w:val="right"/>
        <w:rPr>
          <w:rFonts w:ascii="Times New Roman;serif" w:hAnsi="Times New Roman;serif"/>
          <w:b w:val="false"/>
          <w:sz w:val="22"/>
        </w:rPr>
      </w:pPr>
      <w:r>
        <w:rPr>
          <w:rFonts w:ascii="Times New Roman;serif" w:hAnsi="Times New Roman;serif"/>
          <w:b w:val="false"/>
          <w:sz w:val="22"/>
        </w:rPr>
        <w:t>EXHIBIT 31.1</w:t>
      </w:r>
    </w:p>
    <w:p>
      <w:pPr>
        <w:pStyle w:val="TextBody"/>
        <w:spacing w:before="240" w:after="0"/>
        <w:jc w:val="center"/>
        <w:rPr>
          <w:rFonts w:ascii="Times New Roman;serif" w:hAnsi="Times New Roman;serif"/>
          <w:b/>
          <w:sz w:val="22"/>
          <w:u w:val="single"/>
        </w:rPr>
      </w:pPr>
      <w:r>
        <w:rPr>
          <w:rFonts w:ascii="Times New Roman;serif" w:hAnsi="Times New Roman;serif"/>
          <w:b/>
          <w:sz w:val="22"/>
          <w:u w:val="single"/>
        </w:rPr>
        <w:t>CERTIFICATION</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 Guillermo Novo, certify that:</w:t>
      </w:r>
    </w:p>
    <w:p>
      <w:pPr>
        <w:pStyle w:val="TextBody"/>
        <w:spacing w:before="120" w:after="0"/>
        <w:jc w:val="both"/>
        <w:rPr>
          <w:rFonts w:ascii="Times New Roman" w:hAnsi="Times New Roman"/>
          <w:b w:val="false"/>
          <w:sz w:val="22"/>
        </w:rPr>
      </w:pPr>
      <w:r>
        <w:rPr>
          <w:rFonts w:ascii="Times New Roman" w:hAnsi="Times New Roman"/>
          <w:b w:val="false"/>
          <w:sz w:val="22"/>
        </w:rPr>
        <w:t>1.</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 have reviewed this quarterly report on Form 10-Q of Ashland Inc.;</w:t>
      </w:r>
    </w:p>
    <w:p>
      <w:pPr>
        <w:pStyle w:val="TextBody"/>
        <w:spacing w:before="120" w:after="0"/>
        <w:jc w:val="both"/>
        <w:rPr>
          <w:rFonts w:ascii="Times New Roman" w:hAnsi="Times New Roman"/>
          <w:b w:val="false"/>
          <w:sz w:val="22"/>
        </w:rPr>
      </w:pPr>
      <w:r>
        <w:rPr>
          <w:rFonts w:ascii="Times New Roman" w:hAnsi="Times New Roman"/>
          <w:b w:val="false"/>
          <w:sz w:val="22"/>
        </w:rPr>
        <w:t>2.</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both"/>
        <w:rPr>
          <w:rFonts w:ascii="Times New Roman" w:hAnsi="Times New Roman"/>
          <w:b w:val="false"/>
          <w:sz w:val="22"/>
        </w:rPr>
      </w:pPr>
      <w:r>
        <w:rPr>
          <w:rFonts w:ascii="Times New Roman" w:hAnsi="Times New Roman"/>
          <w:b w:val="false"/>
          <w:sz w:val="22"/>
        </w:rPr>
        <w:t>3.</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both"/>
        <w:rPr>
          <w:rFonts w:ascii="Times New Roman" w:hAnsi="Times New Roman"/>
          <w:b w:val="false"/>
          <w:sz w:val="22"/>
        </w:rPr>
      </w:pPr>
      <w:r>
        <w:rPr>
          <w:rFonts w:ascii="Times New Roman" w:hAnsi="Times New Roman"/>
          <w:b w:val="false"/>
          <w:sz w:val="22"/>
        </w:rPr>
        <w:t>4.</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both"/>
        <w:rPr>
          <w:rFonts w:ascii="Times New Roman" w:hAnsi="Times New Roman"/>
          <w:b w:val="false"/>
          <w:sz w:val="22"/>
        </w:rPr>
      </w:pPr>
      <w:r>
        <w:rPr>
          <w:rFonts w:ascii="Times New Roman" w:hAnsi="Times New Roman"/>
          <w:b w:val="false"/>
          <w:sz w:val="22"/>
        </w:rPr>
        <w:t>a.</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both"/>
        <w:rPr>
          <w:rFonts w:ascii="Times New Roman" w:hAnsi="Times New Roman"/>
          <w:b w:val="false"/>
          <w:sz w:val="22"/>
        </w:rPr>
      </w:pPr>
      <w:r>
        <w:rPr>
          <w:rFonts w:ascii="Times New Roman" w:hAnsi="Times New Roman"/>
          <w:b w:val="false"/>
          <w:sz w:val="22"/>
        </w:rPr>
        <w:t>b.</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both"/>
        <w:rPr>
          <w:rFonts w:ascii="Times New Roman" w:hAnsi="Times New Roman"/>
          <w:b w:val="false"/>
          <w:sz w:val="22"/>
        </w:rPr>
      </w:pPr>
      <w:r>
        <w:rPr>
          <w:rFonts w:ascii="Times New Roman" w:hAnsi="Times New Roman"/>
          <w:b w:val="false"/>
          <w:sz w:val="22"/>
        </w:rPr>
        <w:t>c.</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both"/>
        <w:rPr>
          <w:rFonts w:ascii="Times New Roman" w:hAnsi="Times New Roman"/>
          <w:b w:val="false"/>
          <w:sz w:val="22"/>
        </w:rPr>
      </w:pPr>
      <w:r>
        <w:rPr>
          <w:rFonts w:ascii="Times New Roman" w:hAnsi="Times New Roman"/>
          <w:b w:val="false"/>
          <w:sz w:val="22"/>
        </w:rPr>
        <w:t>d.</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both"/>
        <w:rPr>
          <w:rFonts w:ascii="Times New Roman" w:hAnsi="Times New Roman"/>
          <w:b w:val="false"/>
          <w:sz w:val="22"/>
        </w:rPr>
      </w:pPr>
      <w:r>
        <w:rPr>
          <w:rFonts w:ascii="Times New Roman" w:hAnsi="Times New Roman"/>
          <w:b w:val="false"/>
          <w:sz w:val="22"/>
        </w:rPr>
        <w:t>5.</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both"/>
        <w:rPr>
          <w:rFonts w:ascii="Times New Roman" w:hAnsi="Times New Roman"/>
          <w:b w:val="false"/>
          <w:sz w:val="22"/>
        </w:rPr>
      </w:pPr>
      <w:r>
        <w:rPr>
          <w:rFonts w:ascii="Times New Roman" w:hAnsi="Times New Roman"/>
          <w:b w:val="false"/>
          <w:sz w:val="22"/>
        </w:rPr>
        <w:t>a.</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both"/>
        <w:rPr>
          <w:rFonts w:ascii="Times New Roman" w:hAnsi="Times New Roman"/>
          <w:b w:val="false"/>
          <w:sz w:val="22"/>
        </w:rPr>
      </w:pPr>
      <w:r>
        <w:rPr>
          <w:rFonts w:ascii="Times New Roman" w:hAnsi="Times New Roman"/>
          <w:b w:val="false"/>
          <w:sz w:val="22"/>
        </w:rPr>
        <w:t>b.</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Date: May 3, 2023</w:t>
      </w:r>
    </w:p>
    <w:tbl>
      <w:tblPr>
        <w:tblW w:w="3507" w:type="dxa"/>
        <w:jc w:val="left"/>
        <w:tblInd w:w="0" w:type="dxa"/>
        <w:tblCellMar>
          <w:top w:w="28" w:type="dxa"/>
          <w:left w:w="28" w:type="dxa"/>
          <w:bottom w:w="28" w:type="dxa"/>
          <w:right w:w="28" w:type="dxa"/>
        </w:tblCellMar>
      </w:tblPr>
      <w:tblGrid>
        <w:gridCol w:w="161"/>
        <w:gridCol w:w="3346"/>
      </w:tblGrid>
      <w:tr>
        <w:trPr/>
        <w:tc>
          <w:tcPr>
            <w:tcW w:w="161" w:type="dxa"/>
            <w:tcBorders/>
            <w:shd w:fill="auto" w:val="clear"/>
            <w:vAlign w:val="center"/>
          </w:tcPr>
          <w:p>
            <w:pPr>
              <w:pStyle w:val="TableContents"/>
              <w:spacing w:before="0" w:after="283"/>
              <w:rPr>
                <w:sz w:val="4"/>
                <w:szCs w:val="4"/>
              </w:rPr>
            </w:pPr>
            <w:r>
              <w:rPr>
                <w:sz w:val="4"/>
                <w:szCs w:val="4"/>
              </w:rPr>
            </w:r>
          </w:p>
        </w:tc>
        <w:tc>
          <w:tcPr>
            <w:tcW w:w="33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3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/s/ Guillermo Novo</w:t>
            </w:r>
          </w:p>
        </w:tc>
      </w:tr>
      <w:tr>
        <w:trPr/>
        <w:tc>
          <w:tcPr>
            <w:tcW w:w="161" w:type="dxa"/>
            <w:tcBorders/>
            <w:shd w:fill="auto" w:val="clear"/>
            <w:vAlign w:val="center"/>
          </w:tcPr>
          <w:p>
            <w:pPr>
              <w:pStyle w:val="TableContents"/>
              <w:spacing w:before="0" w:after="0"/>
              <w:ind w:left="0" w:right="0" w:hanging="0"/>
              <w:jc w:val="left"/>
              <w:rPr/>
            </w:pPr>
            <w:r>
              <w:rPr/>
              <w:t> </w:t>
            </w:r>
          </w:p>
        </w:tc>
        <w:tc>
          <w:tcPr>
            <w:tcW w:w="33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Guillermo Novo</w:t>
            </w:r>
          </w:p>
        </w:tc>
      </w:tr>
      <w:tr>
        <w:trPr/>
        <w:tc>
          <w:tcPr>
            <w:tcW w:w="161" w:type="dxa"/>
            <w:tcBorders/>
            <w:shd w:fill="auto" w:val="clear"/>
            <w:vAlign w:val="center"/>
          </w:tcPr>
          <w:p>
            <w:pPr>
              <w:pStyle w:val="TableContents"/>
              <w:spacing w:before="0" w:after="0"/>
              <w:ind w:left="0" w:right="0" w:hanging="0"/>
              <w:jc w:val="left"/>
              <w:rPr/>
            </w:pPr>
            <w:r>
              <w:rPr/>
              <w:t> </w:t>
            </w:r>
          </w:p>
        </w:tc>
        <w:tc>
          <w:tcPr>
            <w:tcW w:w="33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Chair and Chief Executive Officer</w:t>
            </w:r>
          </w:p>
        </w:tc>
      </w:tr>
      <w:tr>
        <w:trPr/>
        <w:tc>
          <w:tcPr>
            <w:tcW w:w="161" w:type="dxa"/>
            <w:tcBorders/>
            <w:shd w:fill="auto" w:val="clear"/>
            <w:vAlign w:val="center"/>
          </w:tcPr>
          <w:p>
            <w:pPr>
              <w:pStyle w:val="TableContents"/>
              <w:spacing w:before="0" w:after="0"/>
              <w:ind w:left="0" w:right="0" w:hanging="0"/>
              <w:jc w:val="left"/>
              <w:rPr/>
            </w:pPr>
            <w:r>
              <w:rPr/>
              <w:t> </w:t>
            </w:r>
          </w:p>
        </w:tc>
        <w:tc>
          <w:tcPr>
            <w:tcW w:w="33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(Principal Executive Officer)</w:t>
            </w:r>
          </w:p>
        </w:tc>
      </w:tr>
    </w:tbl>
    <w:p>
      <w:pPr>
        <w:pStyle w:val="TextBody"/>
        <w:spacing w:before="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4" w:name="ash-ex31_2.htm"/>
      <w:bookmarkStart w:id="5" w:name="ksashex31_2"/>
      <w:bookmarkEnd w:id="4"/>
      <w:bookmarkEnd w:id="5"/>
      <w:r>
        <w:rPr/>
        <w:t> </w:t>
      </w:r>
    </w:p>
    <w:p>
      <w:pPr>
        <w:pStyle w:val="TextBody"/>
        <w:spacing w:before="0" w:after="0"/>
        <w:jc w:val="right"/>
        <w:rPr>
          <w:rFonts w:ascii="Times New Roman;serif" w:hAnsi="Times New Roman;serif"/>
          <w:b w:val="false"/>
          <w:sz w:val="22"/>
        </w:rPr>
      </w:pPr>
      <w:r>
        <w:rPr>
          <w:rFonts w:ascii="Times New Roman;serif" w:hAnsi="Times New Roman;serif"/>
          <w:b w:val="false"/>
          <w:sz w:val="22"/>
        </w:rPr>
        <w:t>EXHIBIT 31.2</w:t>
      </w:r>
    </w:p>
    <w:p>
      <w:pPr>
        <w:pStyle w:val="TextBody"/>
        <w:spacing w:before="240" w:after="0"/>
        <w:jc w:val="center"/>
        <w:rPr>
          <w:rFonts w:ascii="Times New Roman;serif" w:hAnsi="Times New Roman;serif"/>
          <w:b/>
          <w:sz w:val="22"/>
          <w:u w:val="single"/>
        </w:rPr>
      </w:pPr>
      <w:r>
        <w:rPr>
          <w:rFonts w:ascii="Times New Roman;serif" w:hAnsi="Times New Roman;serif"/>
          <w:b/>
          <w:sz w:val="22"/>
          <w:u w:val="single"/>
        </w:rPr>
        <w:t>CERTIFICATIONS</w:t>
      </w:r>
    </w:p>
    <w:p>
      <w:pPr>
        <w:pStyle w:val="TextBody"/>
        <w:spacing w:before="0" w:after="0"/>
        <w:jc w:val="center"/>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 J. Kevin Willis, certify that:</w:t>
      </w:r>
    </w:p>
    <w:p>
      <w:pPr>
        <w:pStyle w:val="TextBody"/>
        <w:spacing w:before="120" w:after="0"/>
        <w:jc w:val="both"/>
        <w:rPr>
          <w:rFonts w:ascii="Times New Roman" w:hAnsi="Times New Roman"/>
          <w:b w:val="false"/>
          <w:sz w:val="22"/>
        </w:rPr>
      </w:pPr>
      <w:r>
        <w:rPr>
          <w:rFonts w:ascii="Times New Roman" w:hAnsi="Times New Roman"/>
          <w:b w:val="false"/>
          <w:sz w:val="22"/>
        </w:rPr>
        <w:t>1.</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I have reviewed this quarterly report on Form 10-Q of Ashland Inc.;</w:t>
      </w:r>
    </w:p>
    <w:p>
      <w:pPr>
        <w:pStyle w:val="TextBody"/>
        <w:spacing w:before="120" w:after="0"/>
        <w:jc w:val="both"/>
        <w:rPr>
          <w:rFonts w:ascii="Times New Roman" w:hAnsi="Times New Roman"/>
          <w:b w:val="false"/>
          <w:sz w:val="22"/>
        </w:rPr>
      </w:pPr>
      <w:r>
        <w:rPr>
          <w:rFonts w:ascii="Times New Roman" w:hAnsi="Times New Roman"/>
          <w:b w:val="false"/>
          <w:sz w:val="22"/>
        </w:rPr>
        <w:t>2.</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Based on my knowledge, this report does not contain andy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both"/>
        <w:rPr>
          <w:rFonts w:ascii="Times New Roman" w:hAnsi="Times New Roman"/>
          <w:b w:val="false"/>
          <w:sz w:val="22"/>
        </w:rPr>
      </w:pPr>
      <w:r>
        <w:rPr>
          <w:rFonts w:ascii="Times New Roman" w:hAnsi="Times New Roman"/>
          <w:b w:val="false"/>
          <w:sz w:val="22"/>
        </w:rPr>
        <w:t>3.</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both"/>
        <w:rPr>
          <w:rFonts w:ascii="Times New Roman" w:hAnsi="Times New Roman"/>
          <w:b w:val="false"/>
          <w:sz w:val="22"/>
        </w:rPr>
      </w:pPr>
      <w:r>
        <w:rPr>
          <w:rFonts w:ascii="Times New Roman" w:hAnsi="Times New Roman"/>
          <w:b w:val="false"/>
          <w:sz w:val="22"/>
        </w:rPr>
        <w:t>4.</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both"/>
        <w:rPr>
          <w:rFonts w:ascii="Times New Roman" w:hAnsi="Times New Roman"/>
          <w:b w:val="false"/>
          <w:sz w:val="22"/>
        </w:rPr>
      </w:pPr>
      <w:r>
        <w:rPr>
          <w:rFonts w:ascii="Times New Roman" w:hAnsi="Times New Roman"/>
          <w:b w:val="false"/>
          <w:sz w:val="22"/>
        </w:rPr>
        <w:t>a.</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both"/>
        <w:rPr>
          <w:rFonts w:ascii="Times New Roman" w:hAnsi="Times New Roman"/>
          <w:b w:val="false"/>
          <w:sz w:val="22"/>
        </w:rPr>
      </w:pPr>
      <w:r>
        <w:rPr>
          <w:rFonts w:ascii="Times New Roman" w:hAnsi="Times New Roman"/>
          <w:b w:val="false"/>
          <w:sz w:val="22"/>
        </w:rPr>
        <w:t>b.</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both"/>
        <w:rPr>
          <w:rFonts w:ascii="Times New Roman" w:hAnsi="Times New Roman"/>
          <w:b w:val="false"/>
          <w:sz w:val="22"/>
        </w:rPr>
      </w:pPr>
      <w:r>
        <w:rPr>
          <w:rFonts w:ascii="Times New Roman" w:hAnsi="Times New Roman"/>
          <w:b w:val="false"/>
          <w:sz w:val="22"/>
        </w:rPr>
        <w:t>c.</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both"/>
        <w:rPr>
          <w:rFonts w:ascii="Times New Roman" w:hAnsi="Times New Roman"/>
          <w:b w:val="false"/>
          <w:sz w:val="22"/>
        </w:rPr>
      </w:pPr>
      <w:r>
        <w:rPr>
          <w:rFonts w:ascii="Times New Roman" w:hAnsi="Times New Roman"/>
          <w:b w:val="false"/>
          <w:sz w:val="22"/>
        </w:rPr>
        <w:t>d.</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both"/>
        <w:rPr>
          <w:rFonts w:ascii="Times New Roman" w:hAnsi="Times New Roman"/>
          <w:b w:val="false"/>
          <w:sz w:val="22"/>
        </w:rPr>
      </w:pPr>
      <w:r>
        <w:rPr>
          <w:rFonts w:ascii="Times New Roman" w:hAnsi="Times New Roman"/>
          <w:b w:val="false"/>
          <w:sz w:val="22"/>
        </w:rPr>
        <w:t>5.</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both"/>
        <w:rPr>
          <w:rFonts w:ascii="Times New Roman" w:hAnsi="Times New Roman"/>
          <w:b w:val="false"/>
          <w:sz w:val="22"/>
        </w:rPr>
      </w:pPr>
      <w:r>
        <w:rPr>
          <w:rFonts w:ascii="Times New Roman" w:hAnsi="Times New Roman"/>
          <w:b w:val="false"/>
          <w:sz w:val="22"/>
        </w:rPr>
        <w:t>a.</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both"/>
        <w:rPr>
          <w:rFonts w:ascii="Times New Roman" w:hAnsi="Times New Roman"/>
          <w:b w:val="false"/>
          <w:sz w:val="22"/>
        </w:rPr>
      </w:pPr>
      <w:r>
        <w:rPr>
          <w:rFonts w:ascii="Times New Roman" w:hAnsi="Times New Roman"/>
          <w:b w:val="false"/>
          <w:sz w:val="22"/>
        </w:rPr>
        <w:t>b.</w:t>
      </w:r>
    </w:p>
    <w:p>
      <w:pPr>
        <w:pStyle w:val="TextBody"/>
        <w:spacing w:before="120" w:after="283"/>
        <w:jc w:val="both"/>
        <w:rPr>
          <w:rFonts w:ascii="Times New Roman;serif" w:hAnsi="Times New Roman;serif"/>
          <w:b w:val="false"/>
          <w:sz w:val="22"/>
        </w:rPr>
      </w:pPr>
      <w:r>
        <w:rPr>
          <w:rFonts w:ascii="Times New Roman;serif" w:hAnsi="Times New Roman;serif"/>
          <w:b w:val="false"/>
          <w:sz w:val="22"/>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Date: May 3, 2023</w:t>
      </w:r>
    </w:p>
    <w:tbl>
      <w:tblPr>
        <w:tblW w:w="2922" w:type="dxa"/>
        <w:jc w:val="left"/>
        <w:tblInd w:w="0" w:type="dxa"/>
        <w:tblCellMar>
          <w:top w:w="28" w:type="dxa"/>
          <w:left w:w="28" w:type="dxa"/>
          <w:bottom w:w="28" w:type="dxa"/>
          <w:right w:w="28" w:type="dxa"/>
        </w:tblCellMar>
      </w:tblPr>
      <w:tblGrid>
        <w:gridCol w:w="161"/>
        <w:gridCol w:w="2761"/>
      </w:tblGrid>
      <w:tr>
        <w:trPr/>
        <w:tc>
          <w:tcPr>
            <w:tcW w:w="161"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76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/s/ J. Kevin Willis</w:t>
            </w:r>
          </w:p>
        </w:tc>
      </w:tr>
      <w:tr>
        <w:trPr/>
        <w:tc>
          <w:tcPr>
            <w:tcW w:w="161" w:type="dxa"/>
            <w:tcBorders/>
            <w:shd w:fill="auto" w:val="clear"/>
            <w:vAlign w:val="center"/>
          </w:tcPr>
          <w:p>
            <w:pPr>
              <w:pStyle w:val="TableContents"/>
              <w:spacing w:before="0" w:after="0"/>
              <w:ind w:left="0" w:right="0" w:hanging="0"/>
              <w:jc w:val="left"/>
              <w:rPr/>
            </w:pPr>
            <w:r>
              <w:rPr/>
              <w:t> </w:t>
            </w:r>
          </w:p>
        </w:tc>
        <w:tc>
          <w:tcPr>
            <w:tcW w:w="27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J. Kevin Willis</w:t>
            </w:r>
          </w:p>
        </w:tc>
      </w:tr>
      <w:tr>
        <w:trPr/>
        <w:tc>
          <w:tcPr>
            <w:tcW w:w="161" w:type="dxa"/>
            <w:tcBorders/>
            <w:shd w:fill="auto" w:val="clear"/>
            <w:vAlign w:val="center"/>
          </w:tcPr>
          <w:p>
            <w:pPr>
              <w:pStyle w:val="TableContents"/>
              <w:spacing w:before="0" w:after="0"/>
              <w:ind w:left="0" w:right="0" w:hanging="0"/>
              <w:jc w:val="left"/>
              <w:rPr/>
            </w:pPr>
            <w:r>
              <w:rPr/>
              <w:t> </w:t>
            </w:r>
          </w:p>
        </w:tc>
        <w:tc>
          <w:tcPr>
            <w:tcW w:w="27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Chief Financial Officer</w:t>
            </w:r>
          </w:p>
        </w:tc>
      </w:tr>
      <w:tr>
        <w:trPr/>
        <w:tc>
          <w:tcPr>
            <w:tcW w:w="161" w:type="dxa"/>
            <w:tcBorders/>
            <w:shd w:fill="auto" w:val="clear"/>
            <w:vAlign w:val="center"/>
          </w:tcPr>
          <w:p>
            <w:pPr>
              <w:pStyle w:val="TableContents"/>
              <w:spacing w:before="0" w:after="0"/>
              <w:ind w:left="0" w:right="0" w:hanging="0"/>
              <w:jc w:val="left"/>
              <w:rPr/>
            </w:pPr>
            <w:r>
              <w:rPr/>
              <w:t> </w:t>
            </w:r>
          </w:p>
        </w:tc>
        <w:tc>
          <w:tcPr>
            <w:tcW w:w="27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(Principal Financial Officer)</w:t>
            </w:r>
          </w:p>
        </w:tc>
      </w:tr>
    </w:tbl>
    <w:p>
      <w:pPr>
        <w:pStyle w:val="TextBody"/>
        <w:spacing w:before="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6" w:name="ash-ex32.htm"/>
      <w:bookmarkStart w:id="7" w:name="ksashex32"/>
      <w:bookmarkEnd w:id="6"/>
      <w:bookmarkEnd w:id="7"/>
      <w:r>
        <w:rPr/>
        <w:t> </w:t>
      </w:r>
    </w:p>
    <w:p>
      <w:pPr>
        <w:pStyle w:val="TextBody"/>
        <w:spacing w:before="0" w:after="0"/>
        <w:jc w:val="right"/>
        <w:rPr>
          <w:rFonts w:ascii="Times New Roman;serif" w:hAnsi="Times New Roman;serif"/>
          <w:b w:val="false"/>
          <w:sz w:val="22"/>
        </w:rPr>
      </w:pPr>
      <w:r>
        <w:rPr>
          <w:rFonts w:ascii="Times New Roman;serif" w:hAnsi="Times New Roman;serif"/>
          <w:b w:val="false"/>
          <w:sz w:val="22"/>
        </w:rPr>
        <w:t>EXHIBIT 32</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ASHLAND INC.</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CERTIFICATION PURSUANT TO</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18 U.S.C. SECTION 1350,</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AS ADOPTED PURSUANT TO</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SECTION 906 OF THE SARBANES-OXLEY ACT OF 2002</w:t>
      </w:r>
    </w:p>
    <w:p>
      <w:pPr>
        <w:pStyle w:val="TextBody"/>
        <w:spacing w:before="0"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In connection with the Quarterly Report of Ashland Inc. (the “Company”) on Form 10-Q for the period ended March 31, 2023,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(1)</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Report fully complies with the requirements of Section 13(a) or 15(d) of the Securities Exchange Act of 1934; and</w:t>
      </w:r>
    </w:p>
    <w:p>
      <w:pPr>
        <w:pStyle w:val="TextBody"/>
        <w:spacing w:before="0" w:after="0"/>
        <w:jc w:val="both"/>
        <w:rPr>
          <w:rFonts w:ascii="Times New Roman" w:hAnsi="Times New Roman"/>
          <w:b w:val="false"/>
          <w:sz w:val="22"/>
        </w:rPr>
      </w:pPr>
      <w:r>
        <w:rPr>
          <w:rFonts w:ascii="Times New Roman" w:hAnsi="Times New Roman"/>
          <w:b w:val="false"/>
          <w:sz w:val="22"/>
        </w:rPr>
        <w:t>(2)</w:t>
      </w:r>
    </w:p>
    <w:p>
      <w:pPr>
        <w:pStyle w:val="TextBody"/>
        <w:jc w:val="both"/>
        <w:rPr>
          <w:rFonts w:ascii="Times New Roman;serif" w:hAnsi="Times New Roman;serif"/>
          <w:b w:val="false"/>
          <w:sz w:val="22"/>
        </w:rPr>
      </w:pPr>
      <w:r>
        <w:rPr>
          <w:rFonts w:ascii="Times New Roman;serif" w:hAnsi="Times New Roman;serif"/>
          <w:b w:val="false"/>
          <w:sz w:val="22"/>
        </w:rPr>
        <w:t>The information contained in the Report fairly presents, in all material respects, the financial condition and results of operations of the Company.</w:t>
      </w:r>
    </w:p>
    <w:p>
      <w:pPr>
        <w:pStyle w:val="TextBody"/>
        <w:spacing w:before="0" w:after="0"/>
        <w:jc w:val="center"/>
        <w:rPr/>
      </w:pPr>
      <w:r>
        <w:rPr/>
        <w:t> </w:t>
      </w:r>
    </w:p>
    <w:tbl>
      <w:tblPr>
        <w:tblW w:w="2532" w:type="dxa"/>
        <w:jc w:val="left"/>
        <w:tblInd w:w="0" w:type="dxa"/>
        <w:tblCellMar>
          <w:top w:w="28" w:type="dxa"/>
          <w:left w:w="28" w:type="dxa"/>
          <w:bottom w:w="28" w:type="dxa"/>
          <w:right w:w="28" w:type="dxa"/>
        </w:tblCellMar>
      </w:tblPr>
      <w:tblGrid>
        <w:gridCol w:w="2341"/>
        <w:gridCol w:w="191"/>
      </w:tblGrid>
      <w:tr>
        <w:trPr/>
        <w:tc>
          <w:tcPr>
            <w:tcW w:w="23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/s/ Guillermo Novo</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Guillermo Novo</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Chief Executive Officer</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May 3, 2023</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/s/ J. Kevin Willis</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J. Kevin Willis</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Chief Financial Officer</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May 3, 2023</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4862/000095017023013659/ash-ex10_1.htm" TargetMode="External"/><Relationship Id="rId3" Type="http://schemas.openxmlformats.org/officeDocument/2006/relationships/hyperlink" Target="https://www.sec.gov/Archives/edgar/data/1674862/000095017023013659/ash-ex10_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27872</Words>
  <CharactersWithSpaces>182167</CharactersWithSpaces>
  <Paragraphs>11566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