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Chattopadhyay Sanat</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8145 BLAZER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ASHLAND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12/31/2025</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WILMNGTON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19808</w:t>
            </w:r>
          </w:p>
        </w:tc>
      </w:tr>
      <w:tr>
        <w:trPr>
          <w:trHeight w:val="152"/>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245</w:t>
            </w:r>
          </w:p>
        </w:tc>
        <w:tc>
          <w:tcPr>
            <w:tcW w:w="700" w:type="dxa"/>
            <w:vAlign w:val="bottom"/>
          </w:tcPr>
          <w:p>
            <w:pPr>
              <w:spacing w:after="0"/>
              <w:rPr>
                <w:sz w:val="15"/>
                <w:szCs w:val="15"/>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1,679</w:t>
            </w:r>
            <w:r>
              <w:rPr>
                <w:rFonts w:ascii="Times New Roman" w:cs="Times New Roman" w:eastAsia="Times New Roman" w:hAnsi="Times New Roman"/>
                <w:sz w:val="21"/>
                <w:szCs w:val="21"/>
                <w:color w:val="008000"/>
                <w:vertAlign w:val="superscript"/>
              </w:rPr>
              <w:t>(4)</w:t>
            </w: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12/31/2025</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245</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58.67</w:t>
            </w:r>
          </w:p>
        </w:tc>
        <w:tc>
          <w:tcPr>
            <w:tcW w:w="940" w:type="dxa"/>
            <w:vAlign w:val="bottom"/>
            <w:vMerge w:val="continue"/>
          </w:tcPr>
          <w:p>
            <w:pPr>
              <w:spacing w:after="0"/>
              <w:rPr>
                <w:sz w:val="5"/>
                <w:szCs w:val="5"/>
                <w:color w:val="auto"/>
              </w:rPr>
            </w:pP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for 1</w:t>
      </w:r>
    </w:p>
    <w:p>
      <w:pPr>
        <w:spacing w:after="0" w:line="45" w:lineRule="exact"/>
        <w:rPr>
          <w:rFonts w:ascii="Times New Roman" w:cs="Times New Roman" w:eastAsia="Times New Roman" w:hAnsi="Times New Roman"/>
          <w:sz w:val="13"/>
          <w:szCs w:val="13"/>
          <w:color w:val="008000"/>
        </w:rPr>
      </w:pPr>
    </w:p>
    <w:p>
      <w:pPr>
        <w:ind w:left="40" w:right="30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Units acquired pursuant to Ashland's Deferred Compensation Plan for Non-Employee Directors (the "Plan") and exempt under Rule 16b-3. (One (1) Common Stock Unit in the Plan is the equivalent of one (1) share of Ashland Common Stock.)</w:t>
      </w:r>
    </w:p>
    <w:p>
      <w:pPr>
        <w:spacing w:after="0" w:line="14" w:lineRule="exact"/>
        <w:rPr>
          <w:rFonts w:ascii="Times New Roman" w:cs="Times New Roman" w:eastAsia="Times New Roman" w:hAnsi="Times New Roman"/>
          <w:sz w:val="13"/>
          <w:szCs w:val="13"/>
          <w:color w:val="008000"/>
        </w:rPr>
      </w:pPr>
    </w:p>
    <w:p>
      <w:pPr>
        <w:ind w:left="40" w:right="2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any deferral election on timing of distribution by the reporting person under the Plan, the Common Stock Units are payable in Common Stock upon the reporting person's separation from service as a director.</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Balance includes additional Common Stock Units acquired in lieu of cash dividends.</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Serena S. Kenost,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Sanat</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698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50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-14605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Chattopadhyay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651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70690" TargetMode="External"/><Relationship Id="rId14" Type="http://schemas.openxmlformats.org/officeDocument/2006/relationships/hyperlink" Target="http://www.sec.gov/cgi-bin/browse-edgar?action=getcompany&amp;CIK=0001674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2026-01-05T16:32:25Z</dcterms:created>
  <dcterms:modified xsi:type="dcterms:W3CDTF">2026-01-05T16:32:25Z</dcterms:modified>
</cp:coreProperties>
</file>