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Ashland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S. Winter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Investments LLC, 9 West 57th Street, 47th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821-1600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Millstone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Investments LLC, 9 West 57th Street, 47th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821-1600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Kyle A. Harris,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Cleary Gottlieb Steen &amp; Hamilton LLP, One Liberty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225-2000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 GP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Latitude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3,115,001.00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3,115,001.00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3,115,001.00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6.803 %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Latitude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6.803 %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S. Winter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J. Millstone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9" w:orient="portrait"/>
          <w:cols w:equalWidth="0" w:num="1">
            <w:col w:w="11160"/>
          </w:cols>
          <w:pgMar w:left="360" w:top="18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3,115,001.00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49" w:orient="portrait"/>
          <w:cols w:equalWidth="0" w:num="2">
            <w:col w:w="1060" w:space="60"/>
            <w:col w:w="10040"/>
          </w:cols>
          <w:pgMar w:left="360" w:top="18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Ashland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8145 Blazer Drive, Wilmington, DELAWARE , 19808.</w:t>
      </w:r>
    </w:p>
    <w:p>
      <w:pPr>
        <w:spacing w:after="0" w:line="20"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Persons with the U.S. Securities and Exchange Commission (the "SEC") on December 1, 2025 (the "Initial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relating to their beneficial ownership in Ashland Inc. (the "Issuer"). Except to the extent set forth in this Amendment,</w:t>
      </w:r>
    </w:p>
    <w:p>
      <w:pPr>
        <w:sectPr>
          <w:pgSz w:w="11900" w:h="16949" w:orient="portrait"/>
          <w:cols w:equalWidth="0" w:num="1">
            <w:col w:w="11160"/>
          </w:cols>
          <w:pgMar w:left="360" w:top="189" w:right="379" w:bottom="0" w:gutter="0" w:footer="0" w:header="0"/>
          <w:type w:val="continuous"/>
        </w:sectPr>
      </w:pPr>
    </w:p>
    <w:bookmarkStart w:id="6" w:name="page7"/>
    <w:bookmarkEnd w:id="6"/>
    <w:p>
      <w:pPr>
        <w:jc w:val="both"/>
        <w:ind w:left="960"/>
        <w:spacing w:after="0" w:line="238" w:lineRule="auto"/>
        <w:rPr>
          <w:sz w:val="20"/>
          <w:szCs w:val="20"/>
          <w:color w:val="auto"/>
        </w:rPr>
      </w:pPr>
      <w:r>
        <w:rPr>
          <w:rFonts w:ascii="Times New Roman" w:cs="Times New Roman" w:eastAsia="Times New Roman" w:hAnsi="Times New Roman"/>
          <w:sz w:val="22"/>
          <w:szCs w:val="22"/>
          <w:color w:val="auto"/>
        </w:rPr>
        <w:t>all information disclosed in the Initial 13D remains unchanged. Capitalized terms not defined in this Amendment shall have the respective meanings ascribed to them in the Initial 13D. This Amendment is being filed to reflect an increase in the number of Shares that the Reporting Persons may beneficially own of greater than 1% of the total number of Shares outstanding. The information set forth in this Amendment is current as of 4:00 p.m., New York City time, on May 5, 2026.</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0"/>
        <w:spacing w:after="0" w:line="236" w:lineRule="auto"/>
        <w:rPr>
          <w:sz w:val="20"/>
          <w:szCs w:val="20"/>
          <w:color w:val="auto"/>
        </w:rPr>
      </w:pPr>
      <w:r>
        <w:rPr>
          <w:rFonts w:ascii="Times New Roman" w:cs="Times New Roman" w:eastAsia="Times New Roman" w:hAnsi="Times New Roman"/>
          <w:sz w:val="22"/>
          <w:szCs w:val="22"/>
          <w:color w:val="auto"/>
        </w:rPr>
        <w:t>Item 3 is amended and supplemented by adding the following: The Shares reported in this Amendment were purchased by Standard Latitude Master in open market purchases using its working capital. The total purchase price for the Shares reported herein was $158,607,287.24, including brokerage commissions. All or part of the Shares owned by the Reporting Persons may from time to time be pledged with one or more banking institutions or brokerage firms as collateral for loans made by such bank(s) or brokerage firm(s) to the Reporting Persons. Such indebtedness may be refinanced with other banks or broker dealers.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Item 4 is amended and supplemented by adding the following: The Reporting Persons acquired additional Shares as disclosed in Item 5(c) below because they believe the Shares represent an attractive investment opportunity.</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Item 5(a) is amended and supplemented by adding the following: See rows (11) and (13) of the cover pages to this Amendment for the aggregate number of Shares and percentage of the Shares beneficially owned by each of the Reporting Persons. The aggregate percentage of Shares reported beneficially owned by each of the Reporting Persons</w:t>
      </w:r>
    </w:p>
    <w:p>
      <w:pPr>
        <w:spacing w:after="0" w:line="1" w:lineRule="exact"/>
        <w:rPr>
          <w:sz w:val="20"/>
          <w:szCs w:val="20"/>
          <w:color w:val="auto"/>
        </w:rPr>
      </w:pPr>
    </w:p>
    <w:p>
      <w:pPr>
        <w:ind w:left="920" w:right="200" w:hanging="912"/>
        <w:spacing w:after="0" w:line="203"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 based upon 45,787,777 Shares outstanding, as of March 31, 2026, as reported in the Issuer's Quarterly Report on Form 10-Q filed with the SEC on April 29, 2026. The filing of this Amendment shall not be deemed an admission that any Reporting Person is, for purposes of Section 13(d) of the Securities Exchange Act of 1934, as amended, the beneficial owner of any securities of the Issuer that he or it does not directly own. Each of the Reporting Persons specifically disclaims beneficial ownership of the securities reported herein that he or it does not directly own.</w:t>
      </w:r>
    </w:p>
    <w:p>
      <w:pPr>
        <w:spacing w:after="0" w:line="19"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5(b) is amended and supplemented by adding the following: See rows (7) through (10) of the cover pages to this</w:t>
      </w:r>
    </w:p>
    <w:p>
      <w:pPr>
        <w:spacing w:after="0" w:line="25" w:lineRule="exact"/>
        <w:rPr>
          <w:rFonts w:ascii="Times New Roman" w:cs="Times New Roman" w:eastAsia="Times New Roman" w:hAnsi="Times New Roman"/>
          <w:sz w:val="42"/>
          <w:szCs w:val="42"/>
          <w:color w:val="auto"/>
          <w:vertAlign w:val="subscript"/>
        </w:rPr>
      </w:pPr>
    </w:p>
    <w:p>
      <w:pPr>
        <w:ind w:left="920" w:right="5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for the number of Shares as to which each Reporting Person has the sole or shared power to vote or direct the vote and the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is amended and supplemented by adding the following: Information concerning transactions in the Shares</w:t>
      </w:r>
    </w:p>
    <w:p>
      <w:pPr>
        <w:spacing w:after="0" w:line="14" w:lineRule="exact"/>
        <w:rPr>
          <w:rFonts w:ascii="Times New Roman" w:cs="Times New Roman" w:eastAsia="Times New Roman" w:hAnsi="Times New Roman"/>
          <w:sz w:val="22"/>
          <w:szCs w:val="22"/>
          <w:color w:val="auto"/>
        </w:rPr>
      </w:pPr>
    </w:p>
    <w:p>
      <w:pPr>
        <w:ind w:left="920" w:right="2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effected by the Reporting Persons during the past sixty (60) days is set forth in Schedule 1 attached hereto and is incorporated herein by reference. Except as otherwise noted, all of the transactions in the Shares listed therein were effected in the open market through various brokerage entities.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Item 5(d) is amended and supplemented by adding the following: No persons other than the Reporting Persons have</w:t>
      </w:r>
    </w:p>
    <w:p>
      <w:pPr>
        <w:spacing w:after="0" w:line="14" w:lineRule="exact"/>
        <w:rPr>
          <w:rFonts w:ascii="Times New Roman" w:cs="Times New Roman" w:eastAsia="Times New Roman" w:hAnsi="Times New Roman"/>
          <w:sz w:val="42"/>
          <w:szCs w:val="42"/>
          <w:color w:val="auto"/>
          <w:vertAlign w:val="subscript"/>
        </w:rPr>
      </w:pPr>
    </w:p>
    <w:p>
      <w:pPr>
        <w:ind w:left="920" w:right="2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the Shares reported in this Amendment.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48" w:lineRule="auto"/>
        <w:rPr>
          <w:sz w:val="20"/>
          <w:szCs w:val="20"/>
          <w:color w:val="auto"/>
        </w:rPr>
      </w:pPr>
      <w:r>
        <w:rPr>
          <w:rFonts w:ascii="Times New Roman" w:cs="Times New Roman" w:eastAsia="Times New Roman" w:hAnsi="Times New Roman"/>
          <w:sz w:val="21"/>
          <w:szCs w:val="21"/>
          <w:color w:val="auto"/>
        </w:rPr>
        <w:t>Item 6 is amended and supplemented by adding the following: Concurrently with the Share purchases disclosed in Item 5(c), Standard Latitude Master terminated early a portion of the Total Return Swaps, which terminated portion covered an aggregate of 490,000 Shares (representing 1.07% of the Shares of the Issuer) (the "Swap Early Terminations"). These Swap Early Terminations have no effect on the number of shares beneficially owned by Standard Latitude Master. Following the Share purchases described in Item 5(c) above and the Swap Early Terminations described herein, the Reporting Persons have economic exposure to the Issuer, when the remaining Total Return Swaps and beneficially owned Shares are combined, of approximately 9.89% of the Shares outstanding.</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20"/>
        <w:spacing w:after="0" w:line="258" w:lineRule="auto"/>
        <w:rPr>
          <w:sz w:val="20"/>
          <w:szCs w:val="20"/>
          <w:color w:val="auto"/>
        </w:rPr>
      </w:pPr>
      <w:r>
        <w:rPr>
          <w:rFonts w:ascii="Times New Roman" w:cs="Times New Roman" w:eastAsia="Times New Roman" w:hAnsi="Times New Roman"/>
          <w:sz w:val="22"/>
          <w:szCs w:val="22"/>
          <w:color w:val="auto"/>
        </w:rPr>
        <w:t>Exhibit 99.1* - Joint Filing Agreement by and among the Reporting Persons, dated December 1, 2025. * Previously filed.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Standard Investments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David S. Winter,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David J. Millstone, Managing Member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SI GP III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David S. Winter, Principal</w:t>
      </w:r>
    </w:p>
    <w:p>
      <w:pPr>
        <w:sectPr>
          <w:pgSz w:w="11900" w:h="16838" w:orient="portrait"/>
          <w:cols w:equalWidth="0" w:num="1">
            <w:col w:w="11160"/>
          </w:cols>
          <w:pgMar w:left="360" w:top="111" w:right="379" w:bottom="0" w:gutter="0" w:footer="0" w:header="0"/>
        </w:sectPr>
      </w:pPr>
    </w:p>
    <w:bookmarkStart w:id="7" w:name="page8"/>
    <w:bookmarkEnd w:id="7"/>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3"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David J. Millstone, Principal</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Standard Latitude Master Fund Ltd.</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David S. Winter, Director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J. Millstone, Director</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Standard Latitude Fund LP</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David S. Winter</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David S. Winter, Principal of SI GP III LLC,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05/06/2026</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David J. Millstone</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David J. Millstone, Principal of SI GP III LLC,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05/06/2026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David S. Winter</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David S. Winter, Individually</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David J. Millstone</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J. Millstone, Individually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ectPr>
          <w:pgSz w:w="11900" w:h="16838" w:orient="portrait"/>
          <w:cols w:equalWidth="0" w:num="1">
            <w:col w:w="10000"/>
          </w:cols>
          <w:pgMar w:left="1440" w:top="111" w:right="459" w:bottom="1440" w:gutter="0" w:footer="0" w:header="0"/>
        </w:sectPr>
      </w:pPr>
    </w:p>
    <w:bookmarkStart w:id="8" w:name="page9"/>
    <w:bookmarkEnd w:id="8"/>
    <w:p>
      <w:pPr>
        <w:ind w:left="10420"/>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TRANSACTIONS IN THE SHARES OF COMMON STOCK OF THE ISSUER BY THE REPORTING PERSONS DURING THE PAST SIXTY DAYS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all transactions with respect to the Shares of the Issuer effected during the past sixty (60) days by the Reporting Persons, inclusive of any transactions effected through 4:00 p.m., New York City time, on May 5, 2026. Except as noted below, all such transactions were effected in the open market through brokers and the price per share excludes commissions. Where a price range is provided in the column titled “Price Range ($)”, the price reported in the column titled “Price Per Share ($)” is a weighted average price. These Shares were sold or purchased in multiple transactions at prices between the price ranges indicated in the column titled “Price Range ($)”. The Reporting Persons undertake to provide, upon request of the staff of the Securities and Exchange Commission, full information regarding the number of Shares purchased or sold at each separate price within the price ranges set forth on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980" w:type="dxa"/>
            <w:vAlign w:val="bottom"/>
          </w:tcPr>
          <w:p>
            <w:pPr>
              <w:spacing w:after="0"/>
              <w:rPr>
                <w:sz w:val="18"/>
                <w:szCs w:val="18"/>
                <w:color w:val="auto"/>
              </w:rPr>
            </w:pPr>
          </w:p>
        </w:tc>
      </w:tr>
      <w:tr>
        <w:trPr>
          <w:trHeight w:val="238"/>
        </w:trPr>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Reporting Person Effecting Transaction</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w:t>
            </w: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04/14/2026</w:t>
            </w:r>
          </w:p>
        </w:tc>
        <w:tc>
          <w:tcPr>
            <w:tcW w:w="22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2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55.9900</w:t>
            </w:r>
          </w:p>
        </w:tc>
        <w:tc>
          <w:tcPr>
            <w:tcW w:w="2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55.9900 – 55.9900</w:t>
            </w: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04/30/2026</w:t>
            </w:r>
          </w:p>
        </w:tc>
        <w:tc>
          <w:tcPr>
            <w:tcW w:w="220" w:type="dxa"/>
            <w:vAlign w:val="bottom"/>
          </w:tcPr>
          <w:p>
            <w:pPr>
              <w:spacing w:after="0"/>
              <w:rPr>
                <w:sz w:val="18"/>
                <w:szCs w:val="18"/>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51.7631</w:t>
            </w:r>
          </w:p>
        </w:tc>
        <w:tc>
          <w:tcPr>
            <w:tcW w:w="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49.8700 – 52.8500</w:t>
            </w: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05/01/2026</w:t>
            </w:r>
          </w:p>
        </w:tc>
        <w:tc>
          <w:tcPr>
            <w:tcW w:w="2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52.3060</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51.3700 – 52.9750</w:t>
            </w: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05/04/2026</w:t>
            </w:r>
          </w:p>
        </w:tc>
        <w:tc>
          <w:tcPr>
            <w:tcW w:w="220" w:type="dxa"/>
            <w:vAlign w:val="bottom"/>
          </w:tcPr>
          <w:p>
            <w:pPr>
              <w:spacing w:after="0"/>
              <w:rPr>
                <w:sz w:val="18"/>
                <w:szCs w:val="18"/>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52.3827</w:t>
            </w:r>
          </w:p>
        </w:tc>
        <w:tc>
          <w:tcPr>
            <w:tcW w:w="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51.5500 – 53.3900</w:t>
            </w: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05/05/2026</w:t>
            </w:r>
          </w:p>
        </w:tc>
        <w:tc>
          <w:tcPr>
            <w:tcW w:w="2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52.3371</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51.9300 – 52.8600</w:t>
            </w:r>
          </w:p>
        </w:tc>
      </w:tr>
      <w:tr>
        <w:trPr>
          <w:trHeight w:val="675"/>
        </w:trPr>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2026-05-06T18:15:50Z</dcterms:created>
  <dcterms:modified xsi:type="dcterms:W3CDTF">2026-05-06T18:15:50Z</dcterms:modified>
</cp:coreProperties>
</file>