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98425</wp:posOffset>
            </wp:positionV>
            <wp:extent cx="1748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127000</wp:posOffset>
            </wp:positionV>
            <wp:extent cx="1748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370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3734435</wp:posOffset>
            </wp:positionH>
            <wp:positionV relativeFrom="paragraph">
              <wp:posOffset>-10160</wp:posOffset>
            </wp:positionV>
            <wp:extent cx="1059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333-211719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ASHLAND GLOBAL HOLDINGS INC.</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No. 81-2587835</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8145 Blazer Drive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(302) 995-3000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0"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080" w:type="dxa"/>
            <w:vAlign w:val="bottom"/>
            <w:gridSpan w:val="2"/>
          </w:tcPr>
          <w:p>
            <w:pPr>
              <w:jc w:val="center"/>
              <w:ind w:right="1040"/>
              <w:spacing w:after="0"/>
              <w:rPr>
                <w:sz w:val="20"/>
                <w:szCs w:val="20"/>
                <w:color w:val="auto"/>
              </w:rPr>
            </w:pPr>
            <w:r>
              <w:rPr>
                <w:rFonts w:ascii="Arial" w:cs="Arial" w:eastAsia="Arial" w:hAnsi="Arial"/>
                <w:sz w:val="14"/>
                <w:szCs w:val="14"/>
                <w:color w:val="auto"/>
                <w:w w:val="92"/>
              </w:rPr>
              <w:t>Title of each class</w:t>
            </w:r>
          </w:p>
        </w:tc>
        <w:tc>
          <w:tcPr>
            <w:tcW w:w="1720" w:type="dxa"/>
            <w:vAlign w:val="bottom"/>
          </w:tcPr>
          <w:p>
            <w:pPr>
              <w:spacing w:after="0"/>
              <w:rPr>
                <w:sz w:val="14"/>
                <w:szCs w:val="14"/>
                <w:color w:val="auto"/>
              </w:rPr>
            </w:pPr>
          </w:p>
        </w:tc>
        <w:tc>
          <w:tcPr>
            <w:tcW w:w="2940" w:type="dxa"/>
            <w:vAlign w:val="bottom"/>
            <w:gridSpan w:val="2"/>
          </w:tcPr>
          <w:p>
            <w:pPr>
              <w:jc w:val="center"/>
              <w:ind w:right="2000"/>
              <w:spacing w:after="0"/>
              <w:rPr>
                <w:sz w:val="20"/>
                <w:szCs w:val="20"/>
                <w:color w:val="auto"/>
              </w:rPr>
            </w:pPr>
            <w:r>
              <w:rPr>
                <w:rFonts w:ascii="Arial" w:cs="Arial" w:eastAsia="Arial" w:hAnsi="Arial"/>
                <w:sz w:val="14"/>
                <w:szCs w:val="14"/>
                <w:color w:val="auto"/>
                <w:w w:val="95"/>
              </w:rPr>
              <w:t>Trading Symbol</w:t>
            </w:r>
          </w:p>
        </w:tc>
        <w:tc>
          <w:tcPr>
            <w:tcW w:w="254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50"/>
        </w:trPr>
        <w:tc>
          <w:tcPr>
            <w:tcW w:w="30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Common Stock, par value $.01 per share</w:t>
            </w:r>
          </w:p>
        </w:tc>
        <w:tc>
          <w:tcPr>
            <w:tcW w:w="1720" w:type="dxa"/>
            <w:vAlign w:val="bottom"/>
          </w:tcPr>
          <w:p>
            <w:pPr>
              <w:spacing w:after="0"/>
              <w:rPr>
                <w:sz w:val="21"/>
                <w:szCs w:val="21"/>
                <w:color w:val="auto"/>
              </w:rPr>
            </w:pPr>
          </w:p>
        </w:tc>
        <w:tc>
          <w:tcPr>
            <w:tcW w:w="2940" w:type="dxa"/>
            <w:vAlign w:val="bottom"/>
            <w:gridSpan w:val="2"/>
          </w:tcPr>
          <w:p>
            <w:pPr>
              <w:jc w:val="center"/>
              <w:ind w:right="1980"/>
              <w:spacing w:after="0"/>
              <w:rPr>
                <w:sz w:val="20"/>
                <w:szCs w:val="20"/>
                <w:color w:val="auto"/>
              </w:rPr>
            </w:pPr>
            <w:r>
              <w:rPr>
                <w:rFonts w:ascii="Arial" w:cs="Arial" w:eastAsia="Arial" w:hAnsi="Arial"/>
                <w:sz w:val="18"/>
                <w:szCs w:val="18"/>
                <w:color w:val="auto"/>
                <w:w w:val="97"/>
              </w:rPr>
              <w:t>ASH</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64"/>
        </w:trPr>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60" w:type="dxa"/>
            <w:vAlign w:val="bottom"/>
            <w:gridSpan w:val="3"/>
          </w:tcPr>
          <w:p>
            <w:pPr>
              <w:jc w:val="center"/>
              <w:ind w:right="300"/>
              <w:spacing w:after="0"/>
              <w:rPr>
                <w:sz w:val="20"/>
                <w:szCs w:val="20"/>
                <w:color w:val="auto"/>
              </w:rPr>
            </w:pPr>
            <w:r>
              <w:rPr>
                <w:rFonts w:ascii="Arial" w:cs="Arial" w:eastAsia="Arial" w:hAnsi="Arial"/>
                <w:sz w:val="16"/>
                <w:szCs w:val="16"/>
                <w:color w:val="auto"/>
                <w:w w:val="92"/>
              </w:rPr>
              <w:t>Securities Registered Pursuant to Section 12(g) of the Act: None</w:t>
            </w:r>
          </w:p>
        </w:tc>
        <w:tc>
          <w:tcPr>
            <w:tcW w:w="2540" w:type="dxa"/>
            <w:vAlign w:val="bottom"/>
          </w:tcPr>
          <w:p>
            <w:pPr>
              <w:spacing w:after="0"/>
              <w:rPr>
                <w:sz w:val="22"/>
                <w:szCs w:val="22"/>
                <w:color w:val="auto"/>
              </w:rPr>
            </w:pPr>
          </w:p>
        </w:tc>
      </w:tr>
    </w:tbl>
    <w:p>
      <w:pPr>
        <w:spacing w:after="0" w:line="12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20" w:firstLine="48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8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7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28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7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700" w:type="dxa"/>
            <w:vAlign w:val="bottom"/>
          </w:tcPr>
          <w:p>
            <w:pPr>
              <w:ind w:left="178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jc w:val="both"/>
        <w:ind w:firstLine="48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480" w:right="13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March 31, 2020, there were 60,456,039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729615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u w:val="single" w:color="auto"/>
          <w:color w:val="auto"/>
        </w:rPr>
        <w:t>PART I - FINANCIAL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GLOBAL HOLDINGS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CONSOLIDATED COMPREHENSIVE INCOME (LOSS)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Three months ended</w:t>
            </w:r>
          </w:p>
        </w:tc>
        <w:tc>
          <w:tcPr>
            <w:tcW w:w="5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4"/>
          </w:tcPr>
          <w:p>
            <w:pPr>
              <w:jc w:val="right"/>
              <w:ind w:right="27"/>
              <w:spacing w:after="0"/>
              <w:rPr>
                <w:sz w:val="20"/>
                <w:szCs w:val="20"/>
                <w:color w:val="auto"/>
              </w:rPr>
            </w:pPr>
            <w:r>
              <w:rPr>
                <w:rFonts w:ascii="Arial" w:cs="Arial" w:eastAsia="Arial" w:hAnsi="Arial"/>
                <w:sz w:val="18"/>
                <w:szCs w:val="18"/>
                <w:color w:val="auto"/>
              </w:rPr>
              <w:t>Six months ended</w:t>
            </w:r>
          </w:p>
        </w:tc>
        <w:tc>
          <w:tcPr>
            <w:tcW w:w="640" w:type="dxa"/>
            <w:vAlign w:val="bottom"/>
            <w:tcBorders>
              <w:top w:val="single" w:sz="8" w:color="auto"/>
            </w:tcBorders>
          </w:tcPr>
          <w:p>
            <w:pPr>
              <w:spacing w:after="0"/>
              <w:rPr>
                <w:sz w:val="21"/>
                <w:szCs w:val="21"/>
                <w:color w:val="auto"/>
              </w:rPr>
            </w:pPr>
          </w:p>
        </w:tc>
      </w:tr>
      <w:tr>
        <w:trPr>
          <w:trHeight w:val="230"/>
        </w:trPr>
        <w:tc>
          <w:tcPr>
            <w:tcW w:w="5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8"/>
                <w:szCs w:val="18"/>
                <w:color w:val="auto"/>
              </w:rPr>
              <w:t>March 31</w:t>
            </w:r>
          </w:p>
        </w:tc>
        <w:tc>
          <w:tcPr>
            <w:tcW w:w="640" w:type="dxa"/>
            <w:vAlign w:val="bottom"/>
            <w:tcBorders>
              <w:bottom w:val="single" w:sz="8" w:color="auto"/>
            </w:tcBorders>
          </w:tcPr>
          <w:p>
            <w:pPr>
              <w:spacing w:after="0"/>
              <w:rPr>
                <w:sz w:val="20"/>
                <w:szCs w:val="20"/>
                <w:color w:val="auto"/>
              </w:rPr>
            </w:pPr>
          </w:p>
        </w:tc>
      </w:tr>
      <w:tr>
        <w:trPr>
          <w:trHeight w:val="223"/>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except per share data - unaudited)</w:t>
            </w: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8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610</w:t>
            </w:r>
          </w:p>
        </w:tc>
        <w:tc>
          <w:tcPr>
            <w:tcW w:w="8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1,143</w:t>
            </w: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1,243</w:t>
            </w:r>
          </w:p>
        </w:tc>
      </w:tr>
      <w:tr>
        <w:trPr>
          <w:trHeight w:val="229"/>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413</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469</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793</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893</w:t>
            </w: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350</w:t>
            </w:r>
          </w:p>
        </w:tc>
      </w:tr>
      <w:tr>
        <w:trPr>
          <w:trHeight w:val="229"/>
        </w:trPr>
        <w:tc>
          <w:tcPr>
            <w:tcW w:w="5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236</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Intangibles amortization expense</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Equity and other income (loss)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 - Note G</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r>
      <w:tr>
        <w:trPr>
          <w:trHeight w:val="230"/>
        </w:trPr>
        <w:tc>
          <w:tcPr>
            <w:tcW w:w="5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Net interest and other expense (income)</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net periodic benefit income (expense)</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Net income (loss) on divestitures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5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5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5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Basic earnings per share - Note M</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(loss) from continuing operations</w:t>
            </w:r>
          </w:p>
        </w:tc>
        <w:tc>
          <w:tcPr>
            <w:tcW w:w="8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8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0.72</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r>
      <w:tr>
        <w:trPr>
          <w:trHeight w:val="230"/>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(loss) from discontinued operations</w:t>
            </w:r>
          </w:p>
        </w:tc>
        <w:tc>
          <w:tcPr>
            <w:tcW w:w="5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0.49</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0.86</w:t>
            </w: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5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0.45</w:t>
            </w: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5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 Note M</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Income (loss) from continuing operations</w:t>
            </w: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(9.48)</w:t>
            </w:r>
          </w:p>
        </w:tc>
        <w:tc>
          <w:tcPr>
            <w:tcW w:w="8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14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(8.93)</w:t>
            </w:r>
          </w:p>
        </w:tc>
        <w:tc>
          <w:tcPr>
            <w:tcW w:w="140" w:type="dxa"/>
            <w:vAlign w:val="bottom"/>
          </w:tcPr>
          <w:p>
            <w:pPr>
              <w:spacing w:after="0"/>
              <w:rPr>
                <w:sz w:val="19"/>
                <w:szCs w:val="19"/>
                <w:color w:val="auto"/>
              </w:rPr>
            </w:pPr>
          </w:p>
        </w:tc>
        <w:tc>
          <w:tcPr>
            <w:tcW w:w="620" w:type="dxa"/>
            <w:vAlign w:val="bottom"/>
            <w:gridSpan w:val="2"/>
          </w:tcPr>
          <w:p>
            <w:pPr>
              <w:jc w:val="right"/>
              <w:ind w:right="44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(loss) from discontinued operations</w:t>
            </w:r>
          </w:p>
        </w:tc>
        <w:tc>
          <w:tcPr>
            <w:tcW w:w="5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0.86</w:t>
            </w:r>
          </w:p>
        </w:tc>
      </w:tr>
      <w:tr>
        <w:trPr>
          <w:trHeight w:val="26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(loss)</w:t>
            </w:r>
          </w:p>
        </w:tc>
        <w:tc>
          <w:tcPr>
            <w:tcW w:w="5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0.45</w:t>
            </w:r>
          </w:p>
        </w:tc>
      </w:tr>
      <w:tr>
        <w:trPr>
          <w:trHeight w:val="210"/>
        </w:trPr>
        <w:tc>
          <w:tcPr>
            <w:tcW w:w="5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8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translation gain (loss)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Pension and postretirement obligation adjustment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2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5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5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right="42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CONDENSED CONSOLIDATED BALANCE SHEETS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color w:val="auto"/>
              </w:rPr>
              <w:t>March 31</w:t>
            </w: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5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millions - unaudited)</w:t>
            </w:r>
          </w:p>
        </w:tc>
        <w:tc>
          <w:tcPr>
            <w:tcW w:w="2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03"/>
        </w:trPr>
        <w:tc>
          <w:tcPr>
            <w:tcW w:w="68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1"/>
              </w:rPr>
              <w:t>ASSETS</w:t>
            </w:r>
          </w:p>
        </w:tc>
        <w:tc>
          <w:tcPr>
            <w:tcW w:w="4740" w:type="dxa"/>
            <w:vAlign w:val="bottom"/>
            <w:tcBorders>
              <w:bottom w:val="single" w:sz="8" w:color="CFF0FC"/>
            </w:tcBorders>
            <w:gridSpan w:val="2"/>
            <w:shd w:val="clear" w:color="auto" w:fill="CFF0FC"/>
          </w:tcPr>
          <w:p>
            <w:pPr>
              <w:spacing w:after="0"/>
              <w:rPr>
                <w:sz w:val="17"/>
                <w:szCs w:val="17"/>
                <w:color w:val="auto"/>
              </w:rPr>
            </w:pPr>
          </w:p>
        </w:tc>
        <w:tc>
          <w:tcPr>
            <w:tcW w:w="23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353</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232</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481</w:t>
            </w: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 - Note F</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597</w:t>
            </w:r>
          </w:p>
        </w:tc>
      </w:tr>
      <w:tr>
        <w:trPr>
          <w:trHeight w:val="229"/>
        </w:trPr>
        <w:tc>
          <w:tcPr>
            <w:tcW w:w="54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assets held for sale - Note B</w:t>
            </w:r>
          </w:p>
        </w:tc>
        <w:tc>
          <w:tcPr>
            <w:tcW w:w="2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r>
      <w:tr>
        <w:trPr>
          <w:trHeight w:val="223"/>
        </w:trPr>
        <w:tc>
          <w:tcPr>
            <w:tcW w:w="5420" w:type="dxa"/>
            <w:vAlign w:val="bottom"/>
            <w:gridSpan w:val="3"/>
          </w:tcPr>
          <w:p>
            <w:pPr>
              <w:ind w:left="260"/>
              <w:spacing w:after="0"/>
              <w:rPr>
                <w:sz w:val="20"/>
                <w:szCs w:val="20"/>
                <w:color w:val="auto"/>
              </w:rPr>
            </w:pPr>
            <w:r>
              <w:rPr>
                <w:rFonts w:ascii="Arial" w:cs="Arial" w:eastAsia="Arial" w:hAnsi="Arial"/>
                <w:sz w:val="18"/>
                <w:szCs w:val="18"/>
                <w:color w:val="auto"/>
              </w:rPr>
              <w:t>Total current assets</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1,645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1,433</w:t>
            </w: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assets</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9"/>
        </w:trPr>
        <w:tc>
          <w:tcPr>
            <w:tcW w:w="542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Cost</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3,172</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3,165</w:t>
            </w:r>
          </w:p>
        </w:tc>
      </w:tr>
      <w:tr>
        <w:trPr>
          <w:trHeight w:val="230"/>
        </w:trPr>
        <w:tc>
          <w:tcPr>
            <w:tcW w:w="54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Accumulated depreciation</w:t>
            </w:r>
          </w:p>
        </w:tc>
        <w:tc>
          <w:tcPr>
            <w:tcW w:w="2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1,608</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1,588</w:t>
            </w:r>
          </w:p>
        </w:tc>
      </w:tr>
      <w:tr>
        <w:trPr>
          <w:trHeight w:val="223"/>
        </w:trPr>
        <w:tc>
          <w:tcPr>
            <w:tcW w:w="54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property, plant and equipment</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1,577</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Goodwill - Note G</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1,723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2,253</w:t>
            </w: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Intangibles - Note G</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1,088</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Operating lease assets, net - Note I</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Restricted investments - Note E</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310</w:t>
            </w:r>
          </w:p>
        </w:tc>
      </w:tr>
      <w:tr>
        <w:trPr>
          <w:trHeight w:val="229"/>
        </w:trPr>
        <w:tc>
          <w:tcPr>
            <w:tcW w:w="5420" w:type="dxa"/>
            <w:vAlign w:val="bottom"/>
            <w:gridSpan w:val="3"/>
          </w:tcPr>
          <w:p>
            <w:pPr>
              <w:spacing w:after="0"/>
              <w:rPr>
                <w:sz w:val="20"/>
                <w:szCs w:val="20"/>
                <w:color w:val="auto"/>
              </w:rPr>
            </w:pPr>
            <w:r>
              <w:rPr>
                <w:rFonts w:ascii="Arial" w:cs="Arial" w:eastAsia="Arial" w:hAnsi="Arial"/>
                <w:sz w:val="18"/>
                <w:szCs w:val="18"/>
                <w:color w:val="auto"/>
              </w:rPr>
              <w:t>Asbestos insurance receivable - Note L</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r>
        <w:trPr>
          <w:trHeight w:val="229"/>
        </w:trPr>
        <w:tc>
          <w:tcPr>
            <w:tcW w:w="54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assets</w:t>
            </w:r>
          </w:p>
        </w:tc>
        <w:tc>
          <w:tcPr>
            <w:tcW w:w="2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w:t>
            </w:r>
          </w:p>
        </w:tc>
      </w:tr>
      <w:tr>
        <w:trPr>
          <w:trHeight w:val="223"/>
        </w:trPr>
        <w:tc>
          <w:tcPr>
            <w:tcW w:w="54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noncurrent assets</w:t>
            </w:r>
          </w:p>
        </w:tc>
        <w:tc>
          <w:tcPr>
            <w:tcW w:w="2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5,323</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5,818</w:t>
            </w:r>
          </w:p>
        </w:tc>
      </w:tr>
      <w:tr>
        <w:trPr>
          <w:trHeight w:val="263"/>
        </w:trPr>
        <w:tc>
          <w:tcPr>
            <w:tcW w:w="54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230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6,968</w:t>
            </w:r>
          </w:p>
        </w:tc>
        <w:tc>
          <w:tcPr>
            <w:tcW w:w="1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7,251</w:t>
            </w:r>
          </w:p>
        </w:tc>
      </w:tr>
      <w:tr>
        <w:trPr>
          <w:trHeight w:val="210"/>
        </w:trPr>
        <w:tc>
          <w:tcPr>
            <w:tcW w:w="6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12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189"/>
        </w:trPr>
        <w:tc>
          <w:tcPr>
            <w:tcW w:w="54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2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Short-term debt - Note H</w:t>
            </w:r>
          </w:p>
        </w:tc>
        <w:tc>
          <w:tcPr>
            <w:tcW w:w="276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166</w:t>
            </w: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313</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271</w:t>
            </w: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operating lease obligations - Note I</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Current liabilities held for sale - Note B</w:t>
            </w:r>
          </w:p>
        </w:tc>
        <w:tc>
          <w:tcPr>
            <w:tcW w:w="2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23"/>
        </w:trPr>
        <w:tc>
          <w:tcPr>
            <w:tcW w:w="54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972</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757</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Noncurrent liabilities</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Long-term debt - Note H</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1,501</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Asbestos litigation reserve - Note L</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555</w:t>
            </w: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264</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Employee benefit obligations - Note K</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150</w:t>
            </w: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 obligations - Note I</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liabilities</w:t>
            </w:r>
          </w:p>
        </w:tc>
        <w:tc>
          <w:tcPr>
            <w:tcW w:w="2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416</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w:t>
            </w:r>
          </w:p>
        </w:tc>
      </w:tr>
      <w:tr>
        <w:trPr>
          <w:trHeight w:val="223"/>
        </w:trPr>
        <w:tc>
          <w:tcPr>
            <w:tcW w:w="54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noncurrent liabilities</w:t>
            </w:r>
          </w:p>
        </w:tc>
        <w:tc>
          <w:tcPr>
            <w:tcW w:w="2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3,013</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2,923</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Commitments and contingencies - Note L</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2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2,983</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3,571</w:t>
            </w:r>
          </w:p>
        </w:tc>
      </w:tr>
      <w:tr>
        <w:trPr>
          <w:trHeight w:val="223"/>
        </w:trPr>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76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6,968</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7,251</w:t>
            </w:r>
          </w:p>
        </w:tc>
      </w:tr>
      <w:tr>
        <w:trPr>
          <w:trHeight w:val="20"/>
        </w:trPr>
        <w:tc>
          <w:tcPr>
            <w:tcW w:w="68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312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Accounts receivable includes an allowance for doubtful accounts of $3 million at both March 31, 2020 and September 30, 2019.</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right="42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STATEMENT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2"/>
              </w:rPr>
              <w:t>Accumulated</w:t>
            </w:r>
          </w:p>
        </w:tc>
        <w:tc>
          <w:tcPr>
            <w:tcW w:w="2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30"/>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7"/>
              </w:rPr>
              <w:t>other</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16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Common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w w:val="99"/>
              </w:rPr>
              <w:t>Paid-in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32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9"/>
              </w:rPr>
              <w:t>income (loss)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stock</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capital</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earnings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(a)</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2019</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3,224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3,571</w:t>
            </w: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5160" w:type="dxa"/>
            <w:vAlign w:val="bottom"/>
          </w:tcPr>
          <w:p>
            <w:pPr>
              <w:ind w:left="50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Regular dividends, $0.550 per common share</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4"/>
              </w:rPr>
              <w:t xml:space="preserve">Common shares issued under stock incentive and other plans </w:t>
            </w:r>
            <w:r>
              <w:rPr>
                <w:rFonts w:ascii="Arial" w:cs="Arial" w:eastAsia="Arial" w:hAnsi="Arial"/>
                <w:sz w:val="14"/>
                <w:szCs w:val="14"/>
                <w:color w:val="auto"/>
                <w:w w:val="94"/>
              </w:rPr>
              <w:t>(b)</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2,641</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2,983</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5"/>
        </w:trPr>
        <w:tc>
          <w:tcPr>
            <w:tcW w:w="5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bl>
    <w:p>
      <w:pPr>
        <w:spacing w:after="0" w:line="13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At March 31, 2020 and September 30, 2019, the after-tax accumulated other comprehensive loss of $424 million and $410 million, respectively, was each comprised of net unrealized translation losses of $422 million and $408 million, respectively, and unrecognized prior service costs of $2 million each.</w:t>
      </w:r>
    </w:p>
    <w:p>
      <w:pPr>
        <w:ind w:left="360" w:hanging="352"/>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Common shares issued were 279,025 for the six months ended March 31, 2020.</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 w:name="page5"/>
    <w:bookmarkEnd w:id="4"/>
    <w:p>
      <w:pPr>
        <w:ind w:right="4220"/>
        <w:spacing w:after="0" w:line="293" w:lineRule="auto"/>
        <w:rPr>
          <w:sz w:val="20"/>
          <w:szCs w:val="20"/>
          <w:color w:val="auto"/>
        </w:rPr>
      </w:pPr>
      <w:r>
        <w:rPr>
          <w:rFonts w:ascii="Arial" w:cs="Arial" w:eastAsia="Arial" w:hAnsi="Arial"/>
          <w:sz w:val="19"/>
          <w:szCs w:val="19"/>
          <w:b w:val="1"/>
          <w:bCs w:val="1"/>
          <w:color w:val="auto"/>
        </w:rPr>
        <w:t>ASHLAND GLOBAL HOLDINGS INC. AND CONSOLIDATED SUBSIDIARIES STATEMENTS OF CONDENSED CONSOLIDATED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9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3"/>
          </w:tcPr>
          <w:p>
            <w:pPr>
              <w:jc w:val="right"/>
              <w:ind w:right="284"/>
              <w:spacing w:after="0"/>
              <w:rPr>
                <w:sz w:val="20"/>
                <w:szCs w:val="20"/>
                <w:color w:val="auto"/>
              </w:rPr>
            </w:pPr>
            <w:r>
              <w:rPr>
                <w:rFonts w:ascii="Arial" w:cs="Arial" w:eastAsia="Arial" w:hAnsi="Arial"/>
                <w:sz w:val="16"/>
                <w:szCs w:val="16"/>
                <w:color w:val="auto"/>
              </w:rPr>
              <w:t>Six months ended</w:t>
            </w:r>
          </w:p>
        </w:tc>
        <w:tc>
          <w:tcPr>
            <w:tcW w:w="800" w:type="dxa"/>
            <w:vAlign w:val="bottom"/>
            <w:tcBorders>
              <w:top w:val="single" w:sz="8" w:color="auto"/>
            </w:tcBorders>
          </w:tcPr>
          <w:p>
            <w:pPr>
              <w:spacing w:after="0"/>
              <w:rPr>
                <w:sz w:val="19"/>
                <w:szCs w:val="19"/>
                <w:color w:val="auto"/>
              </w:rPr>
            </w:pPr>
          </w:p>
        </w:tc>
      </w:tr>
      <w:tr>
        <w:trPr>
          <w:trHeight w:val="216"/>
        </w:trPr>
        <w:tc>
          <w:tcPr>
            <w:tcW w:w="79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6"/>
                <w:szCs w:val="16"/>
                <w:color w:val="auto"/>
              </w:rPr>
              <w:t>March 31</w:t>
            </w:r>
          </w:p>
        </w:tc>
        <w:tc>
          <w:tcPr>
            <w:tcW w:w="800" w:type="dxa"/>
            <w:vAlign w:val="bottom"/>
            <w:tcBorders>
              <w:bottom w:val="single" w:sz="8" w:color="auto"/>
            </w:tcBorders>
          </w:tcPr>
          <w:p>
            <w:pPr>
              <w:spacing w:after="0"/>
              <w:rPr>
                <w:sz w:val="18"/>
                <w:szCs w:val="18"/>
                <w:color w:val="auto"/>
              </w:rPr>
            </w:pPr>
          </w:p>
        </w:tc>
      </w:tr>
      <w:tr>
        <w:trPr>
          <w:trHeight w:val="212"/>
        </w:trPr>
        <w:tc>
          <w:tcPr>
            <w:tcW w:w="7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 - unaudited)</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2019</w:t>
            </w:r>
          </w:p>
        </w:tc>
      </w:tr>
      <w:tr>
        <w:trPr>
          <w:trHeight w:val="199"/>
        </w:trPr>
        <w:tc>
          <w:tcPr>
            <w:tcW w:w="7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PROVIDED (USED) BY OPERATING ACTIVITIES FROM</w:t>
            </w: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16"/>
        </w:trPr>
        <w:tc>
          <w:tcPr>
            <w:tcW w:w="790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CONTINUING OPERATIONS</w:t>
            </w: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(550)</w:t>
            </w:r>
          </w:p>
        </w:tc>
        <w:tc>
          <w:tcPr>
            <w:tcW w:w="160" w:type="dxa"/>
            <w:vAlign w:val="bottom"/>
          </w:tcPr>
          <w:p>
            <w:pPr>
              <w:spacing w:after="0"/>
              <w:rPr>
                <w:sz w:val="18"/>
                <w:szCs w:val="18"/>
                <w:color w:val="auto"/>
              </w:rPr>
            </w:pPr>
          </w:p>
        </w:tc>
        <w:tc>
          <w:tcPr>
            <w:tcW w:w="800" w:type="dxa"/>
            <w:vAlign w:val="bottom"/>
          </w:tcPr>
          <w:p>
            <w:pPr>
              <w:jc w:val="right"/>
              <w:ind w:right="6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28</w:t>
            </w: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(loss) from discontinued operations (net of income taxes)</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Adjustments to reconcile income from continuing operations to</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cash flows from operating activities:</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790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5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163</w:t>
            </w:r>
          </w:p>
        </w:tc>
      </w:tr>
      <w:tr>
        <w:trPr>
          <w:trHeight w:val="219"/>
        </w:trPr>
        <w:tc>
          <w:tcPr>
            <w:tcW w:w="7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Original issue discount and debt issuance costs amortization</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r>
      <w:tr>
        <w:trPr>
          <w:trHeight w:val="213"/>
        </w:trPr>
        <w:tc>
          <w:tcPr>
            <w:tcW w:w="790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w:t>
            </w:r>
          </w:p>
        </w:tc>
      </w:tr>
      <w:tr>
        <w:trPr>
          <w:trHeight w:val="219"/>
        </w:trPr>
        <w:tc>
          <w:tcPr>
            <w:tcW w:w="7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 based compensation expense</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w:t>
            </w:r>
          </w:p>
        </w:tc>
      </w:tr>
      <w:tr>
        <w:trPr>
          <w:trHeight w:val="213"/>
        </w:trPr>
        <w:tc>
          <w:tcPr>
            <w:tcW w:w="7900" w:type="dxa"/>
            <w:vAlign w:val="bottom"/>
          </w:tcPr>
          <w:p>
            <w:pPr>
              <w:ind w:left="500"/>
              <w:spacing w:after="0"/>
              <w:rPr>
                <w:sz w:val="20"/>
                <w:szCs w:val="20"/>
                <w:color w:val="auto"/>
              </w:rPr>
            </w:pPr>
            <w:r>
              <w:rPr>
                <w:rFonts w:ascii="Arial" w:cs="Arial" w:eastAsia="Arial" w:hAnsi="Arial"/>
                <w:sz w:val="16"/>
                <w:szCs w:val="16"/>
                <w:color w:val="auto"/>
              </w:rPr>
              <w:t>(Income) loss from restricted investments</w:t>
            </w:r>
          </w:p>
        </w:tc>
        <w:tc>
          <w:tcPr>
            <w:tcW w:w="5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Excess tax benefit on stock based compensation</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r>
      <w:tr>
        <w:trPr>
          <w:trHeight w:val="213"/>
        </w:trPr>
        <w:tc>
          <w:tcPr>
            <w:tcW w:w="7900" w:type="dxa"/>
            <w:vAlign w:val="bottom"/>
          </w:tcPr>
          <w:p>
            <w:pPr>
              <w:ind w:left="500"/>
              <w:spacing w:after="0"/>
              <w:rPr>
                <w:sz w:val="20"/>
                <w:szCs w:val="20"/>
                <w:color w:val="auto"/>
              </w:rPr>
            </w:pPr>
            <w:r>
              <w:rPr>
                <w:rFonts w:ascii="Arial" w:cs="Arial" w:eastAsia="Arial" w:hAnsi="Arial"/>
                <w:sz w:val="16"/>
                <w:szCs w:val="16"/>
                <w:color w:val="auto"/>
              </w:rPr>
              <w:t>Loss on early retirement of debt</w:t>
            </w:r>
          </w:p>
        </w:tc>
        <w:tc>
          <w:tcPr>
            <w:tcW w:w="5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(income) loss on divestitures</w:t>
            </w:r>
          </w:p>
        </w:tc>
        <w:tc>
          <w:tcPr>
            <w:tcW w:w="5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13"/>
        </w:trPr>
        <w:tc>
          <w:tcPr>
            <w:tcW w:w="7900" w:type="dxa"/>
            <w:vAlign w:val="bottom"/>
          </w:tcPr>
          <w:p>
            <w:pPr>
              <w:ind w:left="500"/>
              <w:spacing w:after="0"/>
              <w:rPr>
                <w:sz w:val="20"/>
                <w:szCs w:val="20"/>
                <w:color w:val="auto"/>
              </w:rPr>
            </w:pPr>
            <w:r>
              <w:rPr>
                <w:rFonts w:ascii="Arial" w:cs="Arial" w:eastAsia="Arial" w:hAnsi="Arial"/>
                <w:sz w:val="16"/>
                <w:szCs w:val="16"/>
                <w:color w:val="auto"/>
              </w:rPr>
              <w:t>Impairments</w:t>
            </w:r>
          </w:p>
        </w:tc>
        <w:tc>
          <w:tcPr>
            <w:tcW w:w="5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w:t>
            </w:r>
          </w:p>
        </w:tc>
      </w:tr>
      <w:tr>
        <w:trPr>
          <w:trHeight w:val="219"/>
        </w:trPr>
        <w:tc>
          <w:tcPr>
            <w:tcW w:w="7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Pension contributions</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900" w:type="dxa"/>
            <w:vAlign w:val="bottom"/>
          </w:tcPr>
          <w:p>
            <w:pPr>
              <w:ind w:left="500"/>
              <w:spacing w:after="0"/>
              <w:rPr>
                <w:sz w:val="20"/>
                <w:szCs w:val="20"/>
                <w:color w:val="auto"/>
              </w:rPr>
            </w:pPr>
            <w:r>
              <w:rPr>
                <w:rFonts w:ascii="Arial" w:cs="Arial" w:eastAsia="Arial" w:hAnsi="Arial"/>
                <w:sz w:val="16"/>
                <w:szCs w:val="16"/>
                <w:color w:val="auto"/>
              </w:rPr>
              <w:t>Gain on pension and other postretirement plan remeasurements</w:t>
            </w:r>
          </w:p>
        </w:tc>
        <w:tc>
          <w:tcPr>
            <w:tcW w:w="5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7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operating assets and liabilities (a)</w:t>
            </w: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1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w:t>
            </w:r>
          </w:p>
        </w:tc>
      </w:tr>
      <w:tr>
        <w:trPr>
          <w:trHeight w:val="206"/>
        </w:trPr>
        <w:tc>
          <w:tcPr>
            <w:tcW w:w="7900" w:type="dxa"/>
            <w:vAlign w:val="bottom"/>
          </w:tcPr>
          <w:p>
            <w:pPr>
              <w:ind w:left="260"/>
              <w:spacing w:after="0"/>
              <w:rPr>
                <w:sz w:val="20"/>
                <w:szCs w:val="20"/>
                <w:color w:val="auto"/>
              </w:rPr>
            </w:pPr>
            <w:r>
              <w:rPr>
                <w:rFonts w:ascii="Arial" w:cs="Arial" w:eastAsia="Arial" w:hAnsi="Arial"/>
                <w:sz w:val="16"/>
                <w:szCs w:val="16"/>
                <w:color w:val="auto"/>
              </w:rPr>
              <w:t>Total cash flows provided by operating activities from continuing operations</w:t>
            </w:r>
          </w:p>
        </w:tc>
        <w:tc>
          <w:tcPr>
            <w:tcW w:w="5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w:t>
            </w:r>
          </w:p>
        </w:tc>
      </w:tr>
      <w:tr>
        <w:trPr>
          <w:trHeight w:val="205"/>
        </w:trPr>
        <w:tc>
          <w:tcPr>
            <w:tcW w:w="7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PROVIDED (USED) BY INVESTING ACTIVITIES FROM</w:t>
            </w: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16"/>
        </w:trPr>
        <w:tc>
          <w:tcPr>
            <w:tcW w:w="790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CONTINUING OPERATIONS</w:t>
            </w: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Additions to property, plant and equipment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disposal of property, plant and equipment</w:t>
            </w:r>
          </w:p>
        </w:tc>
        <w:tc>
          <w:tcPr>
            <w:tcW w:w="5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Purchase of operations</w:t>
            </w:r>
          </w:p>
        </w:tc>
        <w:tc>
          <w:tcPr>
            <w:tcW w:w="5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purchase of funds restricted for specific transactions</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Reimbursement from restricted investments</w:t>
            </w:r>
          </w:p>
        </w:tc>
        <w:tc>
          <w:tcPr>
            <w:tcW w:w="5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w:t>
            </w: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sales of securities</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156</w:t>
            </w: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Purchase of securities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the settlement of derivative instruments</w:t>
            </w:r>
          </w:p>
        </w:tc>
        <w:tc>
          <w:tcPr>
            <w:tcW w:w="5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Payments for the settlement of derivative instruments</w:t>
            </w:r>
          </w:p>
        </w:tc>
        <w:tc>
          <w:tcPr>
            <w:tcW w:w="5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79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cash flows used by investing activities from continuing operations</w:t>
            </w: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r>
      <w:tr>
        <w:trPr>
          <w:trHeight w:val="202"/>
        </w:trPr>
        <w:tc>
          <w:tcPr>
            <w:tcW w:w="7900" w:type="dxa"/>
            <w:vAlign w:val="bottom"/>
          </w:tcPr>
          <w:p>
            <w:pPr>
              <w:spacing w:after="0"/>
              <w:rPr>
                <w:sz w:val="20"/>
                <w:szCs w:val="20"/>
                <w:color w:val="auto"/>
              </w:rPr>
            </w:pPr>
            <w:r>
              <w:rPr>
                <w:rFonts w:ascii="Arial" w:cs="Arial" w:eastAsia="Arial" w:hAnsi="Arial"/>
                <w:sz w:val="16"/>
                <w:szCs w:val="16"/>
                <w:b w:val="1"/>
                <w:bCs w:val="1"/>
                <w:color w:val="auto"/>
              </w:rPr>
              <w:t>CASH FLOWS PROVIDED (USED) BY FINANCING ACTIVITIES FROM</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b w:val="1"/>
                <w:bCs w:val="1"/>
                <w:color w:val="auto"/>
              </w:rPr>
              <w:t>CONTINUING OPERATIONS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79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Proceeds from issuance of long-term debt</w:t>
            </w:r>
          </w:p>
        </w:tc>
        <w:tc>
          <w:tcPr>
            <w:tcW w:w="5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804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 of long-term debt</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Premium on long-term debt repayment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(repayment of) short-term debt</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306</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Debt issuance costs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dividends paid</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Stock based compensation employee withholding taxes paid in cash</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cash flows provided (used) by financing activities from continuing operations</w:t>
            </w: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234</w:t>
            </w:r>
          </w:p>
        </w:tc>
        <w:tc>
          <w:tcPr>
            <w:tcW w:w="1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r>
      <w:tr>
        <w:trPr>
          <w:trHeight w:val="207"/>
        </w:trPr>
        <w:tc>
          <w:tcPr>
            <w:tcW w:w="7900" w:type="dxa"/>
            <w:vAlign w:val="bottom"/>
          </w:tcPr>
          <w:p>
            <w:pPr>
              <w:spacing w:after="0"/>
              <w:rPr>
                <w:sz w:val="20"/>
                <w:szCs w:val="20"/>
                <w:color w:val="auto"/>
              </w:rPr>
            </w:pPr>
            <w:r>
              <w:rPr>
                <w:rFonts w:ascii="Arial" w:cs="Arial" w:eastAsia="Arial" w:hAnsi="Arial"/>
                <w:sz w:val="16"/>
                <w:szCs w:val="16"/>
                <w:b w:val="1"/>
                <w:bCs w:val="1"/>
                <w:color w:val="auto"/>
              </w:rPr>
              <w:t>CASH PROVIDED (USED) BY CONTINUING OPERATIONS</w:t>
            </w:r>
          </w:p>
        </w:tc>
        <w:tc>
          <w:tcPr>
            <w:tcW w:w="5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provided (used) by discontinued operations</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7900" w:type="dxa"/>
            <w:vAlign w:val="bottom"/>
          </w:tcPr>
          <w:p>
            <w:pPr>
              <w:ind w:left="500"/>
              <w:spacing w:after="0"/>
              <w:rPr>
                <w:sz w:val="20"/>
                <w:szCs w:val="20"/>
                <w:color w:val="auto"/>
              </w:rPr>
            </w:pPr>
            <w:r>
              <w:rPr>
                <w:rFonts w:ascii="Arial" w:cs="Arial" w:eastAsia="Arial" w:hAnsi="Arial"/>
                <w:sz w:val="16"/>
                <w:szCs w:val="16"/>
                <w:color w:val="auto"/>
              </w:rPr>
              <w:t>Operating cash flows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7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Investing cash flows</w:t>
            </w: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r>
      <w:tr>
        <w:trPr>
          <w:trHeight w:val="206"/>
        </w:trPr>
        <w:tc>
          <w:tcPr>
            <w:tcW w:w="7900" w:type="dxa"/>
            <w:vAlign w:val="bottom"/>
          </w:tcPr>
          <w:p>
            <w:pPr>
              <w:ind w:left="260"/>
              <w:spacing w:after="0"/>
              <w:rPr>
                <w:sz w:val="20"/>
                <w:szCs w:val="20"/>
                <w:color w:val="auto"/>
              </w:rPr>
            </w:pPr>
            <w:r>
              <w:rPr>
                <w:rFonts w:ascii="Arial" w:cs="Arial" w:eastAsia="Arial" w:hAnsi="Arial"/>
                <w:sz w:val="16"/>
                <w:szCs w:val="16"/>
                <w:color w:val="auto"/>
              </w:rPr>
              <w:t>Total cash used by discontinued operations</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79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INCREASE (DECREASE) IN CASH AND CASH EQUIVALENTS</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w:t>
            </w:r>
          </w:p>
        </w:tc>
        <w:tc>
          <w:tcPr>
            <w:tcW w:w="16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13"/>
        </w:trPr>
        <w:tc>
          <w:tcPr>
            <w:tcW w:w="7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232</w:t>
            </w:r>
          </w:p>
        </w:tc>
        <w:tc>
          <w:tcPr>
            <w:tcW w:w="1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294</w:t>
            </w:r>
          </w:p>
        </w:tc>
      </w:tr>
      <w:tr>
        <w:trPr>
          <w:trHeight w:val="206"/>
        </w:trPr>
        <w:tc>
          <w:tcPr>
            <w:tcW w:w="7900" w:type="dxa"/>
            <w:vAlign w:val="bottom"/>
          </w:tcPr>
          <w:p>
            <w:pPr>
              <w:spacing w:after="0"/>
              <w:rPr>
                <w:sz w:val="20"/>
                <w:szCs w:val="20"/>
                <w:color w:val="auto"/>
              </w:rPr>
            </w:pPr>
            <w:r>
              <w:rPr>
                <w:rFonts w:ascii="Arial" w:cs="Arial" w:eastAsia="Arial" w:hAnsi="Arial"/>
                <w:sz w:val="16"/>
                <w:szCs w:val="16"/>
                <w:b w:val="1"/>
                <w:bCs w:val="1"/>
                <w:color w:val="auto"/>
              </w:rPr>
              <w:t>CASH AND CASH EQUIVALENTS - END OF PERIOD</w:t>
            </w:r>
          </w:p>
        </w:tc>
        <w:tc>
          <w:tcPr>
            <w:tcW w:w="5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w:t>
            </w:r>
          </w:p>
        </w:tc>
      </w:tr>
      <w:tr>
        <w:trPr>
          <w:trHeight w:val="20"/>
        </w:trPr>
        <w:tc>
          <w:tcPr>
            <w:tcW w:w="7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Excludes changes resulting from operations acquired, sold or held for sale.</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5" w:name="page6"/>
    <w:bookmarkEnd w:id="5"/>
    <w:p>
      <w:pPr>
        <w:ind w:right="386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 NOTES TO CONDENSED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360"/>
        <w:spacing w:after="0" w:line="271"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Additionally, certain prior period information has been reclassified within the Condensed Consolidated Financial Statements and accompanying notes to conform to current period presentation. These items include the reclassification of Intangibles Amortization Expense as a separate component within operating expenses and changes in Ashland’s reportable segment and reporting unit structure. These statements omit certain information and footnote disclosures required for complete annual financial statements and, therefore, should be read in conjunction with Ashland Global Holdings Inc. and consolidated subsidiaries (Ashland) Annual Report on Form 10-K for the fiscal year ended September 30, 2019. Results of operations for the period ended March 31, 2020 are not necessarily indicative of the expected results for the remaining quarters in the fiscal year. All amounts are presented in millions except per-share amounts.</w:t>
      </w:r>
    </w:p>
    <w:p>
      <w:pPr>
        <w:spacing w:after="0" w:line="62" w:lineRule="exact"/>
        <w:rPr>
          <w:sz w:val="20"/>
          <w:szCs w:val="20"/>
          <w:color w:val="auto"/>
        </w:rPr>
      </w:pPr>
    </w:p>
    <w:p>
      <w:pPr>
        <w:jc w:val="both"/>
        <w:ind w:left="360"/>
        <w:spacing w:after="0" w:line="291" w:lineRule="auto"/>
        <w:rPr>
          <w:sz w:val="20"/>
          <w:szCs w:val="20"/>
          <w:color w:val="auto"/>
        </w:rPr>
      </w:pPr>
      <w:r>
        <w:rPr>
          <w:rFonts w:ascii="Arial" w:cs="Arial" w:eastAsia="Arial" w:hAnsi="Arial"/>
          <w:sz w:val="18"/>
          <w:szCs w:val="18"/>
          <w:color w:val="auto"/>
        </w:rPr>
        <w:t>The Intangibles Amortization Expense presented within the Statement of Consolidated Comprehensive Income (Loss) includes amortization expense related to trademarks and trade names, intellectual property, customer and supplier relationships and land use rights. Intangible assets classified as finite are amortized on a straight-line basis over their estimated useful lives.</w:t>
      </w:r>
    </w:p>
    <w:p>
      <w:pPr>
        <w:spacing w:after="0" w:line="44" w:lineRule="exact"/>
        <w:rPr>
          <w:sz w:val="20"/>
          <w:szCs w:val="20"/>
          <w:color w:val="auto"/>
        </w:rPr>
      </w:pPr>
    </w:p>
    <w:p>
      <w:pPr>
        <w:jc w:val="both"/>
        <w:ind w:left="360"/>
        <w:spacing w:after="0" w:line="278" w:lineRule="auto"/>
        <w:rPr>
          <w:sz w:val="20"/>
          <w:szCs w:val="20"/>
          <w:color w:val="auto"/>
        </w:rPr>
      </w:pPr>
      <w:r>
        <w:rPr>
          <w:rFonts w:ascii="Arial" w:cs="Arial" w:eastAsia="Arial" w:hAnsi="Arial"/>
          <w:sz w:val="18"/>
          <w:szCs w:val="18"/>
          <w:color w:val="auto"/>
        </w:rPr>
        <w:t>On August 30, 2019, Ashland completed the sale of its Composites business (excluding Ashland’s maleic anhydride business (Maleic business)) and its butanediol facility in Marl, Germany (Marl facility). This disposal group represented a strategic shift in Ashland’s business and qualified as a discontinued operation. Accordingly, Composites (including the Maleic business) and the Marl facility assets, liabilities, operating results and cash flows for all periods presented have been classified as discontinued operations within the Condensed Consolidated Financial Statements. See Notes B and C for additional information on this divestiture.</w:t>
      </w:r>
    </w:p>
    <w:p>
      <w:pPr>
        <w:spacing w:after="0" w:line="57" w:lineRule="exact"/>
        <w:rPr>
          <w:sz w:val="20"/>
          <w:szCs w:val="20"/>
          <w:color w:val="auto"/>
        </w:rPr>
      </w:pPr>
    </w:p>
    <w:p>
      <w:pPr>
        <w:jc w:val="both"/>
        <w:ind w:left="360"/>
        <w:spacing w:after="0" w:line="278" w:lineRule="auto"/>
        <w:rPr>
          <w:sz w:val="20"/>
          <w:szCs w:val="20"/>
          <w:color w:val="auto"/>
        </w:rPr>
      </w:pPr>
      <w:r>
        <w:rPr>
          <w:rFonts w:ascii="Arial" w:cs="Arial" w:eastAsia="Arial" w:hAnsi="Arial"/>
          <w:sz w:val="18"/>
          <w:szCs w:val="18"/>
          <w:color w:val="auto"/>
        </w:rPr>
        <w:t>During the second quarter of fiscal 2020, Ashland changed the manner in which it manages the business, moving from a functionally led to a business led organization. This change recognizes that Ashland has a diverse portfolio of businesses with different value propositions for the markets Ashland serves. The organizational change allows Ashland to align its business models, resources and cost structure to the specific needs of each business and enable greater ownership and accountability for both short-and long- term performance. Ashland has realigned its segment reporting structure commensurate with this organizational change.</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a result, Ashland’s five reportable segments include the consumer specialty businesses: Life Sciences and Personal Care &amp;</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Household; the industrial specialty businesses: Specialty Additives and Performance Adhesives; and Intermediates and Solvents.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Corporate includes corporate governance activities and certain legacy matters. For additional information, see Note Q.</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Use of estimates, risks and uncertainties</w:t>
      </w:r>
    </w:p>
    <w:p>
      <w:pPr>
        <w:spacing w:after="0" w:line="114" w:lineRule="exact"/>
        <w:rPr>
          <w:sz w:val="20"/>
          <w:szCs w:val="20"/>
          <w:color w:val="auto"/>
        </w:rPr>
      </w:pPr>
    </w:p>
    <w:p>
      <w:pPr>
        <w:jc w:val="both"/>
        <w:ind w:left="360"/>
        <w:spacing w:after="0" w:line="257" w:lineRule="auto"/>
        <w:rPr>
          <w:sz w:val="20"/>
          <w:szCs w:val="20"/>
          <w:color w:val="auto"/>
        </w:rPr>
      </w:pPr>
      <w:r>
        <w:rPr>
          <w:rFonts w:ascii="Arial" w:cs="Arial" w:eastAsia="Arial" w:hAnsi="Arial"/>
          <w:sz w:val="19"/>
          <w:szCs w:val="19"/>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360" w:right="699" w:bottom="1440" w:gutter="0" w:footer="0" w:header="0"/>
        </w:sectPr>
      </w:pPr>
    </w:p>
    <w:bookmarkStart w:id="6" w:name="page7"/>
    <w:bookmarkEnd w:id="6"/>
    <w:p>
      <w:pPr>
        <w:jc w:val="both"/>
        <w:spacing w:after="0" w:line="278" w:lineRule="auto"/>
        <w:rPr>
          <w:sz w:val="20"/>
          <w:szCs w:val="20"/>
          <w:color w:val="auto"/>
        </w:rPr>
      </w:pPr>
      <w:r>
        <w:rPr>
          <w:rFonts w:ascii="Arial" w:cs="Arial" w:eastAsia="Arial" w:hAnsi="Arial"/>
          <w:sz w:val="18"/>
          <w:szCs w:val="18"/>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pronouncements</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2019. The following standards relevant to Ashland were either issued or adopted in the current fiscal year or will become effective in a subsequent period.</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Leases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Effective October 1, 2019, Ashland adopted new accounting guidance related to lease transactions. The adoption of the new lease guidance resulted in the recognition of right-of-use assets and operating lease liabilities of $174 million as of October 1, 2019. The adoption did not have a material impact on Ashland’s results of operations, cash flows or debt covenants. Results for reporting periods beginning after October 1, 2019 are presented under the new accounting guidance for leases, while prior period amounts have not been adjusted and continue to be reported in accordance with our historical accounting treatment. Ashland elected the package of practical expedients permitted under the transition guidance within the new standard, which among other things, allowed it to carry forward the historical lease classification.</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Ashland determines if an arrangement contains a lease at inception. Ashland recognizes right-of-use assets and liabilities associated with leases based on the present value of the future minimum lease payments over the lease term at the later of the commencement date of the lease or the October 1, 2019 implementation date. Ashland uses its incremental borrowing rate at the recognition date in determining the present value of future payments for leases that do not have a readily determinable implicit rate. Lease terms reflect options to extend or terminate the lease when it is reasonably certain that the option will be exercised. For leases that include residual value guarantees or payments for terminating the lease, Ashland includes these costs in the lease liability when it is probable that they will be incurred. Right-of-use assets and obligations for short-term leases (leases with an initial term of 12 months or less) are not recognized in the Condensed Consolidated Balance Sheet. Lease expense for short-term leases is recognized on a straight-line basis over the lease term. When contracts contain lease and non-lease components, the Company generally accounted for both components as a single lease component.</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For additional information, see Note I.</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accounting pronouncements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February 2018, the FASB issued guidance which permits entities to reclassify tax effects stranded in accumulated other comprehensive income (AOCI) as a result of U.S. tax reform legislation to retained earnings. Additionally, this guidance requires entities to disclose whether they made an election to reclassify the tax effects and to disclose their accounting policy for releasing income tax effects from AOCI. This guidance became effective for Ashland on October 1, 2019. Ashland did not elect to reclassify the disproportionate amount in AOCI to retained earnings. Ashland estimated the impact of this guidance to be approximately $3 million. Ashland’s accounting policy for releasing income tax effects from AOCI is under the individual units of account method for items sold, terminated or extinguished from AOCI.</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August 2017, the FASB issued accounting guidance amending the existing hedge accounting model to simplify various hedge documentation requirements while also expanding hedging abilities for certain nonfinancial and financial risk components. This guidance became effective for Ashland on October 1, 2019 and had no material impact on the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60" w:right="739" w:bottom="1440" w:gutter="0" w:footer="0" w:header="0"/>
        </w:sectPr>
      </w:pPr>
    </w:p>
    <w:bookmarkStart w:id="7" w:name="page8"/>
    <w:bookmarkEnd w:id="7"/>
    <w:p>
      <w:pPr>
        <w:jc w:val="both"/>
        <w:ind w:left="400"/>
        <w:spacing w:after="0" w:line="243" w:lineRule="auto"/>
        <w:rPr>
          <w:sz w:val="20"/>
          <w:szCs w:val="20"/>
          <w:color w:val="auto"/>
        </w:rPr>
      </w:pPr>
      <w:r>
        <w:rPr>
          <w:rFonts w:ascii="Arial" w:cs="Arial" w:eastAsia="Arial" w:hAnsi="Arial"/>
          <w:sz w:val="20"/>
          <w:szCs w:val="20"/>
          <w:color w:val="auto"/>
        </w:rPr>
        <w:t>In June 2016, the FASB issued amended accounting guidance related to the measurement of credit losses on financial instruments. The amended accounting guidance changes the impairment model for most financial assets to require measurement and recognition of expected credit losses for financial assets held. This guidance will become effective for Ashland on October 1, 2020. Ashland is in the process of evaluating the effect this amended accounting guidance will have on its consolidated financial position and results of operations; however, Ashland does not expect the amended accounting guidance to have a material impact to Ashland’s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B – DIVESTITURES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Composites and Marl facility</w:t>
      </w:r>
    </w:p>
    <w:p>
      <w:pPr>
        <w:spacing w:after="0" w:line="114"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On August 30, 2019, Ashland completed the sale of its Composites business (excluding the Maleic business) and butanediol manufacturing facility in Marl, Germany to INEOS Enterprises for $1.015 billion. The operating results and cash flows related to Composites and the Marl facility, including the Maleic business, have been reflected as discontinued operations in the Statements of Consolidated Comprehensive Income (Loss) and Statements of Condensed Consolidated Cash Flows. See Note C of the Notes to Condensed Consolidated Financial Statements for the results of operations for Composites and the Marl facility, including the Maleic business, for all periods presented.</w:t>
      </w:r>
    </w:p>
    <w:p>
      <w:pPr>
        <w:spacing w:after="0" w:line="8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Certain indirect corporate costs included within the selling, general and administrative expense caption of the Statements of Consolidated Comprehensive Income (Loss) that were previously allocated to the Composites segment and Marl facility do not qualify for classification within discontinued operations and are now reported as selling, general and administrative expense within continuing operations on a consolidated basis and within the Unallocated and other segment. These costs were zero and $12 million during the three months ended March 31, 2020 and 2019, respectively, and zero and $23 million during the six months ended March 31, 2020 and 2019, respectively.</w:t>
      </w:r>
    </w:p>
    <w:p>
      <w:pPr>
        <w:spacing w:after="0" w:line="8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Subsequent to the completion of the sale, Ashland is providing certain transition services to INEOS for a fee. While the transition services are expected to vary in duration depending upon the type of service provided, Ashland expects to reduce costs as the transition services are completed. Ashland recognized transition service fee income of $3 million and $6 million for the three and six months periods ended March 31, 2020, respectively.</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Held for sale classification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assets and liabilities of the Maleic business, along with certain other corporate property, have been reflected as assets and liabilities held for sale. As a result depreciation and amortization are not being recorded within the Statements of Consolidated Comprehensive Income (Loss) and the Condensed Consolidated Balance Sheets. These assets and liabilities are comprised of the following components:</w:t>
      </w:r>
    </w:p>
    <w:p>
      <w:pPr>
        <w:spacing w:after="0" w:line="93"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94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March 31</w:t>
            </w:r>
          </w:p>
        </w:tc>
        <w:tc>
          <w:tcPr>
            <w:tcW w:w="3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1"/>
              </w:rPr>
              <w:t>September 30</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380" w:type="dxa"/>
            <w:vAlign w:val="bottom"/>
            <w:gridSpan w:val="2"/>
          </w:tcPr>
          <w:p>
            <w:pPr>
              <w:jc w:val="right"/>
              <w:ind w:right="181"/>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3380" w:type="dxa"/>
            <w:vAlign w:val="bottom"/>
            <w:tcBorders>
              <w:top w:val="single" w:sz="8" w:color="auto"/>
            </w:tcBorders>
            <w:gridSpan w:val="2"/>
            <w:shd w:val="clear" w:color="auto" w:fill="CFF0FC"/>
          </w:tcPr>
          <w:p>
            <w:pPr>
              <w:jc w:val="right"/>
              <w:ind w:right="1001"/>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Inventories</w:t>
            </w:r>
          </w:p>
        </w:tc>
        <w:tc>
          <w:tcPr>
            <w:tcW w:w="2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2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Goodwill</w:t>
            </w:r>
          </w:p>
        </w:tc>
        <w:tc>
          <w:tcPr>
            <w:tcW w:w="2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2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assets held for sale</w:t>
            </w:r>
          </w:p>
        </w:tc>
        <w:tc>
          <w:tcPr>
            <w:tcW w:w="2220" w:type="dxa"/>
            <w:vAlign w:val="bottom"/>
            <w:tcBorders>
              <w:bottom w:val="single" w:sz="8" w:color="CFF0FC"/>
            </w:tcBorders>
          </w:tcPr>
          <w:p>
            <w:pPr>
              <w:spacing w:after="0"/>
              <w:rPr>
                <w:sz w:val="22"/>
                <w:szCs w:val="22"/>
                <w:color w:val="auto"/>
              </w:rPr>
            </w:pPr>
          </w:p>
        </w:tc>
        <w:tc>
          <w:tcPr>
            <w:tcW w:w="1160" w:type="dxa"/>
            <w:vAlign w:val="bottom"/>
            <w:tcBorders>
              <w:bottom w:val="single" w:sz="8" w:color="auto"/>
            </w:tcBorders>
          </w:tcPr>
          <w:p>
            <w:pPr>
              <w:jc w:val="right"/>
              <w:ind w:right="1001"/>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3380" w:type="dxa"/>
            <w:vAlign w:val="bottom"/>
            <w:gridSpan w:val="2"/>
          </w:tcPr>
          <w:p>
            <w:pPr>
              <w:jc w:val="right"/>
              <w:ind w:right="100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222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Current liabilities held for sale</w:t>
            </w:r>
          </w:p>
        </w:tc>
        <w:tc>
          <w:tcPr>
            <w:tcW w:w="2220" w:type="dxa"/>
            <w:vAlign w:val="bottom"/>
          </w:tcPr>
          <w:p>
            <w:pPr>
              <w:spacing w:after="0"/>
              <w:rPr>
                <w:sz w:val="19"/>
                <w:szCs w:val="19"/>
                <w:color w:val="auto"/>
              </w:rPr>
            </w:pPr>
          </w:p>
        </w:tc>
        <w:tc>
          <w:tcPr>
            <w:tcW w:w="1160" w:type="dxa"/>
            <w:vAlign w:val="bottom"/>
            <w:tcBorders>
              <w:bottom w:val="single" w:sz="8" w:color="auto"/>
            </w:tcBorders>
          </w:tcPr>
          <w:p>
            <w:pPr>
              <w:jc w:val="right"/>
              <w:ind w:right="1001"/>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C– DISCONTINUED OPERATIONS</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has divested certain businesses that have qualified as discontinued operations. The operating results from these divested businesses and subsequent adjustments related to ongoing assessments of certain</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60" w:right="739" w:bottom="1440" w:gutter="0" w:footer="0" w:header="0"/>
        </w:sectPr>
      </w:pPr>
    </w:p>
    <w:bookmarkStart w:id="8" w:name="page9"/>
    <w:bookmarkEnd w:id="8"/>
    <w:p>
      <w:pPr>
        <w:jc w:val="both"/>
        <w:ind w:left="400"/>
        <w:spacing w:after="0" w:line="260" w:lineRule="auto"/>
        <w:rPr>
          <w:sz w:val="20"/>
          <w:szCs w:val="20"/>
          <w:color w:val="auto"/>
        </w:rPr>
      </w:pPr>
      <w:r>
        <w:rPr>
          <w:rFonts w:ascii="Arial" w:cs="Arial" w:eastAsia="Arial" w:hAnsi="Arial"/>
          <w:sz w:val="20"/>
          <w:szCs w:val="20"/>
          <w:color w:val="auto"/>
        </w:rPr>
        <w:t>retained liabilities and tax items have been recorded within the discontinued operations caption in the Statements of Consolidated Comprehensive Income (Loss) for all periods presented.</w:t>
      </w:r>
    </w:p>
    <w:p>
      <w:pPr>
        <w:spacing w:after="0" w:line="69"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Components of amounts reflected in the Statements of Consolidated Comprehensive Income (Loss) related to discontinued operations are presented in the following table for the three and six months ended March 31, 2020 and 2019.</w:t>
      </w:r>
    </w:p>
    <w:p>
      <w:pPr>
        <w:spacing w:after="0" w:line="55"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9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4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8"/>
                <w:szCs w:val="18"/>
                <w:color w:val="auto"/>
              </w:rPr>
              <w:t>March 31</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8"/>
                <w:szCs w:val="18"/>
                <w:color w:val="auto"/>
              </w:rPr>
              <w:t>March 31</w:t>
            </w:r>
          </w:p>
        </w:tc>
        <w:tc>
          <w:tcPr>
            <w:tcW w:w="540" w:type="dxa"/>
            <w:vAlign w:val="bottom"/>
            <w:tcBorders>
              <w:bottom w:val="single" w:sz="8" w:color="auto"/>
            </w:tcBorders>
          </w:tcPr>
          <w:p>
            <w:pPr>
              <w:spacing w:after="0"/>
              <w:rPr>
                <w:sz w:val="20"/>
                <w:szCs w:val="20"/>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2019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Income (loss) from discontinued operations (net of tax)</w:t>
            </w:r>
          </w:p>
        </w:tc>
        <w:tc>
          <w:tcPr>
            <w:tcW w:w="6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Composites/Marl facility</w:t>
            </w:r>
          </w:p>
        </w:tc>
        <w:tc>
          <w:tcPr>
            <w:tcW w:w="8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68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29"/>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Valvoline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Asbestos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Water Technologies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Distribution</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1"/>
        </w:trPr>
        <w:tc>
          <w:tcPr>
            <w:tcW w:w="20" w:type="dxa"/>
            <w:vAlign w:val="bottom"/>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Gain (loss) on disposal of discontinued operations (net of</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taxes)</w:t>
            </w: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Composites/Marl facility</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The following table presents a reconciliation of the captions within Ashland's Statements of Consolidated Comprehensive Income (Loss) for the income (loss) from discontinued operations attributable to Composites and the Marl facility for the three and six months ended March 31, 2020 and 2019. Interest expense was allocated to discontinued operations based on Ashland’s mandatory debt prepayments upon the disposition of Composites and the Marl facility for applicable periods only. Although the Maleic business was not sold to INEOS, this business was operated under the Composites business and Marl facility disposal group and will continue to be reported in discontinued operations as it meets the held for sale criteria.</w:t>
      </w:r>
    </w:p>
    <w:p>
      <w:pPr>
        <w:spacing w:after="0" w:line="81"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4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8"/>
                <w:szCs w:val="18"/>
                <w:color w:val="auto"/>
              </w:rPr>
              <w:t>March 31</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8"/>
                <w:szCs w:val="18"/>
                <w:color w:val="auto"/>
              </w:rPr>
              <w:t>March 31</w:t>
            </w:r>
          </w:p>
        </w:tc>
        <w:tc>
          <w:tcPr>
            <w:tcW w:w="540" w:type="dxa"/>
            <w:vAlign w:val="bottom"/>
            <w:tcBorders>
              <w:bottom w:val="single" w:sz="8" w:color="auto"/>
            </w:tcBorders>
          </w:tcPr>
          <w:p>
            <w:pPr>
              <w:spacing w:after="0"/>
              <w:rPr>
                <w:sz w:val="20"/>
                <w:szCs w:val="20"/>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2019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05"/>
        </w:trPr>
        <w:tc>
          <w:tcPr>
            <w:tcW w:w="20" w:type="dxa"/>
            <w:vAlign w:val="bottom"/>
          </w:tcPr>
          <w:p>
            <w:pPr>
              <w:spacing w:after="0"/>
              <w:rPr>
                <w:sz w:val="17"/>
                <w:szCs w:val="17"/>
                <w:color w:val="auto"/>
              </w:rPr>
            </w:pPr>
          </w:p>
        </w:tc>
        <w:tc>
          <w:tcPr>
            <w:tcW w:w="4980" w:type="dxa"/>
            <w:vAlign w:val="bottom"/>
            <w:tcBorders>
              <w:top w:val="single" w:sz="8" w:color="auto"/>
            </w:tcBorders>
            <w:shd w:val="clear" w:color="auto" w:fill="CFF0FC"/>
          </w:tcPr>
          <w:p>
            <w:pPr>
              <w:ind w:left="100"/>
              <w:spacing w:after="0" w:line="205" w:lineRule="exact"/>
              <w:rPr>
                <w:sz w:val="20"/>
                <w:szCs w:val="20"/>
                <w:color w:val="auto"/>
              </w:rPr>
            </w:pPr>
            <w:r>
              <w:rPr>
                <w:rFonts w:ascii="Arial" w:cs="Arial" w:eastAsia="Arial" w:hAnsi="Arial"/>
                <w:sz w:val="18"/>
                <w:szCs w:val="18"/>
                <w:b w:val="1"/>
                <w:bCs w:val="1"/>
                <w:color w:val="auto"/>
              </w:rPr>
              <w:t>Income (loss) from discontinued operations attributable</w:t>
            </w: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 Composites/Marl facility</w:t>
            </w: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Sales</w:t>
            </w:r>
          </w:p>
        </w:tc>
        <w:tc>
          <w:tcPr>
            <w:tcW w:w="8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74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68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sales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2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expense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Equity and other income</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Pretax operating income of discontinued operations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81</w:t>
            </w: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interest and other financing expense</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Pretax income of discontinued operations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69</w:t>
            </w: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tax expense</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w:t>
            </w: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D – RESTRUCTURING ACTIVITIES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Company-wide restructuring activities</w:t>
      </w:r>
    </w:p>
    <w:p>
      <w:pPr>
        <w:spacing w:after="0" w:line="114"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60" w:right="739" w:bottom="1440" w:gutter="0" w:footer="0" w:header="0"/>
        </w:sectPr>
      </w:pPr>
    </w:p>
    <w:bookmarkStart w:id="9" w:name="page10"/>
    <w:bookmarkEnd w:id="9"/>
    <w:p>
      <w:pPr>
        <w:ind w:left="20"/>
        <w:spacing w:after="0"/>
        <w:rPr>
          <w:sz w:val="20"/>
          <w:szCs w:val="20"/>
          <w:color w:val="auto"/>
        </w:rPr>
      </w:pPr>
      <w:r>
        <w:rPr>
          <w:rFonts w:ascii="Arial" w:cs="Arial" w:eastAsia="Arial" w:hAnsi="Arial"/>
          <w:sz w:val="20"/>
          <w:szCs w:val="20"/>
          <w:b w:val="1"/>
          <w:bCs w:val="1"/>
          <w:color w:val="auto"/>
        </w:rPr>
        <w:t>Fiscal 2018 program costs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Severance costs</w:t>
      </w:r>
    </w:p>
    <w:p>
      <w:pPr>
        <w:spacing w:after="0" w:line="108" w:lineRule="exact"/>
        <w:rPr>
          <w:sz w:val="20"/>
          <w:szCs w:val="20"/>
          <w:color w:val="auto"/>
        </w:rPr>
      </w:pPr>
    </w:p>
    <w:p>
      <w:pPr>
        <w:jc w:val="both"/>
        <w:ind w:left="20"/>
        <w:spacing w:after="0" w:line="242" w:lineRule="auto"/>
        <w:rPr>
          <w:sz w:val="20"/>
          <w:szCs w:val="20"/>
          <w:color w:val="auto"/>
        </w:rPr>
      </w:pPr>
      <w:r>
        <w:rPr>
          <w:rFonts w:ascii="Arial" w:cs="Arial" w:eastAsia="Arial" w:hAnsi="Arial"/>
          <w:sz w:val="20"/>
          <w:szCs w:val="20"/>
          <w:color w:val="auto"/>
        </w:rPr>
        <w:t>During fiscal 2018, Ashland initiated a company-wide cost reduction program as a result of ongoing strategic asset plans and activities. As part of this restructuring program, Ashland announced a voluntary severance offer (VSO) to certain qualifying employees that was formally approved during 2018. Additionally, during fiscal 2018, an involuntary program for employees was also initiated as part of the restructuring program. These programs resulted in additional severance expense of zero for the three months ended March 31, 2020 and 2019, and zero and $4 million for the six months ended March 31, 2020 and 2019, respectively, which was primarily recorded within the selling, general and administrative expense caption of the Statement of Consolidated Comprehensive Income (Loss). As of March 31, 2020, the severance reserve for the company-wide restructuring program was $1 million.</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Facility costs</w:t>
      </w:r>
    </w:p>
    <w:p>
      <w:pPr>
        <w:spacing w:after="0" w:line="108" w:lineRule="exact"/>
        <w:rPr>
          <w:sz w:val="20"/>
          <w:szCs w:val="20"/>
          <w:color w:val="auto"/>
        </w:rPr>
      </w:pPr>
    </w:p>
    <w:p>
      <w:pPr>
        <w:jc w:val="both"/>
        <w:ind w:left="20"/>
        <w:spacing w:after="0" w:line="278" w:lineRule="auto"/>
        <w:rPr>
          <w:sz w:val="20"/>
          <w:szCs w:val="20"/>
          <w:color w:val="auto"/>
        </w:rPr>
      </w:pPr>
      <w:r>
        <w:rPr>
          <w:rFonts w:ascii="Arial" w:cs="Arial" w:eastAsia="Arial" w:hAnsi="Arial"/>
          <w:sz w:val="18"/>
          <w:szCs w:val="18"/>
          <w:color w:val="auto"/>
        </w:rPr>
        <w:t>Ashland incurred lease abandonment charges of zero and $1 million during the three months ended March 31, 2020 and 2019, respectively, and zero and $8 million for the six months ended March 31, 2020 and 2019, respectively. These charges were due to the exit from certain office facilities in conjunction with the company-wide cost reduction program. The costs related to this reserve were recorded within the selling, general and administrative expense caption of the Statements of Consolidated Comprehensive Income (Loss) and are paid over the remaining lease terms. As of March 31, 2020, the reserve for facility costs was $6 million.</w:t>
      </w:r>
    </w:p>
    <w:p>
      <w:pPr>
        <w:spacing w:after="0" w:line="57" w:lineRule="exact"/>
        <w:rPr>
          <w:sz w:val="20"/>
          <w:szCs w:val="20"/>
          <w:color w:val="auto"/>
        </w:rPr>
      </w:pPr>
    </w:p>
    <w:p>
      <w:pPr>
        <w:jc w:val="both"/>
        <w:ind w:left="20"/>
        <w:spacing w:after="0" w:line="246" w:lineRule="auto"/>
        <w:rPr>
          <w:sz w:val="20"/>
          <w:szCs w:val="20"/>
          <w:color w:val="auto"/>
        </w:rPr>
      </w:pPr>
      <w:r>
        <w:rPr>
          <w:rFonts w:ascii="Arial" w:cs="Arial" w:eastAsia="Arial" w:hAnsi="Arial"/>
          <w:sz w:val="20"/>
          <w:szCs w:val="20"/>
          <w:color w:val="auto"/>
        </w:rPr>
        <w:t>The following table details at March 31, 2020 and 2019, the amount of restructuring reserves related to the programs discussed above, and the related activity in these reserves during the six months ended March 31, 2020. The severance and facility cost reserves were primarily recorded within accrued expenses and other liabilities in the Condensed Consolidated Balance Sheet as of March 31, 2020 and March 31, 2019.</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4"/>
              </w:rPr>
              <w:t>Severance costs</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Facility costs</w:t>
            </w:r>
          </w:p>
        </w:tc>
        <w:tc>
          <w:tcPr>
            <w:tcW w:w="190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Total</w:t>
            </w:r>
          </w:p>
        </w:tc>
      </w:tr>
      <w:tr>
        <w:trPr>
          <w:trHeight w:val="223"/>
        </w:trPr>
        <w:tc>
          <w:tcPr>
            <w:tcW w:w="20" w:type="dxa"/>
            <w:vAlign w:val="bottom"/>
          </w:tcPr>
          <w:p>
            <w:pPr>
              <w:spacing w:after="0"/>
              <w:rPr>
                <w:sz w:val="19"/>
                <w:szCs w:val="19"/>
                <w:color w:val="auto"/>
              </w:rPr>
            </w:pPr>
          </w:p>
        </w:tc>
        <w:tc>
          <w:tcPr>
            <w:tcW w:w="4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2019</w:t>
            </w:r>
          </w:p>
        </w:tc>
        <w:tc>
          <w:tcPr>
            <w:tcW w:w="2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r>
      <w:tr>
        <w:trPr>
          <w:trHeight w:val="229"/>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Restructuring reserve</w:t>
            </w:r>
          </w:p>
        </w:tc>
        <w:tc>
          <w:tcPr>
            <w:tcW w:w="220" w:type="dxa"/>
            <w:vAlign w:val="bottom"/>
          </w:tcPr>
          <w:p>
            <w:pPr>
              <w:spacing w:after="0"/>
              <w:rPr>
                <w:sz w:val="19"/>
                <w:szCs w:val="19"/>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2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2020</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0"/>
        </w:trPr>
        <w:tc>
          <w:tcPr>
            <w:tcW w:w="44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02"/>
        </w:trPr>
        <w:tc>
          <w:tcPr>
            <w:tcW w:w="44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gridSpan w:val="2"/>
          </w:tcPr>
          <w:p>
            <w:pPr>
              <w:spacing w:after="0"/>
              <w:rPr>
                <w:sz w:val="8"/>
                <w:szCs w:val="8"/>
                <w:color w:val="auto"/>
              </w:rPr>
            </w:pPr>
          </w:p>
        </w:tc>
        <w:tc>
          <w:tcPr>
            <w:tcW w:w="1900" w:type="dxa"/>
            <w:vAlign w:val="bottom"/>
          </w:tcPr>
          <w:p>
            <w:pPr>
              <w:spacing w:after="0"/>
              <w:rPr>
                <w:sz w:val="8"/>
                <w:szCs w:val="8"/>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Severance costs</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8"/>
                <w:szCs w:val="18"/>
                <w:color w:val="auto"/>
              </w:rPr>
              <w:t>Facility costs</w:t>
            </w:r>
          </w:p>
        </w:tc>
        <w:tc>
          <w:tcPr>
            <w:tcW w:w="190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Total</w:t>
            </w:r>
          </w:p>
        </w:tc>
      </w:tr>
      <w:tr>
        <w:trPr>
          <w:trHeight w:val="223"/>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2018</w:t>
            </w:r>
          </w:p>
        </w:tc>
        <w:tc>
          <w:tcPr>
            <w:tcW w:w="22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w:t>
            </w: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Restructuring reserve</w:t>
            </w:r>
          </w:p>
        </w:tc>
        <w:tc>
          <w:tcPr>
            <w:tcW w:w="220" w:type="dxa"/>
            <w:vAlign w:val="bottom"/>
          </w:tcPr>
          <w:p>
            <w:pPr>
              <w:spacing w:after="0"/>
              <w:rPr>
                <w:sz w:val="19"/>
                <w:szCs w:val="19"/>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29"/>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2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Other restructuring activities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Fiscal 2019 Plant restructuring</w:t>
      </w:r>
    </w:p>
    <w:p>
      <w:pPr>
        <w:spacing w:after="0" w:line="108" w:lineRule="exact"/>
        <w:rPr>
          <w:sz w:val="20"/>
          <w:szCs w:val="20"/>
          <w:color w:val="auto"/>
        </w:rPr>
      </w:pPr>
    </w:p>
    <w:p>
      <w:pPr>
        <w:jc w:val="both"/>
        <w:ind w:left="20"/>
        <w:spacing w:after="0" w:line="259" w:lineRule="auto"/>
        <w:rPr>
          <w:sz w:val="20"/>
          <w:szCs w:val="20"/>
          <w:color w:val="auto"/>
        </w:rPr>
      </w:pPr>
      <w:r>
        <w:rPr>
          <w:rFonts w:ascii="Arial" w:cs="Arial" w:eastAsia="Arial" w:hAnsi="Arial"/>
          <w:sz w:val="19"/>
          <w:szCs w:val="19"/>
          <w:color w:val="auto"/>
        </w:rPr>
        <w:t>During the three and six months ended March 31, 2019, Specialty Additives committed to a cost reduction plan within an existing manufacturing facility. As a result, Ashland incurred restructuring charges of $20 million and $47 million for the three and six months ended March 31, 2019, respectively. These charges were recorded primarily within the cost of sales caption of the Statements of Consolidated Comprehensive Income (Loss) consisting of $38 million of accelerated depreciation and amortization, $5 million of severance and $4 million of plant closure costs during the six months ended March 31, 2019. As of March 31, 2020, there was no restructuring reserve related to this plant restructuring.</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700" w:top="454" w:right="739" w:bottom="1440" w:gutter="0" w:footer="0" w:header="0"/>
        </w:sectPr>
      </w:pPr>
    </w:p>
    <w:bookmarkStart w:id="10" w:name="page11"/>
    <w:bookmarkEnd w:id="10"/>
    <w:p>
      <w:pPr>
        <w:ind w:left="400"/>
        <w:spacing w:after="0"/>
        <w:rPr>
          <w:sz w:val="20"/>
          <w:szCs w:val="20"/>
          <w:color w:val="auto"/>
        </w:rPr>
      </w:pPr>
      <w:r>
        <w:rPr>
          <w:rFonts w:ascii="Arial" w:cs="Arial" w:eastAsia="Arial" w:hAnsi="Arial"/>
          <w:sz w:val="20"/>
          <w:szCs w:val="20"/>
          <w:i w:val="1"/>
          <w:iCs w:val="1"/>
          <w:color w:val="auto"/>
        </w:rPr>
        <w:t>Fiscal 2020 restructuring severance costs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During the three and six months ended March 31, 2020, Ashland incurred severance expense of $14 million and $17 million, respectively, attributable to executive management changes and business management changes within the organization. As of March 31, 2020, the severance reserve associated with this transition was $16 million.</w:t>
      </w:r>
    </w:p>
    <w:p>
      <w:pPr>
        <w:spacing w:after="0" w:line="7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following table details at March 31, 2020, the amount of restructuring severance reserves related to this program. The severance reserves were primarily recorded within accrued expenses and other liabilities in the Condensed Consolidated Balance Sheet as of March 31, 2020.</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7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Severance costs</w:t>
            </w:r>
          </w:p>
        </w:tc>
      </w:tr>
      <w:tr>
        <w:trPr>
          <w:trHeight w:val="223"/>
        </w:trPr>
        <w:tc>
          <w:tcPr>
            <w:tcW w:w="20" w:type="dxa"/>
            <w:vAlign w:val="bottom"/>
          </w:tcPr>
          <w:p>
            <w:pPr>
              <w:spacing w:after="0"/>
              <w:rPr>
                <w:sz w:val="19"/>
                <w:szCs w:val="19"/>
                <w:color w:val="auto"/>
              </w:rPr>
            </w:pPr>
          </w:p>
        </w:tc>
        <w:tc>
          <w:tcPr>
            <w:tcW w:w="7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2019</w:t>
            </w:r>
          </w:p>
        </w:tc>
        <w:tc>
          <w:tcPr>
            <w:tcW w:w="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Restructuring reserve</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29"/>
        </w:trPr>
        <w:tc>
          <w:tcPr>
            <w:tcW w:w="20" w:type="dxa"/>
            <w:vAlign w:val="bottom"/>
          </w:tcPr>
          <w:p>
            <w:pPr>
              <w:spacing w:after="0"/>
              <w:rPr>
                <w:sz w:val="19"/>
                <w:szCs w:val="19"/>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2020</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2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E – FAIR VALUE MEASUREMENTS</w:t>
      </w:r>
    </w:p>
    <w:p>
      <w:pPr>
        <w:spacing w:after="0" w:line="114"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8"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72"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1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52" w:right="739" w:bottom="1440" w:gutter="0" w:footer="0" w:header="0"/>
        </w:sectPr>
      </w:pPr>
    </w:p>
    <w:bookmarkStart w:id="11" w:name="page12"/>
    <w:bookmarkEnd w:id="11"/>
    <w:p>
      <w:pPr>
        <w:ind w:left="1"/>
        <w:spacing w:after="0"/>
        <w:rPr>
          <w:sz w:val="20"/>
          <w:szCs w:val="20"/>
          <w:color w:val="auto"/>
        </w:rPr>
      </w:pPr>
      <w:r>
        <w:rPr>
          <w:rFonts w:ascii="Arial" w:cs="Arial" w:eastAsia="Arial" w:hAnsi="Arial"/>
          <w:sz w:val="19"/>
          <w:szCs w:val="19"/>
          <w:color w:val="auto"/>
        </w:rPr>
        <w:t>The following table summarizes financial instruments subject to recurring fair value measurements as of March 31, 2020.</w:t>
      </w:r>
    </w:p>
    <w:p>
      <w:pPr>
        <w:spacing w:after="0" w:line="129"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8"/>
              </w:rPr>
              <w:t>Quoted prices</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3"/>
              </w:rPr>
              <w:t>in active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1"/>
              </w:rPr>
              <w:t>markets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7"/>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Significant</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94"/>
              </w:rPr>
              <w:t>Total</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3"/>
              </w:rPr>
              <w:t>identical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140" w:type="dxa"/>
            <w:vAlign w:val="bottom"/>
          </w:tcPr>
          <w:p>
            <w:pPr>
              <w:spacing w:after="0"/>
              <w:rPr>
                <w:sz w:val="18"/>
                <w:szCs w:val="18"/>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unobservable</w:t>
            </w: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9"/>
              </w:rPr>
              <w:t>Carrying</w:t>
            </w:r>
          </w:p>
        </w:tc>
        <w:tc>
          <w:tcPr>
            <w:tcW w:w="120" w:type="dxa"/>
            <w:vAlign w:val="bottom"/>
          </w:tcPr>
          <w:p>
            <w:pPr>
              <w:spacing w:after="0"/>
              <w:rPr>
                <w:sz w:val="19"/>
                <w:szCs w:val="19"/>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rPr>
              <w:t>fair</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1"/>
              </w:rPr>
              <w:t>inputs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1"/>
              </w:rPr>
              <w:t>inputs</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88"/>
              </w:rPr>
              <w:t>value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2"/>
              </w:rPr>
              <w:t>Level 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2"/>
              </w:rPr>
              <w:t>Level 3</w:t>
            </w:r>
          </w:p>
        </w:tc>
      </w:tr>
      <w:tr>
        <w:trPr>
          <w:trHeight w:val="223"/>
        </w:trPr>
        <w:tc>
          <w:tcPr>
            <w:tcW w:w="2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353</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301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(b)</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4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63"/>
        </w:trPr>
        <w:tc>
          <w:tcPr>
            <w:tcW w:w="3680" w:type="dxa"/>
            <w:vAlign w:val="bottom"/>
            <w:gridSpan w:val="2"/>
          </w:tcPr>
          <w:p>
            <w:pPr>
              <w:spacing w:after="0"/>
              <w:rPr>
                <w:sz w:val="20"/>
                <w:szCs w:val="20"/>
                <w:color w:val="auto"/>
              </w:rPr>
            </w:pPr>
            <w:r>
              <w:rPr>
                <w:rFonts w:ascii="Arial" w:cs="Arial" w:eastAsia="Arial" w:hAnsi="Arial"/>
                <w:sz w:val="18"/>
                <w:szCs w:val="18"/>
                <w:color w:val="auto"/>
              </w:rPr>
              <w:t>Total assets at fair value</w:t>
            </w:r>
          </w:p>
        </w:tc>
        <w:tc>
          <w:tcPr>
            <w:tcW w:w="4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ind w:right="654"/>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667</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134"/>
        </w:trPr>
        <w:tc>
          <w:tcPr>
            <w:tcW w:w="2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bl>
    <w:p>
      <w:pPr>
        <w:spacing w:after="0" w:line="278" w:lineRule="exact"/>
        <w:rPr>
          <w:sz w:val="20"/>
          <w:szCs w:val="20"/>
          <w:color w:val="auto"/>
        </w:rPr>
      </w:pPr>
    </w:p>
    <w:p>
      <w:pPr>
        <w:ind w:left="401" w:hanging="401"/>
        <w:spacing w:after="0"/>
        <w:tabs>
          <w:tab w:leader="none" w:pos="40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restricted investments is $24 million classified in the other current assets caption on the Condensed Consolidated Balance Sheets.</w:t>
      </w:r>
    </w:p>
    <w:p>
      <w:pPr>
        <w:ind w:left="401" w:hanging="401"/>
        <w:spacing w:after="0"/>
        <w:tabs>
          <w:tab w:leader="none" w:pos="40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summarizes financial asset instruments subject to recurring fair value measurements as of September 30, 2019.</w:t>
      </w:r>
    </w:p>
    <w:p>
      <w:pPr>
        <w:spacing w:after="0" w:line="164"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8"/>
              </w:rPr>
              <w:t>Quoted prices</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3"/>
              </w:rPr>
              <w:t>in active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1"/>
              </w:rPr>
              <w:t>markets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7"/>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Significant</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94"/>
              </w:rPr>
              <w:t>Total</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3"/>
              </w:rPr>
              <w:t>identical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140" w:type="dxa"/>
            <w:vAlign w:val="bottom"/>
          </w:tcPr>
          <w:p>
            <w:pPr>
              <w:spacing w:after="0"/>
              <w:rPr>
                <w:sz w:val="18"/>
                <w:szCs w:val="18"/>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unobservable</w:t>
            </w: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9"/>
              </w:rPr>
              <w:t>Carrying</w:t>
            </w:r>
          </w:p>
        </w:tc>
        <w:tc>
          <w:tcPr>
            <w:tcW w:w="120" w:type="dxa"/>
            <w:vAlign w:val="bottom"/>
          </w:tcPr>
          <w:p>
            <w:pPr>
              <w:spacing w:after="0"/>
              <w:rPr>
                <w:sz w:val="19"/>
                <w:szCs w:val="19"/>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rPr>
              <w:t>fair</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1"/>
              </w:rPr>
              <w:t>inputs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1"/>
              </w:rPr>
              <w:t>inputs</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88"/>
              </w:rPr>
              <w:t>value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2"/>
              </w:rPr>
              <w:t>Level 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2"/>
              </w:rPr>
              <w:t>Level 3</w:t>
            </w:r>
          </w:p>
        </w:tc>
      </w:tr>
      <w:tr>
        <w:trPr>
          <w:trHeight w:val="223"/>
        </w:trPr>
        <w:tc>
          <w:tcPr>
            <w:tcW w:w="2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232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334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(b)</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4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63"/>
        </w:trPr>
        <w:tc>
          <w:tcPr>
            <w:tcW w:w="3680" w:type="dxa"/>
            <w:vAlign w:val="bottom"/>
            <w:gridSpan w:val="2"/>
          </w:tcPr>
          <w:p>
            <w:pPr>
              <w:spacing w:after="0"/>
              <w:rPr>
                <w:sz w:val="20"/>
                <w:szCs w:val="20"/>
                <w:color w:val="auto"/>
              </w:rPr>
            </w:pPr>
            <w:r>
              <w:rPr>
                <w:rFonts w:ascii="Arial" w:cs="Arial" w:eastAsia="Arial" w:hAnsi="Arial"/>
                <w:sz w:val="18"/>
                <w:szCs w:val="18"/>
                <w:color w:val="auto"/>
              </w:rPr>
              <w:t>Total assets at fair value</w:t>
            </w:r>
          </w:p>
        </w:tc>
        <w:tc>
          <w:tcPr>
            <w:tcW w:w="4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ind w:right="654"/>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573</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571</w:t>
            </w:r>
          </w:p>
        </w:tc>
        <w:tc>
          <w:tcPr>
            <w:tcW w:w="1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66262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57" w:lineRule="exact"/>
        <w:rPr>
          <w:sz w:val="20"/>
          <w:szCs w:val="20"/>
          <w:color w:val="auto"/>
        </w:rPr>
      </w:pPr>
    </w:p>
    <w:p>
      <w:pPr>
        <w:ind w:left="401" w:hanging="401"/>
        <w:spacing w:after="0"/>
        <w:tabs>
          <w:tab w:leader="none" w:pos="401"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restricted investments is $24 million classified in the other current assets caption on the Condensed Consolidated Balance Sheets.</w:t>
      </w:r>
    </w:p>
    <w:p>
      <w:pPr>
        <w:ind w:left="401" w:hanging="401"/>
        <w:spacing w:after="0"/>
        <w:tabs>
          <w:tab w:leader="none" w:pos="401"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60" w:right="739" w:bottom="1440" w:gutter="0" w:footer="0" w:header="0"/>
        </w:sectPr>
      </w:pPr>
    </w:p>
    <w:bookmarkStart w:id="12" w:name="page13"/>
    <w:bookmarkEnd w:id="12"/>
    <w:p>
      <w:pPr>
        <w:ind w:left="1"/>
        <w:spacing w:after="0"/>
        <w:rPr>
          <w:sz w:val="20"/>
          <w:szCs w:val="20"/>
          <w:color w:val="auto"/>
        </w:rPr>
      </w:pPr>
      <w:r>
        <w:rPr>
          <w:rFonts w:ascii="Arial" w:cs="Arial" w:eastAsia="Arial" w:hAnsi="Arial"/>
          <w:sz w:val="20"/>
          <w:szCs w:val="20"/>
          <w:b w:val="1"/>
          <w:bCs w:val="1"/>
          <w:color w:val="auto"/>
        </w:rPr>
        <w:t>Restricted investments</w:t>
      </w:r>
    </w:p>
    <w:p>
      <w:pPr>
        <w:spacing w:after="0" w:line="114" w:lineRule="exact"/>
        <w:rPr>
          <w:sz w:val="20"/>
          <w:szCs w:val="20"/>
          <w:color w:val="auto"/>
        </w:rPr>
      </w:pPr>
    </w:p>
    <w:p>
      <w:pPr>
        <w:jc w:val="both"/>
        <w:ind w:left="1" w:right="40"/>
        <w:spacing w:after="0" w:line="269" w:lineRule="auto"/>
        <w:rPr>
          <w:sz w:val="20"/>
          <w:szCs w:val="20"/>
          <w:color w:val="auto"/>
        </w:rPr>
      </w:pPr>
      <w:r>
        <w:rPr>
          <w:rFonts w:ascii="Arial" w:cs="Arial" w:eastAsia="Arial" w:hAnsi="Arial"/>
          <w:sz w:val="19"/>
          <w:szCs w:val="19"/>
          <w:color w:val="auto"/>
        </w:rPr>
        <w:t>Investment income and realized gains and losses on these company-restricted investments are reported within the net interest and other expense caption on the Statements of Consolidated Comprehensive Income (Loss). The following table provides a summary of the activity within the investment portfolio as of March 31, 2020 and September 30, 2019:</w:t>
      </w:r>
    </w:p>
    <w:p>
      <w:pPr>
        <w:spacing w:after="0" w:line="72"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0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March 31</w:t>
            </w: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340" w:type="dxa"/>
            <w:vAlign w:val="bottom"/>
            <w:gridSpan w:val="2"/>
          </w:tcPr>
          <w:p>
            <w:pPr>
              <w:jc w:val="right"/>
              <w:ind w:right="198"/>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Original cost</w:t>
            </w:r>
          </w:p>
        </w:tc>
        <w:tc>
          <w:tcPr>
            <w:tcW w:w="3340" w:type="dxa"/>
            <w:vAlign w:val="bottom"/>
            <w:tcBorders>
              <w:top w:val="single" w:sz="8" w:color="auto"/>
            </w:tcBorders>
            <w:gridSpan w:val="2"/>
            <w:shd w:val="clear" w:color="auto" w:fill="CFF0FC"/>
          </w:tcPr>
          <w:p>
            <w:pPr>
              <w:jc w:val="right"/>
              <w:ind w:right="1138"/>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46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r>
      <w:tr>
        <w:trPr>
          <w:trHeight w:val="229"/>
        </w:trPr>
        <w:tc>
          <w:tcPr>
            <w:tcW w:w="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Accumulated adjustments, net </w:t>
            </w:r>
            <w:r>
              <w:rPr>
                <w:rFonts w:ascii="Arial" w:cs="Arial" w:eastAsia="Arial" w:hAnsi="Arial"/>
                <w:sz w:val="14"/>
                <w:szCs w:val="14"/>
                <w:color w:val="auto"/>
              </w:rPr>
              <w:t>(a)</w:t>
            </w:r>
          </w:p>
        </w:tc>
        <w:tc>
          <w:tcPr>
            <w:tcW w:w="204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Adjusted cost, beginning of year</w:t>
            </w:r>
          </w:p>
        </w:tc>
        <w:tc>
          <w:tcPr>
            <w:tcW w:w="20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288</w:t>
            </w:r>
          </w:p>
        </w:tc>
      </w:tr>
      <w:tr>
        <w:trPr>
          <w:trHeight w:val="229"/>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2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unrealized gain </w:t>
            </w:r>
            <w:r>
              <w:rPr>
                <w:rFonts w:ascii="Arial" w:cs="Arial" w:eastAsia="Arial" w:hAnsi="Arial"/>
                <w:sz w:val="14"/>
                <w:szCs w:val="14"/>
                <w:color w:val="auto"/>
              </w:rPr>
              <w:t>(c)</w:t>
            </w:r>
          </w:p>
        </w:tc>
        <w:tc>
          <w:tcPr>
            <w:tcW w:w="20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xml:space="preserve">Realized gains </w:t>
            </w:r>
            <w:r>
              <w:rPr>
                <w:rFonts w:ascii="Arial" w:cs="Arial" w:eastAsia="Arial" w:hAnsi="Arial"/>
                <w:sz w:val="14"/>
                <w:szCs w:val="14"/>
                <w:color w:val="auto"/>
              </w:rPr>
              <w:t>(c)</w:t>
            </w:r>
          </w:p>
        </w:tc>
        <w:tc>
          <w:tcPr>
            <w:tcW w:w="2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29"/>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Settlement funds</w:t>
            </w:r>
          </w:p>
        </w:tc>
        <w:tc>
          <w:tcPr>
            <w:tcW w:w="20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Disbursements</w:t>
            </w:r>
          </w:p>
        </w:tc>
        <w:tc>
          <w:tcPr>
            <w:tcW w:w="204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20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13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r>
    </w:tbl>
    <w:p>
      <w:pPr>
        <w:spacing w:after="0" w:line="102" w:lineRule="exact"/>
        <w:rPr>
          <w:sz w:val="20"/>
          <w:szCs w:val="20"/>
          <w:color w:val="auto"/>
        </w:rPr>
      </w:pPr>
    </w:p>
    <w:p>
      <w:pPr>
        <w:ind w:left="401" w:hanging="401"/>
        <w:spacing w:after="0"/>
        <w:tabs>
          <w:tab w:leader="none" w:pos="401"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accumulated adjustments include investment income, realized gains, disbursements and settlements recorded in previous periods.</w:t>
      </w:r>
    </w:p>
    <w:p>
      <w:pPr>
        <w:ind w:left="401" w:hanging="401"/>
        <w:spacing w:after="0" w:line="221" w:lineRule="auto"/>
        <w:tabs>
          <w:tab w:leader="none" w:pos="401"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income for the demand deposit includes interest income as well as dividend income transferred from the equity and corporate bond mutual funds.</w:t>
      </w:r>
    </w:p>
    <w:p>
      <w:pPr>
        <w:ind w:left="401" w:hanging="401"/>
        <w:spacing w:after="0"/>
        <w:tabs>
          <w:tab w:leader="none" w:pos="401"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Presented under the original cost method.</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following table presents gross unrealized gains and losses for the restricted investment securities as of March 31, 2020 and</w:t>
      </w:r>
    </w:p>
    <w:p>
      <w:pPr>
        <w:spacing w:after="0" w:line="39" w:lineRule="exact"/>
        <w:rPr>
          <w:sz w:val="20"/>
          <w:szCs w:val="20"/>
          <w:color w:val="auto"/>
        </w:rPr>
      </w:pPr>
    </w:p>
    <w:p>
      <w:pPr>
        <w:ind w:left="1"/>
        <w:spacing w:after="0"/>
        <w:rPr>
          <w:sz w:val="20"/>
          <w:szCs w:val="20"/>
          <w:color w:val="auto"/>
        </w:rPr>
      </w:pPr>
      <w:r>
        <w:rPr>
          <w:rFonts w:ascii="Arial" w:cs="Arial" w:eastAsia="Arial" w:hAnsi="Arial"/>
          <w:sz w:val="20"/>
          <w:szCs w:val="20"/>
          <w:color w:val="auto"/>
        </w:rPr>
        <w:t>September 30, 2019:</w:t>
      </w:r>
    </w:p>
    <w:p>
      <w:pPr>
        <w:spacing w:after="0" w:line="102" w:lineRule="exact"/>
        <w:rPr>
          <w:sz w:val="20"/>
          <w:szCs w:val="20"/>
          <w:color w:val="auto"/>
        </w:rPr>
      </w:pPr>
    </w:p>
    <w:tbl>
      <w:tblPr>
        <w:tblLayout w:type="fixed"/>
        <w:tblInd w:w="1"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3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491"/>
              <w:spacing w:after="0"/>
              <w:rPr>
                <w:sz w:val="20"/>
                <w:szCs w:val="20"/>
                <w:color w:val="auto"/>
              </w:rPr>
            </w:pPr>
            <w:r>
              <w:rPr>
                <w:rFonts w:ascii="Arial" w:cs="Arial" w:eastAsia="Arial" w:hAnsi="Arial"/>
                <w:sz w:val="18"/>
                <w:szCs w:val="18"/>
                <w:color w:val="auto"/>
              </w:rPr>
              <w:t>Gross</w:t>
            </w: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Gross</w:t>
            </w: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3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71"/>
              <w:spacing w:after="0"/>
              <w:rPr>
                <w:sz w:val="20"/>
                <w:szCs w:val="20"/>
                <w:color w:val="auto"/>
              </w:rPr>
            </w:pPr>
            <w:r>
              <w:rPr>
                <w:rFonts w:ascii="Arial" w:cs="Arial" w:eastAsia="Arial" w:hAnsi="Arial"/>
                <w:sz w:val="16"/>
                <w:szCs w:val="16"/>
                <w:color w:val="auto"/>
                <w:w w:val="92"/>
              </w:rPr>
              <w:t>Adjusted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51"/>
              <w:spacing w:after="0"/>
              <w:rPr>
                <w:sz w:val="20"/>
                <w:szCs w:val="20"/>
                <w:color w:val="auto"/>
              </w:rPr>
            </w:pPr>
            <w:r>
              <w:rPr>
                <w:rFonts w:ascii="Arial" w:cs="Arial" w:eastAsia="Arial" w:hAnsi="Arial"/>
                <w:sz w:val="16"/>
                <w:szCs w:val="16"/>
                <w:color w:val="auto"/>
                <w:w w:val="94"/>
              </w:rPr>
              <w:t>Unrealized Gain</w:t>
            </w:r>
          </w:p>
        </w:tc>
        <w:tc>
          <w:tcPr>
            <w:tcW w:w="14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6"/>
                <w:szCs w:val="16"/>
                <w:color w:val="auto"/>
                <w:w w:val="94"/>
              </w:rPr>
              <w:t>Unrealized Loss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71"/>
              <w:spacing w:after="0"/>
              <w:rPr>
                <w:sz w:val="20"/>
                <w:szCs w:val="20"/>
                <w:color w:val="auto"/>
              </w:rPr>
            </w:pPr>
            <w:r>
              <w:rPr>
                <w:rFonts w:ascii="Arial" w:cs="Arial" w:eastAsia="Arial" w:hAnsi="Arial"/>
                <w:sz w:val="16"/>
                <w:szCs w:val="16"/>
                <w:color w:val="auto"/>
                <w:w w:val="98"/>
              </w:rPr>
              <w:t>Fair Value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 of March 31, 2020</w:t>
            </w: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Demand deposit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Fixed income mutual fund</w:t>
            </w:r>
          </w:p>
        </w:tc>
        <w:tc>
          <w:tcPr>
            <w:tcW w:w="1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296</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September 30, 2019</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Demand deposit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Fixed income mutual fund</w:t>
            </w:r>
          </w:p>
        </w:tc>
        <w:tc>
          <w:tcPr>
            <w:tcW w:w="1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ind w:left="1" w:right="40"/>
        <w:spacing w:after="0" w:line="260" w:lineRule="auto"/>
        <w:rPr>
          <w:sz w:val="20"/>
          <w:szCs w:val="20"/>
          <w:color w:val="auto"/>
        </w:rPr>
      </w:pPr>
      <w:r>
        <w:rPr>
          <w:rFonts w:ascii="Arial" w:cs="Arial" w:eastAsia="Arial" w:hAnsi="Arial"/>
          <w:sz w:val="20"/>
          <w:szCs w:val="20"/>
          <w:color w:val="auto"/>
        </w:rPr>
        <w:t>The following table presents the investment income, net gains and losses realized and disbursements related to the investments within the portfolio for the three and six months ended March 31, 2020 and 2019.</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Three months ended</w:t>
            </w:r>
          </w:p>
        </w:tc>
        <w:tc>
          <w:tcPr>
            <w:tcW w:w="6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Six months ended</w:t>
            </w:r>
          </w:p>
        </w:tc>
        <w:tc>
          <w:tcPr>
            <w:tcW w:w="64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March 31</w:t>
            </w:r>
          </w:p>
        </w:tc>
        <w:tc>
          <w:tcPr>
            <w:tcW w:w="6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March 31</w:t>
            </w:r>
          </w:p>
        </w:tc>
        <w:tc>
          <w:tcPr>
            <w:tcW w:w="640" w:type="dxa"/>
            <w:vAlign w:val="bottom"/>
            <w:tcBorders>
              <w:bottom w:val="single" w:sz="8" w:color="auto"/>
            </w:tcBorders>
          </w:tcPr>
          <w:p>
            <w:pPr>
              <w:spacing w:after="0"/>
              <w:rPr>
                <w:sz w:val="20"/>
                <w:szCs w:val="20"/>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90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7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540" w:type="dxa"/>
            <w:vAlign w:val="bottom"/>
            <w:tcBorders>
              <w:top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w:t>
            </w:r>
          </w:p>
        </w:tc>
        <w:tc>
          <w:tcPr>
            <w:tcW w:w="90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4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w:t>
            </w:r>
          </w:p>
        </w:tc>
        <w:tc>
          <w:tcPr>
            <w:tcW w:w="72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29"/>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 xml:space="preserve">Net gains (losses) unrealized </w:t>
            </w:r>
            <w:r>
              <w:rPr>
                <w:rFonts w:ascii="Arial" w:cs="Arial" w:eastAsia="Arial" w:hAnsi="Arial"/>
                <w:sz w:val="14"/>
                <w:szCs w:val="14"/>
                <w:color w:val="auto"/>
              </w:rPr>
              <w:t>(a)</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90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Disbursements</w:t>
            </w:r>
          </w:p>
        </w:tc>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135"/>
        </w:trPr>
        <w:tc>
          <w:tcPr>
            <w:tcW w:w="20" w:type="dxa"/>
            <w:vAlign w:val="bottom"/>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pacing w:after="0" w:line="130" w:lineRule="exact"/>
        <w:rPr>
          <w:sz w:val="20"/>
          <w:szCs w:val="20"/>
          <w:color w:val="auto"/>
        </w:rPr>
      </w:pPr>
    </w:p>
    <w:p>
      <w:pPr>
        <w:jc w:val="both"/>
        <w:ind w:left="401" w:hanging="401"/>
        <w:spacing w:after="0" w:line="238" w:lineRule="auto"/>
        <w:tabs>
          <w:tab w:leader="none" w:pos="401" w:val="left"/>
        </w:tabs>
        <w:numPr>
          <w:ilvl w:val="0"/>
          <w:numId w:val="9"/>
        </w:numPr>
        <w:rPr>
          <w:rFonts w:ascii="Arial" w:cs="Arial" w:eastAsia="Arial" w:hAnsi="Arial"/>
          <w:sz w:val="14"/>
          <w:szCs w:val="14"/>
          <w:color w:val="auto"/>
        </w:rPr>
      </w:pPr>
      <w:r>
        <w:rPr>
          <w:rFonts w:ascii="Arial" w:cs="Arial" w:eastAsia="Arial" w:hAnsi="Arial"/>
          <w:sz w:val="14"/>
          <w:szCs w:val="14"/>
          <w:color w:val="auto"/>
        </w:rPr>
        <w:t>Ashland determined that all unrealized gains and losses were related to equity securities with readily determinable fair values. Due to the new accounting guidance adopted in the first quarter of fiscal 2019, the net unrealized gains (losses) during the three months ended December 31, 2018 and forward were recorded within the net interest and other expense caption in the Statements of Consolidated Comprehensive Income (Loss).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1"/>
          </w:cols>
          <w:pgMar w:left="719" w:top="454" w:right="699" w:bottom="1440" w:gutter="0" w:footer="0" w:header="0"/>
        </w:sectPr>
      </w:pPr>
    </w:p>
    <w:bookmarkStart w:id="13" w:name="page14"/>
    <w:bookmarkEnd w:id="13"/>
    <w:p>
      <w:pPr>
        <w:ind w:left="400"/>
        <w:spacing w:after="0"/>
        <w:rPr>
          <w:sz w:val="20"/>
          <w:szCs w:val="20"/>
          <w:color w:val="auto"/>
        </w:rPr>
      </w:pPr>
      <w:r>
        <w:rPr>
          <w:rFonts w:ascii="Arial" w:cs="Arial" w:eastAsia="Arial" w:hAnsi="Arial"/>
          <w:sz w:val="20"/>
          <w:szCs w:val="20"/>
          <w:b w:val="1"/>
          <w:bCs w:val="1"/>
          <w:color w:val="auto"/>
        </w:rPr>
        <w:t>Foreign currency derivatives</w:t>
      </w:r>
    </w:p>
    <w:p>
      <w:pPr>
        <w:spacing w:after="0" w:line="114" w:lineRule="exact"/>
        <w:rPr>
          <w:sz w:val="20"/>
          <w:szCs w:val="20"/>
          <w:color w:val="auto"/>
        </w:rPr>
      </w:pPr>
    </w:p>
    <w:p>
      <w:pPr>
        <w:jc w:val="both"/>
        <w:ind w:left="400"/>
        <w:spacing w:after="0" w:line="272" w:lineRule="auto"/>
        <w:rPr>
          <w:sz w:val="20"/>
          <w:szCs w:val="20"/>
          <w:color w:val="auto"/>
        </w:rPr>
      </w:pPr>
      <w:r>
        <w:rPr>
          <w:rFonts w:ascii="Arial" w:cs="Arial" w:eastAsia="Arial" w:hAnsi="Arial"/>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net gains and losses recognized during the three and six months ended March 31, 2020 and 2019 within the Statements of Consolidated Comprehensive Income (Loss).</w:t>
      </w:r>
    </w:p>
    <w:p>
      <w:pPr>
        <w:spacing w:after="0" w:line="73"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8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7"/>
              </w:rPr>
              <w:t>Three months ended</w:t>
            </w:r>
          </w:p>
        </w:tc>
        <w:tc>
          <w:tcPr>
            <w:tcW w:w="6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8"/>
              </w:rPr>
              <w:t>Six months ended</w:t>
            </w:r>
          </w:p>
        </w:tc>
        <w:tc>
          <w:tcPr>
            <w:tcW w:w="6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March 31</w:t>
            </w: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9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currency derivative gains (losses)</w:t>
            </w:r>
          </w:p>
        </w:tc>
        <w:tc>
          <w:tcPr>
            <w:tcW w:w="1220" w:type="dxa"/>
            <w:vAlign w:val="bottom"/>
            <w:tcBorders>
              <w:top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96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80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bl>
    <w:p>
      <w:pPr>
        <w:spacing w:after="0" w:line="25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following table summarizes the fair values of the outstanding foreign currency derivatives as of March 31, 2020 and September 30, 2019 included in accounts receivable and accrued expenses and other liabilities of the Condensed Consolidated Balance Sheets.</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560" w:type="dxa"/>
            <w:vAlign w:val="bottom"/>
            <w:tcBorders>
              <w:top w:val="single" w:sz="8" w:color="auto"/>
            </w:tcBorders>
          </w:tcPr>
          <w:p>
            <w:pPr>
              <w:spacing w:after="0"/>
              <w:rPr>
                <w:sz w:val="21"/>
                <w:szCs w:val="21"/>
                <w:color w:val="auto"/>
              </w:rPr>
            </w:pPr>
          </w:p>
        </w:tc>
        <w:tc>
          <w:tcPr>
            <w:tcW w:w="3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March 31</w:t>
            </w:r>
          </w:p>
        </w:tc>
        <w:tc>
          <w:tcPr>
            <w:tcW w:w="5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180" w:type="dxa"/>
            <w:vAlign w:val="bottom"/>
          </w:tcPr>
          <w:p>
            <w:pPr>
              <w:jc w:val="right"/>
              <w:ind w:right="19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currency derivative assets</w:t>
            </w:r>
          </w:p>
        </w:tc>
        <w:tc>
          <w:tcPr>
            <w:tcW w:w="3180" w:type="dxa"/>
            <w:vAlign w:val="bottom"/>
            <w:tcBorders>
              <w:top w:val="single" w:sz="8" w:color="auto"/>
            </w:tcBorders>
            <w:shd w:val="clear" w:color="auto" w:fill="CFF0FC"/>
          </w:tcPr>
          <w:p>
            <w:pPr>
              <w:jc w:val="right"/>
              <w:ind w:right="113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w:t>
            </w:r>
          </w:p>
        </w:tc>
        <w:tc>
          <w:tcPr>
            <w:tcW w:w="4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3180" w:type="dxa"/>
            <w:vAlign w:val="bottom"/>
          </w:tcPr>
          <w:p>
            <w:pPr>
              <w:spacing w:after="0"/>
              <w:rPr>
                <w:sz w:val="19"/>
                <w:szCs w:val="19"/>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169</w:t>
            </w:r>
          </w:p>
        </w:tc>
        <w:tc>
          <w:tcPr>
            <w:tcW w:w="42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3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currency derivative liabilities</w:t>
            </w:r>
          </w:p>
        </w:tc>
        <w:tc>
          <w:tcPr>
            <w:tcW w:w="318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Notional contract values</w:t>
            </w:r>
          </w:p>
        </w:tc>
        <w:tc>
          <w:tcPr>
            <w:tcW w:w="31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300</w:t>
            </w:r>
          </w:p>
        </w:tc>
        <w:tc>
          <w:tcPr>
            <w:tcW w:w="42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financial instruments</w:t>
      </w:r>
    </w:p>
    <w:p>
      <w:pPr>
        <w:spacing w:after="0" w:line="114"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At March 31, 2020 and September 30, 2019, Ashland's long-term debt (including the current portion and excluding debt issuance cost discounts) had a carrying value of $1,550 million and $1,513 million, respectively, compared to a fair value of $1,567 million and $1,680 million, respectively. The fair values of long-term debt are based on quoted market prices or, if market prices are not available, the present values of the underlying cash flows discounted at Ashland’s incremental borrowing rates.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INVENTORIES</w:t>
      </w:r>
    </w:p>
    <w:p>
      <w:pPr>
        <w:spacing w:after="0" w:line="114"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Inventories are carried at the lower of cost or net realizable value. Inventories are primarily stated at cost using the weighted-average cost method. In addition, certain inventories are valued at cost using the last-in, first-out (LIFO) method.</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table summarizes Ashland’s inventories as of the reported Condensed Consolidated Balance Sheet dates.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6"/>
        </w:trPr>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(In millions)</w:t>
            </w:r>
          </w:p>
        </w:tc>
        <w:tc>
          <w:tcPr>
            <w:tcW w:w="17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March 31, 2020</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96"/>
              </w:rPr>
              <w:t>September 30, 2019</w:t>
            </w:r>
          </w:p>
        </w:tc>
      </w:tr>
      <w:tr>
        <w:trPr>
          <w:trHeight w:val="213"/>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Finished products</w:t>
            </w:r>
          </w:p>
        </w:tc>
        <w:tc>
          <w:tcPr>
            <w:tcW w:w="196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420</w:t>
            </w:r>
          </w:p>
        </w:tc>
        <w:tc>
          <w:tcPr>
            <w:tcW w:w="40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Raw materials, supplies and work in process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197</w:t>
            </w: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611</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597</w:t>
            </w: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54" w:right="7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NOTE G – GOODWILL AND OTHER INTANGIBLES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Ashland tests goodwill and other indefinite-lived intangible assets for impairment annually as of July 1 and when events and circumstances indicate an impairment may have occurred. Ashland tests goodwill and other indefinite-lived intangible assets for impairment by comparing the estimated fair value of the reporting units (for goodwill) and other indefinite-lived intangible assets to the related carrying value. If the carrying amount of a reporting unit or other indefinite-lived intangible asset exceeds its estimated fair value, Ashland records an impairment loss based on the difference between fair value and carrying amount, in the case of reporting units, not to exceed to the associated carrying amount of goodwill.</w:t>
      </w:r>
    </w:p>
    <w:p>
      <w:pPr>
        <w:spacing w:after="0" w:line="70"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During the second quarter of fiscal 2020, Ashland realigned its operations into five reportable segments which resulted in a reassessment of the Company’s reporting units used to evaluate goodwill impairment. The Company’s reporting units align with its reportable segments. Ashland determined that its reporting units are Life Sciences, Personal Care &amp; Household, Specialty Additives, Performance Adhesives, and Intermediates and Solvents. Prior to the business realignment, the reporting units consisted of Ashland Specialty Ingredients and Intermediates and Solvents. The Ashland Specialty Ingredients reporting unit contained all of Ashland’s reported goodwill at September 30, 2019.</w:t>
      </w:r>
    </w:p>
    <w:p>
      <w:pPr>
        <w:spacing w:after="0" w:line="70"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In conjunction with the realignment, Ashland tested goodwill for impairment for each reporting unit both immediately before and immediately after the business realignment. The fair values of the reporting units were determined using a combination of discounted cash flow models and valuations based on earnings multiples for guideline public companies in each reporting unit’s industry peer group. Significant assumptions inherent in the valuation methodologies include estimates of future projected business results (principally revenue and EBITDA), long-term growth rates, and the weighted-average cost of capital.</w:t>
      </w:r>
    </w:p>
    <w:p>
      <w:pPr>
        <w:spacing w:after="0" w:line="57"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The goodwill impairment test under the former reporting unit structure concluded that no impairment existed during the second quarter of fiscal 2020. Ashland then allocated goodwill to the new reporting unit structure using a relative fair value approach and re-assessed goodwill for impairment for each of its new reporting units. The impairment test under the new reporting unit structure concluded that the carrying value of the Personal Care &amp; Household and the Specialty Additives reporting units exceeded their fair value, resulting in a non-cash goodwill impairment charge of $530 million, which was recorded within the Goodwill impairment caption within the Statement of Consolidated Comprehensive Income (Loss) for the three and six months ended March 31, 2020. The Personal Care &amp; Household goodwill impairment charge was due in large part to lower growth and lower margins since the acquisition of the Oral Care and Avoca businesses, which collectively have resulted in reduced cash flow projections. The Specialty Additives goodwill impairment charge was also due in large part to lower growth and lower margins within the global construction and energy markets, which collectively have resulted in reduced cash flow projections.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progression of goodwill by reportable segment for the six months ended March 31, 2020.</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0"/>
              </w:rPr>
              <w:t>Personal Care</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8"/>
              </w:rPr>
              <w:t>Specialty</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87"/>
              </w:rPr>
              <w:t>Performance</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98"/>
              </w:rPr>
              <w:t>Intermediates</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30"/>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5"/>
              </w:rPr>
              <w:t>Life Sciences</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8"/>
              </w:rPr>
              <w:t>&amp; Household</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Additives</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Adhesives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 Solvents</w:t>
            </w:r>
          </w:p>
        </w:tc>
        <w:tc>
          <w:tcPr>
            <w:tcW w:w="4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(a)</w:t>
            </w: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09"/>
        </w:trPr>
        <w:tc>
          <w:tcPr>
            <w:tcW w:w="1920" w:type="dxa"/>
            <w:vAlign w:val="bottom"/>
            <w:gridSpan w:val="2"/>
          </w:tcPr>
          <w:p>
            <w:pPr>
              <w:spacing w:after="0"/>
              <w:rPr>
                <w:sz w:val="20"/>
                <w:szCs w:val="20"/>
                <w:color w:val="auto"/>
              </w:rPr>
            </w:pPr>
            <w:r>
              <w:rPr>
                <w:rFonts w:ascii="Arial" w:cs="Arial" w:eastAsia="Arial" w:hAnsi="Arial"/>
                <w:sz w:val="18"/>
                <w:szCs w:val="18"/>
                <w:color w:val="auto"/>
              </w:rPr>
              <w:t>Balance at September</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920" w:type="dxa"/>
            <w:vAlign w:val="bottom"/>
            <w:gridSpan w:val="2"/>
          </w:tcPr>
          <w:p>
            <w:pPr>
              <w:jc w:val="right"/>
              <w:ind w:right="1050"/>
              <w:spacing w:after="0"/>
              <w:rPr>
                <w:sz w:val="20"/>
                <w:szCs w:val="20"/>
                <w:color w:val="auto"/>
              </w:rPr>
            </w:pPr>
            <w:r>
              <w:rPr>
                <w:rFonts w:ascii="Arial" w:cs="Arial" w:eastAsia="Arial" w:hAnsi="Arial"/>
                <w:sz w:val="18"/>
                <w:szCs w:val="18"/>
                <w:color w:val="auto"/>
              </w:rPr>
              <w:t>30, 2019</w:t>
            </w:r>
          </w:p>
        </w:tc>
        <w:tc>
          <w:tcPr>
            <w:tcW w:w="8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836</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2,253</w:t>
            </w:r>
          </w:p>
        </w:tc>
      </w:tr>
      <w:tr>
        <w:trPr>
          <w:trHeight w:val="229"/>
        </w:trPr>
        <w:tc>
          <w:tcPr>
            <w:tcW w:w="20" w:type="dxa"/>
            <w:vAlign w:val="bottom"/>
          </w:tcPr>
          <w:p>
            <w:pPr>
              <w:spacing w:after="0"/>
              <w:rPr>
                <w:sz w:val="19"/>
                <w:szCs w:val="19"/>
                <w:color w:val="auto"/>
              </w:rPr>
            </w:pPr>
          </w:p>
        </w:tc>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Impairment</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r>
      <w:tr>
        <w:trPr>
          <w:trHeight w:val="230"/>
        </w:trPr>
        <w:tc>
          <w:tcPr>
            <w:tcW w:w="20" w:type="dxa"/>
            <w:vAlign w:val="bottom"/>
          </w:tcPr>
          <w:p>
            <w:pPr>
              <w:spacing w:after="0"/>
              <w:rPr>
                <w:sz w:val="19"/>
                <w:szCs w:val="19"/>
                <w:color w:val="auto"/>
              </w:rPr>
            </w:pPr>
          </w:p>
        </w:tc>
        <w:tc>
          <w:tcPr>
            <w:tcW w:w="1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translation</w:t>
            </w:r>
          </w:p>
        </w:tc>
        <w:tc>
          <w:tcPr>
            <w:tcW w:w="3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w:t>
            </w: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FF0FC"/>
          </w:tcPr>
          <w:p>
            <w:pPr>
              <w:jc w:val="right"/>
              <w:ind w:right="1050"/>
              <w:spacing w:after="0"/>
              <w:rPr>
                <w:sz w:val="20"/>
                <w:szCs w:val="20"/>
                <w:color w:val="auto"/>
              </w:rPr>
            </w:pPr>
            <w:r>
              <w:rPr>
                <w:rFonts w:ascii="Arial" w:cs="Arial" w:eastAsia="Arial" w:hAnsi="Arial"/>
                <w:sz w:val="18"/>
                <w:szCs w:val="18"/>
                <w:color w:val="auto"/>
              </w:rPr>
              <w:t>31, 2020</w:t>
            </w:r>
          </w:p>
        </w:tc>
        <w:tc>
          <w:tcPr>
            <w:tcW w:w="80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835</w:t>
            </w:r>
          </w:p>
        </w:tc>
        <w:tc>
          <w:tcPr>
            <w:tcW w:w="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1,723</w:t>
            </w:r>
          </w:p>
        </w:tc>
      </w:tr>
      <w:tr>
        <w:trPr>
          <w:trHeight w:val="20"/>
        </w:trPr>
        <w:tc>
          <w:tcPr>
            <w:tcW w:w="20" w:type="dxa"/>
            <w:vAlign w:val="bottom"/>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800" w:hanging="401"/>
        <w:spacing w:after="0"/>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March 31, 2020 and September 30, 2019, there was accumulated impairment of $90 million related to the Intermediates and Solvents reportable segment.</w:t>
      </w:r>
    </w:p>
    <w:p>
      <w:pPr>
        <w:spacing w:after="0" w:line="20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46" w:right="7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Other intangible assets</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Ashland annually reviews, as of July 1, indefinite-lived intangible assets for possible impairment or whenever events or changes in circumstances indicate that carrying amounts may not be recoverable.</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 tested its indefinite-lived intangible assets for impairment during the second quarter of fiscal 2020 as a result of the business realignment. Trademarks and trade names are valued using a “relief-from-royalty” valuation method compared to the carrying value. No impairment was indicated for trademarks and trade names.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were comprised of the following as of March 31, 2020 and September 30,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2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color w:val="auto"/>
                <w:w w:val="92"/>
              </w:rPr>
              <w:t>March 31, 2020</w:t>
            </w:r>
          </w:p>
        </w:tc>
        <w:tc>
          <w:tcPr>
            <w:tcW w:w="2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7"/>
              </w:rPr>
              <w:t>Gross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54"/>
              <w:spacing w:after="0"/>
              <w:rPr>
                <w:sz w:val="20"/>
                <w:szCs w:val="20"/>
                <w:color w:val="auto"/>
              </w:rPr>
            </w:pPr>
            <w:r>
              <w:rPr>
                <w:rFonts w:ascii="Arial" w:cs="Arial" w:eastAsia="Arial" w:hAnsi="Arial"/>
                <w:sz w:val="18"/>
                <w:szCs w:val="18"/>
                <w:color w:val="auto"/>
                <w:w w:val="93"/>
              </w:rPr>
              <w:t>carrying</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10"/>
              <w:spacing w:after="0"/>
              <w:rPr>
                <w:sz w:val="20"/>
                <w:szCs w:val="20"/>
                <w:color w:val="auto"/>
              </w:rPr>
            </w:pPr>
            <w:r>
              <w:rPr>
                <w:rFonts w:ascii="Arial" w:cs="Arial" w:eastAsia="Arial" w:hAnsi="Arial"/>
                <w:sz w:val="18"/>
                <w:szCs w:val="18"/>
                <w:color w:val="auto"/>
                <w:w w:val="93"/>
              </w:rPr>
              <w:t>carrying</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Pr>
          <w:p>
            <w:pPr>
              <w:spacing w:after="0"/>
              <w:rPr>
                <w:sz w:val="20"/>
                <w:szCs w:val="20"/>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9"/>
              </w:rPr>
              <w:t>amount</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89"/>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5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1940" w:type="dxa"/>
            <w:vAlign w:val="bottom"/>
            <w:gridSpan w:val="2"/>
          </w:tcPr>
          <w:p>
            <w:pPr>
              <w:jc w:val="right"/>
              <w:ind w:right="125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(30)</w:t>
            </w:r>
          </w:p>
        </w:tc>
        <w:tc>
          <w:tcPr>
            <w:tcW w:w="6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Intellectual property</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Customer and supplier relationships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5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1,518</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5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5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1,796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8"/>
              </w:rPr>
              <w:t>September 30, 2019</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7"/>
              </w:rPr>
              <w:t>Gross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54"/>
              <w:spacing w:after="0"/>
              <w:rPr>
                <w:sz w:val="20"/>
                <w:szCs w:val="20"/>
                <w:color w:val="auto"/>
              </w:rPr>
            </w:pPr>
            <w:r>
              <w:rPr>
                <w:rFonts w:ascii="Arial" w:cs="Arial" w:eastAsia="Arial" w:hAnsi="Arial"/>
                <w:sz w:val="18"/>
                <w:szCs w:val="18"/>
                <w:color w:val="auto"/>
                <w:w w:val="93"/>
              </w:rPr>
              <w:t>carrying</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10"/>
              <w:spacing w:after="0"/>
              <w:rPr>
                <w:sz w:val="20"/>
                <w:szCs w:val="20"/>
                <w:color w:val="auto"/>
              </w:rPr>
            </w:pPr>
            <w:r>
              <w:rPr>
                <w:rFonts w:ascii="Arial" w:cs="Arial" w:eastAsia="Arial" w:hAnsi="Arial"/>
                <w:sz w:val="18"/>
                <w:szCs w:val="18"/>
                <w:color w:val="auto"/>
                <w:w w:val="93"/>
              </w:rPr>
              <w:t>carrying</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Pr>
          <w:p>
            <w:pPr>
              <w:spacing w:after="0"/>
              <w:rPr>
                <w:sz w:val="20"/>
                <w:szCs w:val="20"/>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9"/>
              </w:rPr>
              <w:t>amount</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89"/>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5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1940" w:type="dxa"/>
            <w:vAlign w:val="bottom"/>
            <w:gridSpan w:val="2"/>
          </w:tcPr>
          <w:p>
            <w:pPr>
              <w:jc w:val="right"/>
              <w:ind w:right="125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(29)</w:t>
            </w:r>
          </w:p>
        </w:tc>
        <w:tc>
          <w:tcPr>
            <w:tcW w:w="6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Intellectual property</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Customer and supplier relationships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5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1,522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5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5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1,800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Amortization expense recognized on intangible assets was $21 million for both the three months ended March 31, 2020 and 2019 and $42 million and $43 million for the six months ended March 31, 2020 and 2019, respectively, and is included in the Intangibles Amortization Expense caption of the Statements of Consolidated Comprehensive Income (Loss). Estimated amortization expense for future periods is $85 million in 2020 (includes six months actual and six months estimated), $85 million in 2021, $84 million in 2022, $84 million in 2023 and $70 million in 2024.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54" w:right="7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NOTE H – DEBT</w:t>
      </w:r>
    </w:p>
    <w:p>
      <w:pPr>
        <w:spacing w:after="0" w:line="114"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The following table summarizes Ashland’s current and long-term debt as of the dates reported in the Condensed Consolidated Balance Sheets.</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5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9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March 31, 2020</w:t>
            </w:r>
          </w:p>
        </w:tc>
        <w:tc>
          <w:tcPr>
            <w:tcW w:w="1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September 30, 2019</w:t>
            </w:r>
          </w:p>
        </w:tc>
      </w:tr>
      <w:tr>
        <w:trPr>
          <w:trHeight w:val="223"/>
        </w:trPr>
        <w:tc>
          <w:tcPr>
            <w:tcW w:w="20" w:type="dxa"/>
            <w:vAlign w:val="bottom"/>
          </w:tcPr>
          <w:p>
            <w:pPr>
              <w:spacing w:after="0"/>
              <w:rPr>
                <w:sz w:val="19"/>
                <w:szCs w:val="19"/>
                <w:color w:val="auto"/>
              </w:rPr>
            </w:pPr>
          </w:p>
        </w:tc>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4.750% notes, due 2022</w:t>
            </w:r>
          </w:p>
        </w:tc>
        <w:tc>
          <w:tcPr>
            <w:tcW w:w="134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410</w:t>
            </w:r>
          </w:p>
        </w:tc>
        <w:tc>
          <w:tcPr>
            <w:tcW w:w="480" w:type="dxa"/>
            <w:vAlign w:val="bottom"/>
            <w:tcBorders>
              <w:top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1,080</w:t>
            </w:r>
          </w:p>
        </w:tc>
      </w:tr>
      <w:tr>
        <w:trPr>
          <w:trHeight w:val="229"/>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2.00% Senior Notes, due 2028 (Euro 500 million principal)</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6.875% notes, due 2043</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374</w:t>
            </w: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Term loan A, due 2025</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w:t>
            </w: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6.50% junior subordinated notes, due 2029</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2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r>
      <w:tr>
        <w:trPr>
          <w:trHeight w:val="223"/>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1,667</w:t>
            </w:r>
          </w:p>
        </w:tc>
      </w:tr>
      <w:tr>
        <w:trPr>
          <w:trHeight w:val="229"/>
        </w:trPr>
        <w:tc>
          <w:tcPr>
            <w:tcW w:w="20" w:type="dxa"/>
            <w:vAlign w:val="bottom"/>
          </w:tcPr>
          <w:p>
            <w:pPr>
              <w:spacing w:after="0"/>
              <w:rPr>
                <w:sz w:val="19"/>
                <w:szCs w:val="19"/>
                <w:color w:val="auto"/>
              </w:rPr>
            </w:pPr>
          </w:p>
        </w:tc>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20" w:type="dxa"/>
            <w:vAlign w:val="bottom"/>
          </w:tcPr>
          <w:p>
            <w:pPr>
              <w:spacing w:after="0"/>
              <w:rPr>
                <w:sz w:val="19"/>
                <w:szCs w:val="19"/>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9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1,535</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1,501</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800" w:hanging="401"/>
        <w:spacing w:after="0" w:line="313" w:lineRule="auto"/>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$15 million and $12 million of debt issuance cost discounts as of March 31, 2020 and September 30, 2019, respectively. Additionally, as of both March 31, 2020 and September 30, 2019, Other included a European short-term loan facility with an outstanding balance of $22 million.</w:t>
      </w:r>
    </w:p>
    <w:p>
      <w:pPr>
        <w:spacing w:after="0" w:line="5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scheduled aggregate maturities of long-term debt by year (including the current portion and excluding debt issuance costs) are as follows as of March 31, 2020: zero remaining in 2020, zero in 2021, $421 million in 2022, $22 million in 2023 and $44 million in 2024.</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Ashland Financing Activities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20"/>
          <w:szCs w:val="20"/>
          <w:i w:val="1"/>
          <w:iCs w:val="1"/>
          <w:color w:val="auto"/>
        </w:rPr>
        <w:t>Credit Agreements and Refinancing</w:t>
      </w:r>
    </w:p>
    <w:p>
      <w:pPr>
        <w:spacing w:after="0" w:line="108" w:lineRule="exact"/>
        <w:rPr>
          <w:sz w:val="20"/>
          <w:szCs w:val="20"/>
          <w:color w:val="auto"/>
        </w:rPr>
      </w:pPr>
    </w:p>
    <w:p>
      <w:pPr>
        <w:jc w:val="both"/>
        <w:ind w:left="420"/>
        <w:spacing w:after="0" w:line="243" w:lineRule="auto"/>
        <w:rPr>
          <w:sz w:val="20"/>
          <w:szCs w:val="20"/>
          <w:color w:val="auto"/>
        </w:rPr>
      </w:pPr>
      <w:r>
        <w:rPr>
          <w:rFonts w:ascii="Arial" w:cs="Arial" w:eastAsia="Arial" w:hAnsi="Arial"/>
          <w:sz w:val="20"/>
          <w:szCs w:val="20"/>
          <w:color w:val="auto"/>
        </w:rPr>
        <w:t>During January 2020, Ashland LLC and Ashland Services B.V., indirect wholly owned subsidiaries of Ashland, entered into a new senior unsecured credit agreement (the 2020 Credit Agreement) with a group of lenders, replacing the 2017 Credit Agreement. The 2020 Credit Agreement provides for (i) a $600 million unsecured five-year revolving credit facility (the revolving credit facility) and (ii) a $250 million unsecured five-year term loan facility (the term loan facility). The 2020 Credit Agreement is guaranteed by Ashland Global Holdings Inc. and Ashland Chemco Inc., and the obligations of Ashland Services B.V. under the revolving credit facility are guaranteed by Ashland LLC.</w:t>
      </w:r>
    </w:p>
    <w:p>
      <w:pPr>
        <w:spacing w:after="0" w:line="88" w:lineRule="exact"/>
        <w:rPr>
          <w:sz w:val="20"/>
          <w:szCs w:val="20"/>
          <w:color w:val="auto"/>
        </w:rPr>
      </w:pPr>
    </w:p>
    <w:p>
      <w:pPr>
        <w:jc w:val="both"/>
        <w:ind w:left="420"/>
        <w:spacing w:after="0" w:line="244" w:lineRule="auto"/>
        <w:rPr>
          <w:sz w:val="20"/>
          <w:szCs w:val="20"/>
          <w:color w:val="auto"/>
        </w:rPr>
      </w:pPr>
      <w:r>
        <w:rPr>
          <w:rFonts w:ascii="Arial" w:cs="Arial" w:eastAsia="Arial" w:hAnsi="Arial"/>
          <w:sz w:val="20"/>
          <w:szCs w:val="20"/>
          <w:color w:val="auto"/>
        </w:rPr>
        <w:t>The 2020 Credit Agreement contains financial covenants for leverage and interest coverage ratios akin to those in effect under the 2017 Credit Agreement. The 2020 Credit Agreement contains usual and customary representations, warranties and 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86" w:lineRule="exact"/>
        <w:rPr>
          <w:sz w:val="20"/>
          <w:szCs w:val="20"/>
          <w:color w:val="auto"/>
        </w:rPr>
      </w:pPr>
    </w:p>
    <w:p>
      <w:pPr>
        <w:jc w:val="both"/>
        <w:ind w:left="420"/>
        <w:spacing w:after="0" w:line="243" w:lineRule="auto"/>
        <w:rPr>
          <w:sz w:val="20"/>
          <w:szCs w:val="20"/>
          <w:color w:val="auto"/>
        </w:rPr>
      </w:pPr>
      <w:r>
        <w:rPr>
          <w:rFonts w:ascii="Arial" w:cs="Arial" w:eastAsia="Arial" w:hAnsi="Arial"/>
          <w:sz w:val="20"/>
          <w:szCs w:val="20"/>
          <w:color w:val="auto"/>
        </w:rPr>
        <w:t>Ashland incurred $4 million of new debt issuance costs in connection with the 2020 Credit Agreement, of which $1 million was expensed immediately during the three and six months ended March 31, 2020 within the net interest and other expense caption of the Statements of Consolidated Comprehensive Income (Loss). The remaining balance is amortized using either the effective interest method or straight-line method. Additionally, as a result of the termination of the 2017 Credit Agreement, Ashland recognized a $1 million charge for the accelerated amortization of previously capitalized debt issuance costs during the three and six months ended March 31, 2020, which is included in the net interest and other expense caption of the Statements of Consolidated Comprehensive Income (Loss).</w:t>
      </w:r>
    </w:p>
    <w:p>
      <w:pPr>
        <w:spacing w:after="0" w:line="19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46" w:right="73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i w:val="1"/>
          <w:iCs w:val="1"/>
          <w:color w:val="auto"/>
        </w:rPr>
        <w:t>Note Issuance and existing notes tender</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During January 2020, a subsidiary of Ashland, Ashland Services B.V., completed the issuance of 2.00% senior unsecured notes due 2028 with an aggregate principal amount of €500 million (the 2028 Notes). The notes are senior unsecured obligations of Ashland Services B.V and initially guaranteed on an unsecured basis by each of Ashland Global Holdings Inc. and Ashland LLC. Ashland used the net proceeds of the offering (after deducting initial purchasers’ discounts and other fees and expenses), together with the proceeds of the new term loan facility and other funds of Ashland LLC or its subsidiaries, to repurchase the existing notes described below in cash tender offers, and to pay fees and expenses associated therewith.</w:t>
      </w:r>
    </w:p>
    <w:p>
      <w:pPr>
        <w:spacing w:after="0" w:line="70" w:lineRule="exact"/>
        <w:rPr>
          <w:sz w:val="20"/>
          <w:szCs w:val="20"/>
          <w:color w:val="auto"/>
        </w:rPr>
      </w:pPr>
    </w:p>
    <w:p>
      <w:pPr>
        <w:jc w:val="both"/>
        <w:ind w:left="20"/>
        <w:spacing w:after="0" w:line="260" w:lineRule="auto"/>
        <w:rPr>
          <w:sz w:val="20"/>
          <w:szCs w:val="20"/>
          <w:color w:val="auto"/>
        </w:rPr>
      </w:pPr>
      <w:r>
        <w:rPr>
          <w:rFonts w:ascii="Arial" w:cs="Arial" w:eastAsia="Arial" w:hAnsi="Arial"/>
          <w:sz w:val="20"/>
          <w:szCs w:val="20"/>
          <w:color w:val="auto"/>
        </w:rPr>
        <w:t>Ashland incurred $8 million of new debt issuance costs in connection with the 2028 Notes, which is amortized using the effective interest method over the Notes’ term.</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Open market repurchases of 4.750% notes due 2022</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During the three and six months ended March 31, 2020, Ashland executed open market repurchases of its 4.750% notes due 2022 (the 2022 Notes). As a result of these repurchases, the carrying values of the 2022 notes was reduced by $670 million. Ashland recognized a $5 million charge related to accelerated accretion on debt discounts and accelerated amortization of previously capitalized debt issuance costs, which is included in the net interest and other expense caption of the Statements of Consolidated Comprehensive Income (Loss) for the three and six months ended March 31, 2020.</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Open market repurchases of 6.875% notes due 2043</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During the three and six months ended March 31, 2020, Ashland executed open market repurchases of its 6.875% notes due 2043 (the 2043 Notes). As a result of these repurchases, the carrying values of the 2043 notes was reduced by $92 million. Ashland recognized a $1 million charge related to accelerated accretion on debt premiums and accelerated amortization previously capitalized debt issuance costs, which is included in the net interest and other expense caption of the Statements of Consolidated Comprehensive Income (Loss) for the three and six months ended March 31, 2020.</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Open market repurchases of 6.500% Junior Subordinated Debentures due 2029</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three and six months ended March 31, 2020, Ashland executed open market repurchases of Hercules LLC’s 6.500% notes due 2029 (the 2029 Junior Debentures). As a result of these repurchases, the carrying values of the 2029 notes was reduced by $2 million.</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Total premiums paid for all open market purchases noted above were $59 million, which is in included in the net interest and other expenses caption of the Statements of Consolidated Comprehensive Income (Loss) for the three and six months ended March 31, 2020.</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borrowing capacity</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borrowing capacity remaining under the 2020 $600 million Revolving Credit Facility was $338 million due to an outstanding balance of $240 million, as well as a reduction of $22 million for letters of credit outstanding as of March 31, 2020. Ashland's total borrowing capacity at March 31, 2020 was $339 million, which included $1 million of available capacity from the two accounts receivable securitization facilities.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Covenants related to current Ashland debt agreements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2020, Ashland is in compliance with all debt agreement covenant restrictions.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maximum consolidated net leverage ratio permitted under Ashland's most recent credit agreement (the 2020 Credit Agreement) is 4.0. At March 31, 2020, Ashland’s calculation of the consolidated net leverage ratio was 3.1.</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minimum required consolidated interest coverage ratio under the 2020 Credit Agreement during its entire duration is 3.0. At March 31, 2020, Ashland’s calculation of the interest coverage ratio was 7.7.</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60" w:right="7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NOTE I – LEASING ARRANGEMENTS</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determines if an arrangement is or contains a lease at contract inception and determine its classification as an operating or finance lease at lease commencement. Ashland leases certain office buildings, transportation equipment, warehouses and storage facilities, and equipment. All of Ashland’s leases are operating leases. Real estate leases represent approximately 87% of the total lease liability. Operating lease assets and obligations are reflected within operating lease assets, net; current operating lease obligations; and non-current operating lease obligations captions on the Condensed Consolidated Balance Sheets.</w:t>
      </w:r>
    </w:p>
    <w:p>
      <w:pPr>
        <w:spacing w:after="0" w:line="57"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Lease expense for these leases is recognized on a straight-line basis over the lease term, with variable lease payments recognized in the period those payments are incurred. The components of lease cost recognized within our Statements of Consolidated Comprehensive Income (Loss) were as follows:</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800" w:type="dxa"/>
            <w:vAlign w:val="bottom"/>
            <w:tcBorders>
              <w:top w:val="single" w:sz="8" w:color="auto"/>
            </w:tcBorders>
          </w:tcPr>
          <w:p>
            <w:pPr>
              <w:spacing w:after="0"/>
              <w:rPr>
                <w:sz w:val="19"/>
                <w:szCs w:val="19"/>
                <w:color w:val="auto"/>
              </w:rPr>
            </w:pPr>
          </w:p>
        </w:tc>
        <w:tc>
          <w:tcPr>
            <w:tcW w:w="40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0"/>
              </w:rPr>
              <w:t>Three months ended</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2"/>
              </w:rPr>
              <w:t>Six months ended</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020" w:type="dxa"/>
            <w:vAlign w:val="bottom"/>
          </w:tcPr>
          <w:p>
            <w:pPr>
              <w:ind w:left="2400"/>
              <w:spacing w:after="0"/>
              <w:rPr>
                <w:sz w:val="20"/>
                <w:szCs w:val="20"/>
                <w:color w:val="auto"/>
              </w:rPr>
            </w:pPr>
            <w:r>
              <w:rPr>
                <w:rFonts w:ascii="Arial" w:cs="Arial" w:eastAsia="Arial" w:hAnsi="Arial"/>
                <w:sz w:val="18"/>
                <w:szCs w:val="18"/>
                <w:color w:val="auto"/>
              </w:rPr>
              <w:t>Location</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color w:val="auto"/>
                <w:w w:val="95"/>
              </w:rPr>
              <w:t>March 31, 2020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w w:val="92"/>
              </w:rPr>
              <w:t>March 31, 2020</w:t>
            </w:r>
          </w:p>
        </w:tc>
      </w:tr>
      <w:tr>
        <w:trPr>
          <w:trHeight w:val="223"/>
        </w:trPr>
        <w:tc>
          <w:tcPr>
            <w:tcW w:w="20" w:type="dxa"/>
            <w:vAlign w:val="bottom"/>
          </w:tcPr>
          <w:p>
            <w:pPr>
              <w:spacing w:after="0"/>
              <w:rPr>
                <w:sz w:val="19"/>
                <w:szCs w:val="19"/>
                <w:color w:val="auto"/>
              </w:rPr>
            </w:pPr>
          </w:p>
        </w:tc>
        <w:tc>
          <w:tcPr>
            <w:tcW w:w="2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4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Operating lease cost</w:t>
            </w:r>
          </w:p>
        </w:tc>
        <w:tc>
          <w:tcPr>
            <w:tcW w:w="4020" w:type="dxa"/>
            <w:vAlign w:val="bottom"/>
          </w:tcPr>
          <w:p>
            <w:pPr>
              <w:ind w:left="1380"/>
              <w:spacing w:after="0"/>
              <w:rPr>
                <w:sz w:val="20"/>
                <w:szCs w:val="20"/>
                <w:color w:val="auto"/>
              </w:rPr>
            </w:pPr>
            <w:r>
              <w:rPr>
                <w:rFonts w:ascii="Arial" w:cs="Arial" w:eastAsia="Arial" w:hAnsi="Arial"/>
                <w:sz w:val="18"/>
                <w:szCs w:val="18"/>
                <w:color w:val="auto"/>
                <w:w w:val="99"/>
              </w:rPr>
              <w:t>Selling, General &amp; Administrative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29"/>
        </w:trPr>
        <w:tc>
          <w:tcPr>
            <w:tcW w:w="2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4020" w:type="dxa"/>
            <w:vAlign w:val="bottom"/>
            <w:shd w:val="clear" w:color="auto" w:fill="CFF0FC"/>
          </w:tcPr>
          <w:p>
            <w:pPr>
              <w:ind w:left="138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Variable lease cost</w:t>
            </w:r>
          </w:p>
        </w:tc>
        <w:tc>
          <w:tcPr>
            <w:tcW w:w="4020" w:type="dxa"/>
            <w:vAlign w:val="bottom"/>
          </w:tcPr>
          <w:p>
            <w:pPr>
              <w:ind w:left="1380"/>
              <w:spacing w:after="0"/>
              <w:rPr>
                <w:sz w:val="20"/>
                <w:szCs w:val="20"/>
                <w:color w:val="auto"/>
              </w:rPr>
            </w:pPr>
            <w:r>
              <w:rPr>
                <w:rFonts w:ascii="Arial" w:cs="Arial" w:eastAsia="Arial" w:hAnsi="Arial"/>
                <w:sz w:val="18"/>
                <w:szCs w:val="18"/>
                <w:color w:val="auto"/>
                <w:w w:val="99"/>
              </w:rPr>
              <w:t>Selling, General &amp; Administrative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4020" w:type="dxa"/>
            <w:vAlign w:val="bottom"/>
            <w:shd w:val="clear" w:color="auto" w:fill="CFF0FC"/>
          </w:tcPr>
          <w:p>
            <w:pPr>
              <w:ind w:left="138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leases</w:t>
            </w:r>
          </w:p>
        </w:tc>
        <w:tc>
          <w:tcPr>
            <w:tcW w:w="4020" w:type="dxa"/>
            <w:vAlign w:val="bottom"/>
            <w:tcBorders>
              <w:bottom w:val="single" w:sz="8" w:color="CFF0FC"/>
            </w:tcBorders>
          </w:tcPr>
          <w:p>
            <w:pPr>
              <w:ind w:left="138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40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table summarizes Ashland’s lease assets and liabilities as presented in the March 31, 2020 Condensed Consolidated Balance Sheet:</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6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340" w:type="dxa"/>
            <w:vAlign w:val="bottom"/>
            <w:tcBorders>
              <w:top w:val="single" w:sz="8" w:color="auto"/>
            </w:tcBorders>
          </w:tcPr>
          <w:p>
            <w:pPr>
              <w:jc w:val="right"/>
              <w:ind w:right="1450"/>
              <w:spacing w:after="0"/>
              <w:rPr>
                <w:sz w:val="20"/>
                <w:szCs w:val="20"/>
                <w:color w:val="auto"/>
              </w:rPr>
            </w:pPr>
            <w:r>
              <w:rPr>
                <w:rFonts w:ascii="Arial" w:cs="Arial" w:eastAsia="Arial" w:hAnsi="Arial"/>
                <w:sz w:val="18"/>
                <w:szCs w:val="18"/>
                <w:color w:val="auto"/>
              </w:rPr>
              <w:t>March 31,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3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760" w:type="dxa"/>
            <w:vAlign w:val="bottom"/>
            <w:gridSpan w:val="2"/>
          </w:tcPr>
          <w:p>
            <w:pPr>
              <w:jc w:val="right"/>
              <w:ind w:right="629"/>
              <w:spacing w:after="0"/>
              <w:rPr>
                <w:sz w:val="20"/>
                <w:szCs w:val="20"/>
                <w:color w:val="auto"/>
              </w:rPr>
            </w:pPr>
            <w:r>
              <w:rPr>
                <w:rFonts w:ascii="Arial" w:cs="Arial" w:eastAsia="Arial" w:hAnsi="Arial"/>
                <w:sz w:val="15"/>
                <w:szCs w:val="15"/>
                <w:color w:val="auto"/>
                <w:w w:val="71"/>
              </w:rPr>
              <w:t>$</w:t>
            </w:r>
          </w:p>
        </w:tc>
        <w:tc>
          <w:tcPr>
            <w:tcW w:w="334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lease assets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Current operating lease obligations</w:t>
            </w:r>
          </w:p>
        </w:tc>
        <w:tc>
          <w:tcPr>
            <w:tcW w:w="760" w:type="dxa"/>
            <w:vAlign w:val="bottom"/>
            <w:gridSpan w:val="2"/>
          </w:tcPr>
          <w:p>
            <w:pPr>
              <w:jc w:val="right"/>
              <w:ind w:right="629"/>
              <w:spacing w:after="0"/>
              <w:rPr>
                <w:sz w:val="20"/>
                <w:szCs w:val="20"/>
                <w:color w:val="auto"/>
              </w:rPr>
            </w:pPr>
            <w:r>
              <w:rPr>
                <w:rFonts w:ascii="Arial" w:cs="Arial" w:eastAsia="Arial" w:hAnsi="Arial"/>
                <w:sz w:val="15"/>
                <w:szCs w:val="15"/>
                <w:color w:val="auto"/>
                <w:w w:val="71"/>
              </w:rPr>
              <w:t>$</w:t>
            </w:r>
          </w:p>
        </w:tc>
        <w:tc>
          <w:tcPr>
            <w:tcW w:w="33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obligations</w:t>
            </w: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Total lease liabilities</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3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Ashland often has options to renew lease terms for buildings and other assets. The exercise of lease renewal options are generally at Ashland’s sole discretion. In addition, certain lease arrangements may be terminated prior to their original expiration date at Ashland’s discretion. Ashland evaluates renewal and termination options at the lease commencement date to determine if it is reasonably certain to exercise the option on the basis of economic factors. The weighted average remaining lease term for operating leases as of March 31, 2020 was 15 years.</w:t>
      </w:r>
    </w:p>
    <w:p>
      <w:pPr>
        <w:spacing w:after="0" w:line="86"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Residual value guarantees are not common within Ashland’s lease agreements nor are restrictions or covenants imposed by leases. Ashland has elected the practical expedient to combine lease and non-lease components. The discount rate implicit within the leases is generally not determinable. Therefore, Ashland determines the discount rate based on its incremental borrowing rate. The incremental borrowing rate is determined using a buildup method resulting in an estimated range of secured borrowing rates matching the lease term and the currency of the jurisdiction in which lease payments are made, adjusted for impacts of collateral. Consideration was given to Ashland’s own relevant debt issuances as well as debt instruments of comparable companies with similar credit characteristics. The weighted average discount rate used to measure operating lease liabilities as of March 31, 2020 was 3.2%. There are no leases that have not yet commenced but that create significant rights and obligations for Ashland.</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46" w:right="739" w:bottom="1440" w:gutter="0" w:footer="0" w:header="0"/>
        </w:sectPr>
      </w:pPr>
    </w:p>
    <w:bookmarkStart w:id="19" w:name="page20"/>
    <w:bookmarkEnd w:id="19"/>
    <w:p>
      <w:pPr>
        <w:jc w:val="both"/>
        <w:ind w:left="400"/>
        <w:spacing w:after="0" w:line="260" w:lineRule="auto"/>
        <w:rPr>
          <w:sz w:val="20"/>
          <w:szCs w:val="20"/>
          <w:color w:val="auto"/>
        </w:rPr>
      </w:pPr>
      <w:r>
        <w:rPr>
          <w:rFonts w:ascii="Arial" w:cs="Arial" w:eastAsia="Arial" w:hAnsi="Arial"/>
          <w:sz w:val="20"/>
          <w:szCs w:val="20"/>
          <w:color w:val="auto"/>
        </w:rPr>
        <w:t>Right-of-use assets exchanged for new operating lease obligations were $1 million and $2 million for the three and six months ended March 31, 2020.</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Cash paid for amounts included in the measurement of operating lease liabilities:</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92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ind w:left="1870"/>
              <w:spacing w:after="0"/>
              <w:rPr>
                <w:sz w:val="20"/>
                <w:szCs w:val="20"/>
                <w:color w:val="auto"/>
              </w:rPr>
            </w:pPr>
            <w:r>
              <w:rPr>
                <w:rFonts w:ascii="Arial" w:cs="Arial" w:eastAsia="Arial" w:hAnsi="Arial"/>
                <w:sz w:val="18"/>
                <w:szCs w:val="18"/>
                <w:color w:val="auto"/>
                <w:w w:val="87"/>
              </w:rPr>
              <w:t>Three months ended</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88"/>
              </w:rPr>
              <w:t>Six months ended</w:t>
            </w: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500" w:type="dxa"/>
            <w:vAlign w:val="bottom"/>
          </w:tcPr>
          <w:p>
            <w:pPr>
              <w:jc w:val="center"/>
              <w:ind w:left="1870"/>
              <w:spacing w:after="0"/>
              <w:rPr>
                <w:sz w:val="20"/>
                <w:szCs w:val="20"/>
                <w:color w:val="auto"/>
              </w:rPr>
            </w:pPr>
            <w:r>
              <w:rPr>
                <w:rFonts w:ascii="Arial" w:cs="Arial" w:eastAsia="Arial" w:hAnsi="Arial"/>
                <w:sz w:val="18"/>
                <w:szCs w:val="18"/>
                <w:color w:val="auto"/>
                <w:w w:val="91"/>
              </w:rPr>
              <w:t>March 31, 2020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right="150"/>
              <w:spacing w:after="0"/>
              <w:rPr>
                <w:sz w:val="20"/>
                <w:szCs w:val="20"/>
                <w:color w:val="auto"/>
              </w:rPr>
            </w:pPr>
            <w:r>
              <w:rPr>
                <w:rFonts w:ascii="Arial" w:cs="Arial" w:eastAsia="Arial" w:hAnsi="Arial"/>
                <w:sz w:val="18"/>
                <w:szCs w:val="18"/>
                <w:color w:val="auto"/>
                <w:w w:val="91"/>
              </w:rPr>
              <w:t>March 31, 2020</w:t>
            </w:r>
          </w:p>
        </w:tc>
      </w:tr>
      <w:tr>
        <w:trPr>
          <w:trHeight w:val="223"/>
        </w:trPr>
        <w:tc>
          <w:tcPr>
            <w:tcW w:w="20" w:type="dxa"/>
            <w:vAlign w:val="bottom"/>
          </w:tcPr>
          <w:p>
            <w:pPr>
              <w:spacing w:after="0"/>
              <w:rPr>
                <w:sz w:val="19"/>
                <w:szCs w:val="19"/>
                <w:color w:val="auto"/>
              </w:rPr>
            </w:pPr>
          </w:p>
        </w:tc>
        <w:tc>
          <w:tcPr>
            <w:tcW w:w="4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3500" w:type="dxa"/>
            <w:vAlign w:val="bottom"/>
            <w:tcBorders>
              <w:top w:val="single" w:sz="8" w:color="auto"/>
            </w:tcBorders>
            <w:shd w:val="clear" w:color="auto" w:fill="CFF0FC"/>
          </w:tcPr>
          <w:p>
            <w:pPr>
              <w:jc w:val="right"/>
              <w:ind w:right="15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bl>
    <w:p>
      <w:pPr>
        <w:spacing w:after="0" w:line="24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Maturity Analysis of Lease Liabilities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Maturities of lease liabilities are shown below as of March 31, 2020:</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0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As of March 31,</w:t>
            </w: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81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6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580" w:type="dxa"/>
            <w:vAlign w:val="bottom"/>
            <w:tcBorders>
              <w:top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2021</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2023</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29"/>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Thereafter</w:t>
            </w:r>
          </w:p>
        </w:tc>
        <w:tc>
          <w:tcPr>
            <w:tcW w:w="2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202</w:t>
            </w:r>
          </w:p>
        </w:tc>
      </w:tr>
      <w:tr>
        <w:trPr>
          <w:trHeight w:val="230"/>
        </w:trPr>
        <w:tc>
          <w:tcPr>
            <w:tcW w:w="20" w:type="dxa"/>
            <w:vAlign w:val="bottom"/>
          </w:tcPr>
          <w:p>
            <w:pPr>
              <w:spacing w:after="0"/>
              <w:rPr>
                <w:sz w:val="19"/>
                <w:szCs w:val="19"/>
                <w:color w:val="auto"/>
              </w:rPr>
            </w:pPr>
          </w:p>
        </w:tc>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amount of lease payment representing interest</w:t>
            </w:r>
          </w:p>
        </w:tc>
        <w:tc>
          <w:tcPr>
            <w:tcW w:w="2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payments</w:t>
            </w:r>
          </w:p>
        </w:tc>
        <w:tc>
          <w:tcPr>
            <w:tcW w:w="2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154</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As of September 30, 2019, under the previous guidance, the future minimum rental payments are as follows:</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34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2"/>
              </w:rPr>
              <w:t>As of September 30,</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jc w:val="right"/>
              <w:ind w:right="8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4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3600" w:type="dxa"/>
            <w:vAlign w:val="bottom"/>
            <w:tcBorders>
              <w:top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r>
      <w:tr>
        <w:trPr>
          <w:trHeight w:val="229"/>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2021</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2023</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tcPr>
          <w:p>
            <w:pPr>
              <w:spacing w:after="0"/>
              <w:rPr>
                <w:sz w:val="19"/>
                <w:szCs w:val="19"/>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3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228</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J – INCOME TAXES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Current fiscal year</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Ashland’s effective tax rate in any interim period is subject to adjustments related to discrete items and the mix of domestic and foreign operating results. The overall effective tax rate was a benefit of 2% for the three months ended March 31, 2020 and 6% for the six months ended March 31, 2020.</w:t>
      </w:r>
    </w:p>
    <w:p>
      <w:pPr>
        <w:spacing w:after="0" w:line="7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current quarter rate was impacted by nondeductible goodwill impairment of $527 million of the $530 million charge taken during the quarter. The current six months tax rate was impacted by the nondeductible goodwill impairment and favorable tax discrete item from the tax benefit related to the Swiss Tax Reform.</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Prior fiscal year</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The overall effective tax rate was 2% for the three months ended March 31, 2019 and a negative 2500% for the six months ended March 31, 2019. The quarter tax rate was primarily impacted by certain nondeductible restructuring costs, as well as $11 million in favorable tax discrete items including nontaxable earnings in deferred compensation related investments and other items. The six month period was primarily impacted by the items referenced in the three-month period, as well as a net $30 million from unfavorable tax discrete items including the final assessment of the Tax Act and other items.</w:t>
      </w:r>
    </w:p>
    <w:p>
      <w:pPr>
        <w:spacing w:after="0" w:line="18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60" w:right="739" w:bottom="1440" w:gutter="0" w:footer="0" w:header="0"/>
        </w:sectPr>
      </w:pPr>
    </w:p>
    <w:bookmarkStart w:id="20" w:name="page21"/>
    <w:bookmarkEnd w:id="20"/>
    <w:p>
      <w:pPr>
        <w:ind w:left="400"/>
        <w:spacing w:after="0"/>
        <w:rPr>
          <w:sz w:val="20"/>
          <w:szCs w:val="20"/>
          <w:color w:val="auto"/>
        </w:rPr>
      </w:pPr>
      <w:r>
        <w:rPr>
          <w:rFonts w:ascii="Arial" w:cs="Arial" w:eastAsia="Arial" w:hAnsi="Arial"/>
          <w:sz w:val="20"/>
          <w:szCs w:val="20"/>
          <w:b w:val="1"/>
          <w:bCs w:val="1"/>
          <w:color w:val="auto"/>
        </w:rPr>
        <w:t>Unrecognized tax benefits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Changes in unrecognized tax benefits are summarized as follows for the six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87630</wp:posOffset>
            </wp:positionV>
            <wp:extent cx="6626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4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October 1, 2019</w:t>
            </w:r>
          </w:p>
        </w:tc>
        <w:tc>
          <w:tcPr>
            <w:tcW w:w="1000" w:type="dxa"/>
            <w:vAlign w:val="bottom"/>
            <w:tcBorders>
              <w:top w:val="single" w:sz="8" w:color="auto"/>
            </w:tcBorders>
            <w:gridSpan w:val="2"/>
            <w:shd w:val="clear" w:color="auto" w:fill="CFF0FC"/>
          </w:tcPr>
          <w:p>
            <w:pPr>
              <w:jc w:val="right"/>
              <w:ind w:right="869"/>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r>
      <w:tr>
        <w:trPr>
          <w:trHeight w:val="229"/>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Increases related to positions taken on items from prior years</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Decreases related to positions taken on items from prior years</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Pr>
          <w:p>
            <w:pPr>
              <w:spacing w:after="0"/>
              <w:rPr>
                <w:sz w:val="19"/>
                <w:szCs w:val="19"/>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2020</w:t>
            </w: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6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From a combination of statute expirations and audit settlements in the next twelve months, Ashland expects a decrease in the amount accrued for uncertain tax positions of between $1 million and $3 million for continuing operations.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K - EMPLOYEE BENEFIT PLANS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Plan contributions</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For the six months ended March 31, 2020, Ashland contributed $3 million to its non-U.S. pension plans and zero to its U.S. pension plans. Ashland expects to make additional contributions of approximately $2 million to its non-U.S. plans and $1 million to its U.S. plans during the remainder of 2020.</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Plan remeasurement</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settled a non-U.S. pension plan during the first quarter of fiscal 2019, which required the plan to be remeasured. This remeasurement resulted in a curtailment gain of $18 million.</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Components of net periodic benefit costs (income)</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table details the components of pension and other postretirement benefit costs for continuing operations.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gridSpan w:val="4"/>
          </w:tcPr>
          <w:p>
            <w:pPr>
              <w:jc w:val="right"/>
              <w:ind w:right="187"/>
              <w:spacing w:after="0"/>
              <w:rPr>
                <w:sz w:val="20"/>
                <w:szCs w:val="20"/>
                <w:color w:val="auto"/>
              </w:rPr>
            </w:pPr>
            <w:r>
              <w:rPr>
                <w:rFonts w:ascii="Arial" w:cs="Arial" w:eastAsia="Arial" w:hAnsi="Arial"/>
                <w:sz w:val="18"/>
                <w:szCs w:val="18"/>
                <w:color w:val="auto"/>
              </w:rPr>
              <w:t>Other postretirement</w:t>
            </w:r>
          </w:p>
        </w:tc>
        <w:tc>
          <w:tcPr>
            <w:tcW w:w="740" w:type="dxa"/>
            <w:vAlign w:val="bottom"/>
            <w:tcBorders>
              <w:top w:val="single" w:sz="8" w:color="auto"/>
            </w:tcBorders>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8"/>
                <w:szCs w:val="18"/>
                <w:color w:val="auto"/>
              </w:rPr>
              <w:t>Pension benefits</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647"/>
              <w:spacing w:after="0"/>
              <w:rPr>
                <w:sz w:val="20"/>
                <w:szCs w:val="20"/>
                <w:color w:val="auto"/>
              </w:rPr>
            </w:pPr>
            <w:r>
              <w:rPr>
                <w:rFonts w:ascii="Arial" w:cs="Arial" w:eastAsia="Arial" w:hAnsi="Arial"/>
                <w:sz w:val="18"/>
                <w:szCs w:val="18"/>
                <w:color w:val="auto"/>
              </w:rPr>
              <w:t>benefits</w:t>
            </w:r>
          </w:p>
        </w:tc>
        <w:tc>
          <w:tcPr>
            <w:tcW w:w="740" w:type="dxa"/>
            <w:vAlign w:val="bottom"/>
            <w:tcBorders>
              <w:bottom w:val="single" w:sz="8" w:color="auto"/>
            </w:tcBorders>
          </w:tcPr>
          <w:p>
            <w:pPr>
              <w:spacing w:after="0"/>
              <w:rPr>
                <w:sz w:val="20"/>
                <w:szCs w:val="20"/>
                <w:color w:val="auto"/>
              </w:rPr>
            </w:pP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Service cost</w:t>
            </w:r>
          </w:p>
        </w:tc>
        <w:tc>
          <w:tcPr>
            <w:tcW w:w="86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70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Curtailment</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3220" w:type="dxa"/>
            <w:vAlign w:val="bottom"/>
            <w:gridSpan w:val="2"/>
          </w:tcPr>
          <w:p>
            <w:pPr>
              <w:spacing w:after="0"/>
              <w:rPr>
                <w:sz w:val="20"/>
                <w:szCs w:val="20"/>
                <w:color w:val="auto"/>
              </w:rPr>
            </w:pPr>
            <w:r>
              <w:rPr>
                <w:rFonts w:ascii="Arial" w:cs="Arial" w:eastAsia="Arial" w:hAnsi="Arial"/>
                <w:sz w:val="18"/>
                <w:szCs w:val="18"/>
                <w:color w:val="auto"/>
              </w:rPr>
              <w:t>Total net periodic benefit costs</w:t>
            </w:r>
          </w:p>
        </w:tc>
        <w:tc>
          <w:tcPr>
            <w:tcW w:w="3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Six months ended March 31</w:t>
            </w:r>
          </w:p>
        </w:tc>
        <w:tc>
          <w:tcPr>
            <w:tcW w:w="30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Service cost</w:t>
            </w:r>
          </w:p>
        </w:tc>
        <w:tc>
          <w:tcPr>
            <w:tcW w:w="86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66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70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Curtailment</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Total net periodic benefit costs (income)</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Loss (Income). All other components are recorded within the other net periodic benefit income caption on the Statements of Consolidated Comprehensive Loss (Income).</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54" w:right="7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NOTE L – LITIGATION, CLAIMS AND CONTINGENCIES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Asbestos litigation</w:t>
      </w:r>
    </w:p>
    <w:p>
      <w:pPr>
        <w:spacing w:after="0" w:line="114"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77" w:lineRule="exact"/>
        <w:rPr>
          <w:sz w:val="20"/>
          <w:szCs w:val="20"/>
          <w:color w:val="auto"/>
        </w:rPr>
      </w:pPr>
    </w:p>
    <w:p>
      <w:pPr>
        <w:jc w:val="both"/>
        <w:ind w:left="400"/>
        <w:spacing w:after="0" w:line="255" w:lineRule="auto"/>
        <w:rPr>
          <w:sz w:val="20"/>
          <w:szCs w:val="20"/>
          <w:color w:val="auto"/>
        </w:rPr>
      </w:pPr>
      <w:r>
        <w:rPr>
          <w:rFonts w:ascii="Arial" w:cs="Arial" w:eastAsia="Arial" w:hAnsi="Arial"/>
          <w:sz w:val="19"/>
          <w:szCs w:val="19"/>
          <w:color w:val="auto"/>
        </w:rPr>
        <w:t>To assist in developing and annually updating independent reserve estimates for future asbestos claims and related costs given various assumptions for Ashland and Hercules asbestos claims, Ashland retained Nathan Associates Inc. (Nathan).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litigation</w:t>
      </w:r>
    </w:p>
    <w:p>
      <w:pPr>
        <w:spacing w:after="0" w:line="108"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spacing w:after="0" w:line="54"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28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90"/>
              </w:rPr>
              <w:t>Six months ended</w:t>
            </w:r>
          </w:p>
        </w:tc>
        <w:tc>
          <w:tcPr>
            <w:tcW w:w="5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2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93"/>
              </w:rPr>
              <w:t>March 31</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color w:val="auto"/>
                <w:w w:val="96"/>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2019</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r>
      <w:tr>
        <w:trPr>
          <w:trHeight w:val="229"/>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New claims filed</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Claims settled</w:t>
            </w:r>
          </w:p>
        </w:tc>
        <w:tc>
          <w:tcPr>
            <w:tcW w:w="1820" w:type="dxa"/>
            <w:vAlign w:val="bottom"/>
            <w:gridSpan w:val="3"/>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Claims dismissed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Open claims - end of period</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liability</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8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During the most recent annual update of this estimate completed during the June 2019 quarter, it was determined that the liability for Ashland asbestos-related claims should be increased by $1 million. Total reserves for asbestos claims were $337 million at March 31, 2020 compared to $352 million at September 30, 2019.</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54" w:right="739" w:bottom="1440" w:gutter="0" w:footer="0" w:header="0"/>
        </w:sectPr>
      </w:pPr>
    </w:p>
    <w:bookmarkStart w:id="22" w:name="page23"/>
    <w:bookmarkEnd w:id="22"/>
    <w:p>
      <w:pPr>
        <w:ind w:left="1"/>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18"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right"/>
              <w:ind w:right="167"/>
              <w:spacing w:after="0"/>
              <w:rPr>
                <w:sz w:val="20"/>
                <w:szCs w:val="20"/>
                <w:color w:val="auto"/>
              </w:rPr>
            </w:pPr>
            <w:r>
              <w:rPr>
                <w:rFonts w:ascii="Arial" w:cs="Arial" w:eastAsia="Arial" w:hAnsi="Arial"/>
                <w:sz w:val="18"/>
                <w:szCs w:val="18"/>
                <w:color w:val="auto"/>
              </w:rPr>
              <w:t>Years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9"/>
              </w:rPr>
              <w:t>2019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112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352</w:t>
            </w:r>
          </w:p>
        </w:tc>
        <w:tc>
          <w:tcPr>
            <w:tcW w:w="720" w:type="dxa"/>
            <w:vAlign w:val="bottom"/>
            <w:tcBorders>
              <w:top w:val="single" w:sz="8" w:color="auto"/>
            </w:tcBorders>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380</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380</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419</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267"/>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415</w:t>
            </w:r>
          </w:p>
        </w:tc>
      </w:tr>
      <w:tr>
        <w:trPr>
          <w:trHeight w:val="229"/>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Reserve adjustment</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8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66262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50" w:lineRule="exact"/>
        <w:rPr>
          <w:sz w:val="20"/>
          <w:szCs w:val="20"/>
          <w:color w:val="auto"/>
        </w:rPr>
      </w:pPr>
    </w:p>
    <w:p>
      <w:pPr>
        <w:ind w:left="401" w:hanging="401"/>
        <w:spacing w:after="0"/>
        <w:tabs>
          <w:tab w:leader="none" w:pos="401" w:val="left"/>
        </w:tabs>
        <w:numPr>
          <w:ilvl w:val="0"/>
          <w:numId w:val="12"/>
        </w:numPr>
        <w:rPr>
          <w:rFonts w:ascii="Arial" w:cs="Arial" w:eastAsia="Arial" w:hAnsi="Arial"/>
          <w:sz w:val="26"/>
          <w:szCs w:val="26"/>
          <w:color w:val="auto"/>
          <w:vertAlign w:val="superscript"/>
        </w:rPr>
      </w:pPr>
      <w:r>
        <w:rPr>
          <w:rFonts w:ascii="Arial" w:cs="Arial" w:eastAsia="Arial" w:hAnsi="Arial"/>
          <w:sz w:val="13"/>
          <w:szCs w:val="13"/>
          <w:color w:val="auto"/>
        </w:rPr>
        <w:t>Included $28 million classified in accrued expenses and other liabilities on the Condensed Consolidated Balance Sheets as of both March 31, 2020 and September 30, 2019.</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Ashland asbestos-related receivables</w:t>
      </w:r>
    </w:p>
    <w:p>
      <w:pPr>
        <w:spacing w:after="0" w:line="92"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8"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A substantial portion of the estimated receivables from insurance companies are expected to be due from domestic insurers.</w:t>
      </w:r>
    </w:p>
    <w:p>
      <w:pPr>
        <w:spacing w:after="0" w:line="68"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At March 31, 2020, Ashland’s receivable for recoveries of litigation defense and claim settlement costs from insurers amounted to $109 million (excluding the Hercules receivable for asbestos claims) compared to $123 million at September 30, 2019. During the June 2019 quarter, the annual update of the model used for purposes of valuing the asbestos reserve and its impact on valuation of future recoveries from insurers was completed. This model update resulted in a $5 million decrease in the receivable for probable insurance recoveries.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20"/>
          <w:szCs w:val="20"/>
          <w:color w:val="auto"/>
        </w:rPr>
        <w:t>A progression of activity in the Ashland insurance receivable is presented in the following table.</w:t>
      </w:r>
    </w:p>
    <w:p>
      <w:pPr>
        <w:spacing w:after="0" w:line="118"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rPr>
              <w:t>Years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9"/>
              </w:rPr>
              <w:t>2019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98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720" w:type="dxa"/>
            <w:vAlign w:val="bottom"/>
            <w:tcBorders>
              <w:top w:val="single" w:sz="8" w:color="auto"/>
            </w:tcBorders>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580" w:type="dxa"/>
            <w:vAlign w:val="bottom"/>
            <w:tcBorders>
              <w:top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151</w:t>
            </w: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Receivable adjustment</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Insurance settlement</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19"/>
                <w:szCs w:val="19"/>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Amounts collected</w:t>
            </w:r>
          </w:p>
        </w:tc>
        <w:tc>
          <w:tcPr>
            <w:tcW w:w="7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(a)</w:t>
            </w:r>
          </w:p>
        </w:tc>
        <w:tc>
          <w:tcPr>
            <w:tcW w:w="7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1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155</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6626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85" w:lineRule="exact"/>
        <w:rPr>
          <w:sz w:val="20"/>
          <w:szCs w:val="20"/>
          <w:color w:val="auto"/>
        </w:rPr>
      </w:pPr>
    </w:p>
    <w:p>
      <w:pPr>
        <w:ind w:left="401" w:hanging="401"/>
        <w:spacing w:after="0" w:line="253" w:lineRule="auto"/>
        <w:tabs>
          <w:tab w:leader="none" w:pos="401"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Included $13 million and $15 million classified in accounts receivable on the Condensed Consolidated Balance Sheets as of March 31, 2020 and September 30, 2019,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60" w:right="739" w:bottom="1440" w:gutter="0" w:footer="0" w:header="0"/>
        </w:sectPr>
      </w:pPr>
    </w:p>
    <w:bookmarkStart w:id="23" w:name="page24"/>
    <w:bookmarkEnd w:id="23"/>
    <w:p>
      <w:pPr>
        <w:ind w:left="1"/>
        <w:spacing w:after="0"/>
        <w:rPr>
          <w:sz w:val="20"/>
          <w:szCs w:val="20"/>
          <w:color w:val="auto"/>
        </w:rPr>
      </w:pPr>
      <w:r>
        <w:rPr>
          <w:rFonts w:ascii="Arial" w:cs="Arial" w:eastAsia="Arial" w:hAnsi="Arial"/>
          <w:sz w:val="20"/>
          <w:szCs w:val="20"/>
          <w:i w:val="1"/>
          <w:iCs w:val="1"/>
          <w:color w:val="auto"/>
        </w:rPr>
        <w:t>Hercules asbestos-related litigation</w:t>
      </w:r>
    </w:p>
    <w:p>
      <w:pPr>
        <w:spacing w:after="0" w:line="108"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93"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28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90"/>
              </w:rPr>
              <w:t>Six months ended</w:t>
            </w:r>
          </w:p>
        </w:tc>
        <w:tc>
          <w:tcPr>
            <w:tcW w:w="5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2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93"/>
              </w:rPr>
              <w:t>March 31</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color w:val="auto"/>
                <w:w w:val="96"/>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2019</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New claims filed</w:t>
            </w:r>
          </w:p>
        </w:tc>
        <w:tc>
          <w:tcPr>
            <w:tcW w:w="182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Claims dismissed</w:t>
            </w:r>
          </w:p>
        </w:tc>
        <w:tc>
          <w:tcPr>
            <w:tcW w:w="1820" w:type="dxa"/>
            <w:vAlign w:val="bottom"/>
            <w:gridSpan w:val="3"/>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Open claims - end of period</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Hercules asbestos-related liability</w:t>
      </w:r>
    </w:p>
    <w:p>
      <w:pPr>
        <w:spacing w:after="0" w:line="108" w:lineRule="exact"/>
        <w:rPr>
          <w:sz w:val="20"/>
          <w:szCs w:val="20"/>
          <w:color w:val="auto"/>
        </w:rPr>
      </w:pPr>
    </w:p>
    <w:p>
      <w:pPr>
        <w:jc w:val="both"/>
        <w:ind w:left="1"/>
        <w:spacing w:after="0" w:line="243"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the June 2019 quarter, it was determined that the liability for Hercules asbestos-related claims should be decreased by $10 million. Total reserves for asbestos claims were $242 million at March 31, 2020 compared to $252 million at September 30, 2019.</w:t>
      </w:r>
    </w:p>
    <w:p>
      <w:pPr>
        <w:spacing w:after="0" w:line="85" w:lineRule="exact"/>
        <w:rPr>
          <w:sz w:val="20"/>
          <w:szCs w:val="20"/>
          <w:color w:val="auto"/>
        </w:rPr>
      </w:pPr>
    </w:p>
    <w:p>
      <w:pPr>
        <w:ind w:left="1"/>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18"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jc w:val="right"/>
              <w:ind w:right="189"/>
              <w:spacing w:after="0"/>
              <w:rPr>
                <w:sz w:val="20"/>
                <w:szCs w:val="20"/>
                <w:color w:val="auto"/>
              </w:rPr>
            </w:pPr>
            <w:r>
              <w:rPr>
                <w:rFonts w:ascii="Arial" w:cs="Arial" w:eastAsia="Arial" w:hAnsi="Arial"/>
                <w:sz w:val="18"/>
                <w:szCs w:val="18"/>
                <w:color w:val="auto"/>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9"/>
              </w:rPr>
              <w:t>2019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110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252</w:t>
            </w:r>
          </w:p>
        </w:tc>
        <w:tc>
          <w:tcPr>
            <w:tcW w:w="720" w:type="dxa"/>
            <w:vAlign w:val="bottom"/>
            <w:tcBorders>
              <w:top w:val="single" w:sz="8" w:color="auto"/>
            </w:tcBorders>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500" w:type="dxa"/>
            <w:vAlign w:val="bottom"/>
            <w:tcBorders>
              <w:top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50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323</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321</w:t>
            </w: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Reserve adjustments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8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8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6626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09" w:lineRule="exact"/>
        <w:rPr>
          <w:sz w:val="20"/>
          <w:szCs w:val="20"/>
          <w:color w:val="auto"/>
        </w:rPr>
      </w:pPr>
    </w:p>
    <w:p>
      <w:pPr>
        <w:ind w:left="401" w:hanging="401"/>
        <w:spacing w:after="0"/>
        <w:tabs>
          <w:tab w:leader="none" w:pos="401" w:val="left"/>
        </w:tabs>
        <w:numPr>
          <w:ilvl w:val="0"/>
          <w:numId w:val="14"/>
        </w:numPr>
        <w:rPr>
          <w:rFonts w:ascii="Arial" w:cs="Arial" w:eastAsia="Arial" w:hAnsi="Arial"/>
          <w:sz w:val="26"/>
          <w:szCs w:val="26"/>
          <w:color w:val="auto"/>
          <w:vertAlign w:val="superscript"/>
        </w:rPr>
      </w:pPr>
      <w:r>
        <w:rPr>
          <w:rFonts w:ascii="Arial" w:cs="Arial" w:eastAsia="Arial" w:hAnsi="Arial"/>
          <w:sz w:val="13"/>
          <w:szCs w:val="13"/>
          <w:color w:val="auto"/>
        </w:rPr>
        <w:t>Included $21 million classified in accrued expenses and other liabilities on the Condensed Consolidated Balance Sheets as of both March 31, 2020 and September 30, 2019.</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Hercules asbestos-related receivables</w:t>
      </w:r>
    </w:p>
    <w:p>
      <w:pPr>
        <w:spacing w:after="0" w:line="92"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For the Hercules asbestos-related obligations, certain reimbursement obligations pursuant to coverage-in-place agreements with insurance carriers exist.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86"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As of March 31, 2020, Ashland’s receivable for recoveries of litigation defense and claims costs from insurers with respect to Hercules amounted to $49 million. During the June 2019 quarter, the annual update of the model used for purposes of valuing the asbestos reserve and its impact on valuation of future recoveries from insurers was completed. This model update resulted in a decrease of $5 million in the receivable for probable insurance recoveries.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60" w:right="739" w:bottom="1440" w:gutter="0" w:footer="0" w:header="0"/>
        </w:sectPr>
      </w:pPr>
    </w:p>
    <w:bookmarkStart w:id="24" w:name="page25"/>
    <w:bookmarkEnd w:id="24"/>
    <w:p>
      <w:pPr>
        <w:ind w:left="400"/>
        <w:spacing w:after="0"/>
        <w:rPr>
          <w:sz w:val="20"/>
          <w:szCs w:val="20"/>
          <w:color w:val="auto"/>
        </w:rPr>
      </w:pPr>
      <w:r>
        <w:rPr>
          <w:rFonts w:ascii="Arial" w:cs="Arial" w:eastAsia="Arial" w:hAnsi="Arial"/>
          <w:sz w:val="20"/>
          <w:szCs w:val="20"/>
          <w:color w:val="auto"/>
        </w:rPr>
        <w:t>A progression of activity in the Hercules insurance receivable is presented in the following table.</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67"/>
              <w:spacing w:after="0"/>
              <w:rPr>
                <w:sz w:val="20"/>
                <w:szCs w:val="20"/>
                <w:color w:val="auto"/>
              </w:rPr>
            </w:pPr>
            <w:r>
              <w:rPr>
                <w:rFonts w:ascii="Arial" w:cs="Arial" w:eastAsia="Arial" w:hAnsi="Arial"/>
                <w:sz w:val="18"/>
                <w:szCs w:val="18"/>
                <w:color w:val="auto"/>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9"/>
              </w:rPr>
              <w:t>2019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96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720" w:type="dxa"/>
            <w:vAlign w:val="bottom"/>
            <w:tcBorders>
              <w:top w:val="single" w:sz="8" w:color="auto"/>
            </w:tcBorders>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500" w:type="dxa"/>
            <w:vAlign w:val="bottom"/>
            <w:tcBorders>
              <w:top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50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580" w:type="dxa"/>
            <w:vAlign w:val="bottom"/>
            <w:tcBorders>
              <w:top w:val="single" w:sz="8" w:color="auto"/>
            </w:tcBorders>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r>
      <w:tr>
        <w:trPr>
          <w:trHeight w:val="229"/>
        </w:trPr>
        <w:tc>
          <w:tcPr>
            <w:tcW w:w="20" w:type="dxa"/>
            <w:vAlign w:val="bottom"/>
          </w:tcPr>
          <w:p>
            <w:pPr>
              <w:spacing w:after="0"/>
              <w:rPr>
                <w:sz w:val="19"/>
                <w:szCs w:val="19"/>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Receivable adjustment</w:t>
            </w:r>
          </w:p>
        </w:tc>
        <w:tc>
          <w:tcPr>
            <w:tcW w:w="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Insurance receivable - end of period</w:t>
            </w:r>
          </w:p>
        </w:tc>
        <w:tc>
          <w:tcPr>
            <w:tcW w:w="6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Asbestos litigation cost projection</w:t>
      </w:r>
    </w:p>
    <w:p>
      <w:pPr>
        <w:spacing w:after="0" w:line="108" w:lineRule="exact"/>
        <w:rPr>
          <w:sz w:val="20"/>
          <w:szCs w:val="20"/>
          <w:color w:val="auto"/>
        </w:rPr>
      </w:pPr>
    </w:p>
    <w:p>
      <w:pPr>
        <w:jc w:val="both"/>
        <w:ind w:left="400" w:right="400"/>
        <w:spacing w:after="0" w:line="268" w:lineRule="auto"/>
        <w:rPr>
          <w:sz w:val="20"/>
          <w:szCs w:val="20"/>
          <w:color w:val="auto"/>
        </w:rPr>
      </w:pPr>
      <w:r>
        <w:rPr>
          <w:rFonts w:ascii="Arial" w:cs="Arial" w:eastAsia="Arial" w:hAnsi="Arial"/>
          <w:sz w:val="18"/>
          <w:szCs w:val="18"/>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$600 million for the Ashland asbestos-related litigation (current reserve of $337 million) and approximately $450 million for the Hercules asbestos-related litigation (current reserve of $242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Environmental remediation and asset retirement obligations</w:t>
      </w:r>
    </w:p>
    <w:p>
      <w:pPr>
        <w:spacing w:after="0" w:line="114" w:lineRule="exact"/>
        <w:rPr>
          <w:sz w:val="20"/>
          <w:szCs w:val="20"/>
          <w:color w:val="auto"/>
        </w:rPr>
      </w:pPr>
    </w:p>
    <w:p>
      <w:pPr>
        <w:jc w:val="both"/>
        <w:ind w:left="400" w:right="400"/>
        <w:spacing w:after="0" w:line="278"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March 31, 2020, such locations included 79 waste treatment or disposal sites where Ashland has been identified as a potentially responsible party under Superfund or similar state laws, 113 current and former operating facilities (including certain operating facilities conveyed as part of the MAP Transaction) and about 1,225 service station properties, of which 28 are being actively remediated.</w:t>
      </w:r>
    </w:p>
    <w:p>
      <w:pPr>
        <w:spacing w:after="0" w:line="57" w:lineRule="exact"/>
        <w:rPr>
          <w:sz w:val="20"/>
          <w:szCs w:val="20"/>
          <w:color w:val="auto"/>
        </w:rPr>
      </w:pPr>
    </w:p>
    <w:p>
      <w:pPr>
        <w:jc w:val="both"/>
        <w:ind w:left="400" w:right="400"/>
        <w:spacing w:after="0" w:line="282" w:lineRule="auto"/>
        <w:rPr>
          <w:sz w:val="20"/>
          <w:szCs w:val="20"/>
          <w:color w:val="auto"/>
        </w:rPr>
      </w:pPr>
      <w:r>
        <w:rPr>
          <w:rFonts w:ascii="Arial" w:cs="Arial" w:eastAsia="Arial" w:hAnsi="Arial"/>
          <w:sz w:val="18"/>
          <w:szCs w:val="18"/>
          <w:color w:val="auto"/>
        </w:rPr>
        <w:t>Ashland’s reserves for environmental remediation and related environmental litigation amounted to $178 million at March 31, 2020 compared to $186 million at September 30, 2019, of which $135 million at March 31, 2020 and $143 million at September 30, 2019 were classified in other noncurrent liabilities on the Condensed Consolidated Balance Sheets. The remaining reserves were classified in accrued expenses and other liabilities on the Condensed Consolidated Balance Sheets.</w:t>
      </w:r>
    </w:p>
    <w:p>
      <w:pPr>
        <w:spacing w:after="0" w:line="53"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table provides a reconciliation of the changes in the environmental remediation reserves during the six months ended March 31, 2020 and 2019.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220" w:type="dxa"/>
            <w:vAlign w:val="bottom"/>
            <w:tcBorders>
              <w:top w:val="single" w:sz="8" w:color="auto"/>
            </w:tcBorders>
          </w:tcPr>
          <w:p>
            <w:pPr>
              <w:spacing w:after="0"/>
              <w:rPr>
                <w:sz w:val="21"/>
                <w:szCs w:val="21"/>
                <w:color w:val="auto"/>
              </w:rPr>
            </w:pPr>
          </w:p>
        </w:tc>
        <w:tc>
          <w:tcPr>
            <w:tcW w:w="24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3"/>
          </w:tcPr>
          <w:p>
            <w:pPr>
              <w:jc w:val="right"/>
              <w:ind w:right="327"/>
              <w:spacing w:after="0"/>
              <w:rPr>
                <w:sz w:val="20"/>
                <w:szCs w:val="20"/>
                <w:color w:val="auto"/>
              </w:rPr>
            </w:pPr>
            <w:r>
              <w:rPr>
                <w:rFonts w:ascii="Arial" w:cs="Arial" w:eastAsia="Arial" w:hAnsi="Arial"/>
                <w:sz w:val="18"/>
                <w:szCs w:val="18"/>
                <w:color w:val="auto"/>
              </w:rPr>
              <w:t>Six months ended</w:t>
            </w:r>
          </w:p>
        </w:tc>
        <w:tc>
          <w:tcPr>
            <w:tcW w:w="8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627"/>
              <w:spacing w:after="0"/>
              <w:rPr>
                <w:sz w:val="20"/>
                <w:szCs w:val="20"/>
                <w:color w:val="auto"/>
              </w:rPr>
            </w:pPr>
            <w:r>
              <w:rPr>
                <w:rFonts w:ascii="Arial" w:cs="Arial" w:eastAsia="Arial" w:hAnsi="Arial"/>
                <w:sz w:val="18"/>
                <w:szCs w:val="18"/>
                <w:color w:val="auto"/>
              </w:rPr>
              <w:t>March 31</w:t>
            </w:r>
          </w:p>
        </w:tc>
        <w:tc>
          <w:tcPr>
            <w:tcW w:w="8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2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Reserve - beginning of period</w:t>
            </w:r>
          </w:p>
        </w:tc>
        <w:tc>
          <w:tcPr>
            <w:tcW w:w="3100" w:type="dxa"/>
            <w:vAlign w:val="bottom"/>
            <w:tcBorders>
              <w:top w:val="single" w:sz="8" w:color="auto"/>
            </w:tcBorders>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186</w:t>
            </w:r>
          </w:p>
        </w:tc>
        <w:tc>
          <w:tcPr>
            <w:tcW w:w="1100" w:type="dxa"/>
            <w:vAlign w:val="bottom"/>
            <w:tcBorders>
              <w:top w:val="single" w:sz="8" w:color="auto"/>
            </w:tcBorders>
            <w:gridSpan w:val="2"/>
            <w:shd w:val="clear" w:color="auto" w:fill="CFF0FC"/>
          </w:tcPr>
          <w:p>
            <w:pPr>
              <w:jc w:val="right"/>
              <w:ind w:right="707"/>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Disbursements</w:t>
            </w:r>
          </w:p>
        </w:tc>
        <w:tc>
          <w:tcPr>
            <w:tcW w:w="2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Revised obligation estimates and accretion</w:t>
            </w:r>
          </w:p>
        </w:tc>
        <w:tc>
          <w:tcPr>
            <w:tcW w:w="24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400"/>
              <w:spacing w:after="0"/>
              <w:rPr>
                <w:sz w:val="20"/>
                <w:szCs w:val="20"/>
                <w:color w:val="auto"/>
              </w:rPr>
            </w:pPr>
            <w:r>
              <w:rPr>
                <w:rFonts w:ascii="Arial" w:cs="Arial" w:eastAsia="Arial" w:hAnsi="Arial"/>
                <w:sz w:val="18"/>
                <w:szCs w:val="18"/>
                <w:color w:val="auto"/>
              </w:rPr>
              <w:t>Reserve - end of period</w:t>
            </w:r>
          </w:p>
        </w:tc>
        <w:tc>
          <w:tcPr>
            <w:tcW w:w="246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60" w:type="dxa"/>
            <w:vAlign w:val="bottom"/>
            <w:vMerge w:val="restart"/>
          </w:tcPr>
          <w:p>
            <w:pPr>
              <w:jc w:val="right"/>
              <w:ind w:right="1290"/>
              <w:spacing w:after="0"/>
              <w:rPr>
                <w:sz w:val="20"/>
                <w:szCs w:val="20"/>
                <w:color w:val="auto"/>
              </w:rPr>
            </w:pPr>
            <w:r>
              <w:rPr>
                <w:rFonts w:ascii="Arial" w:cs="Arial" w:eastAsia="Arial" w:hAnsi="Arial"/>
                <w:sz w:val="18"/>
                <w:szCs w:val="18"/>
                <w:color w:val="auto"/>
              </w:rPr>
              <w:t>25</w:t>
            </w: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5" w:name="page26"/>
    <w:bookmarkEnd w:id="25"/>
    <w:p>
      <w:pPr>
        <w:jc w:val="both"/>
        <w:ind w:left="1"/>
        <w:spacing w:after="0" w:line="255" w:lineRule="auto"/>
        <w:rPr>
          <w:sz w:val="20"/>
          <w:szCs w:val="20"/>
          <w:color w:val="auto"/>
        </w:rPr>
      </w:pPr>
      <w:r>
        <w:rPr>
          <w:rFonts w:ascii="Arial" w:cs="Arial" w:eastAsia="Arial" w:hAnsi="Arial"/>
          <w:sz w:val="19"/>
          <w:szCs w:val="19"/>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March 31, 2020 and September 30, 2019, Ashland’s recorded receivable for these probable insurance recoveries was $14 million and $13 million, of which $12 million at both March 31, 2020 and September 30, 2019 was classified in other noncurrent assets on the Condensed Consolidated Balance Sheets.</w:t>
      </w:r>
    </w:p>
    <w:p>
      <w:pPr>
        <w:spacing w:after="0" w:line="82"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Components of environmental remediation expense included within the selling, general and administrative expense caption of the Statements of Consolidated Comprehensive Income (Loss) are presented in the following table for the three months ended March 31, 2020 and 2019.</w:t>
      </w:r>
    </w:p>
    <w:p>
      <w:pPr>
        <w:spacing w:after="0" w:line="88"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0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Three months ended</w:t>
            </w:r>
          </w:p>
        </w:tc>
        <w:tc>
          <w:tcPr>
            <w:tcW w:w="5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Six months ended</w:t>
            </w: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67"/>
              <w:spacing w:after="0"/>
              <w:rPr>
                <w:sz w:val="20"/>
                <w:szCs w:val="20"/>
                <w:color w:val="auto"/>
              </w:rPr>
            </w:pPr>
            <w:r>
              <w:rPr>
                <w:rFonts w:ascii="Arial" w:cs="Arial" w:eastAsia="Arial" w:hAnsi="Arial"/>
                <w:sz w:val="18"/>
                <w:szCs w:val="18"/>
                <w:color w:val="auto"/>
              </w:rPr>
              <w:t>March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Environmental expense</w:t>
            </w:r>
          </w:p>
        </w:tc>
        <w:tc>
          <w:tcPr>
            <w:tcW w:w="1080" w:type="dxa"/>
            <w:vAlign w:val="bottom"/>
            <w:tcBorders>
              <w:top w:val="single" w:sz="8" w:color="auto"/>
            </w:tcBorders>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860" w:type="dxa"/>
            <w:vAlign w:val="bottom"/>
            <w:tcBorders>
              <w:top w:val="single" w:sz="8" w:color="auto"/>
            </w:tcBorders>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54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Borders>
              <w:top w:val="single" w:sz="8" w:color="auto"/>
            </w:tcBorders>
            <w:gridSpan w:val="2"/>
            <w:shd w:val="clear" w:color="auto" w:fill="CFF0FC"/>
          </w:tcPr>
          <w:p>
            <w:pPr>
              <w:jc w:val="right"/>
              <w:ind w:right="487"/>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Accretion</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Legal expense</w:t>
            </w:r>
          </w:p>
        </w:tc>
        <w:tc>
          <w:tcPr>
            <w:tcW w:w="7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Total expense</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0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Insurance receivable</w:t>
            </w:r>
          </w:p>
        </w:tc>
        <w:tc>
          <w:tcPr>
            <w:tcW w:w="7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expense, net of receivable activity (a)</w:t>
            </w:r>
          </w:p>
        </w:tc>
        <w:tc>
          <w:tcPr>
            <w:tcW w:w="7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6626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26" w:lineRule="exact"/>
        <w:rPr>
          <w:sz w:val="20"/>
          <w:szCs w:val="20"/>
          <w:color w:val="auto"/>
        </w:rPr>
      </w:pPr>
    </w:p>
    <w:p>
      <w:pPr>
        <w:jc w:val="both"/>
        <w:ind w:left="401" w:hanging="401"/>
        <w:spacing w:after="0" w:line="238" w:lineRule="auto"/>
        <w:tabs>
          <w:tab w:leader="none" w:pos="401"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Net expense of $2 million for the three and six months ended March 31, 2020, and $1 million and $2 million the three and six months ended March 31, 2019, respectively, relates to divested businesses which qualified for treatment as discontinued operations for which certain environmental liabilities were retained by Ashland. These amounts are classified within the income from discontinued operations caption of the Statements of Consolidated Comprehensive Income (loss).</w:t>
      </w:r>
    </w:p>
    <w:p>
      <w:pPr>
        <w:spacing w:after="0" w:line="76" w:lineRule="exact"/>
        <w:rPr>
          <w:sz w:val="20"/>
          <w:szCs w:val="20"/>
          <w:color w:val="auto"/>
        </w:rPr>
      </w:pPr>
    </w:p>
    <w:p>
      <w:pPr>
        <w:jc w:val="both"/>
        <w:ind w:left="1"/>
        <w:spacing w:after="0" w:line="274" w:lineRule="auto"/>
        <w:rPr>
          <w:sz w:val="20"/>
          <w:szCs w:val="20"/>
          <w:color w:val="auto"/>
        </w:rPr>
      </w:pPr>
      <w:r>
        <w:rPr>
          <w:rFonts w:ascii="Arial" w:cs="Arial" w:eastAsia="Arial" w:hAnsi="Arial"/>
          <w:sz w:val="18"/>
          <w:szCs w:val="18"/>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$425 million. The largest reserve for any site is 15% of the remediation reserve.</w:t>
      </w:r>
    </w:p>
    <w:p>
      <w:pPr>
        <w:spacing w:after="0" w:line="5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Other legal proceedings and claims</w:t>
      </w:r>
    </w:p>
    <w:p>
      <w:pPr>
        <w:spacing w:after="0" w:line="114" w:lineRule="exact"/>
        <w:rPr>
          <w:sz w:val="20"/>
          <w:szCs w:val="20"/>
          <w:color w:val="auto"/>
        </w:rPr>
      </w:pPr>
    </w:p>
    <w:p>
      <w:pPr>
        <w:jc w:val="both"/>
        <w:ind w:left="1"/>
        <w:spacing w:after="0" w:line="274" w:lineRule="auto"/>
        <w:rPr>
          <w:sz w:val="20"/>
          <w:szCs w:val="20"/>
          <w:color w:val="auto"/>
        </w:rPr>
      </w:pPr>
      <w:r>
        <w:rPr>
          <w:rFonts w:ascii="Arial" w:cs="Arial" w:eastAsia="Arial" w:hAnsi="Arial"/>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March 31, 2020 and September 30, 2019. There is a reasonable possibility that a loss exceeding amounts already recognized may be incurred related to these actions; however, Ashland believes that such potential losses were immaterial as of March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74" w:right="7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NOTE M – EARNINGS PER SHARE</w:t>
      </w:r>
    </w:p>
    <w:p>
      <w:pPr>
        <w:spacing w:after="0" w:line="114"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2 million and 1 million at March 31, 2020 and 2019, respectively. Earnings per share is reported under the treasury stock method.</w:t>
      </w:r>
    </w:p>
    <w:p>
      <w:pPr>
        <w:spacing w:after="0" w:line="81"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5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8"/>
              </w:rPr>
              <w:t>Three months ended</w:t>
            </w:r>
          </w:p>
        </w:tc>
        <w:tc>
          <w:tcPr>
            <w:tcW w:w="5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Six months ended</w:t>
            </w: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Numerator for basic and diluted EPS -</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78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EPS - Weighted-</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average common shares outstanding</w:t>
            </w: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Share based awards convertible to common shares </w:t>
            </w:r>
            <w:r>
              <w:rPr>
                <w:rFonts w:ascii="Arial" w:cs="Arial" w:eastAsia="Arial" w:hAnsi="Arial"/>
                <w:sz w:val="14"/>
                <w:szCs w:val="14"/>
                <w:color w:val="auto"/>
              </w:rPr>
              <w:t>(a)</w:t>
            </w:r>
          </w:p>
        </w:tc>
        <w:tc>
          <w:tcPr>
            <w:tcW w:w="7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diluted EPS - Adjusted weighted-</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average shares and assumed conversions</w:t>
            </w:r>
          </w:p>
        </w:tc>
        <w:tc>
          <w:tcPr>
            <w:tcW w:w="7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EPS from continuing operations</w:t>
            </w: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78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0.72</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Diluted</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800" w:hanging="401"/>
        <w:spacing w:after="0" w:line="290" w:lineRule="auto"/>
        <w:tabs>
          <w:tab w:leader="none" w:pos="8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As a result of the loss from continuing operations attributable to Ashland during the three and six months ended March 31,2020, respectively and the six months ended March 31, 2019, the effect of the share-based awards convertible to common shares would be antidilutive and have been excluded from the diluted EPS calculation.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N – EQUITY ITEMS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Stockholder dividends</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Dividends of 27.5 cents per share were paid in the first and second quarters of fiscal 2020, and the third and fourth quarters of fiscal 2019. These dividends represented a 10% increase over the previous quarterly cash dividend of 25 cents per share paid in the first and second quarters of fiscal 2019.</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54" w:right="7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Components of other comprehensive income (loss) recorded in the Statements of Consolidated Comprehensive Income (Loss) are presented below, before tax and net of tax effects.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7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150"/>
              <w:spacing w:after="0"/>
              <w:rPr>
                <w:sz w:val="20"/>
                <w:szCs w:val="20"/>
                <w:color w:val="auto"/>
              </w:rPr>
            </w:pPr>
            <w:r>
              <w:rPr>
                <w:rFonts w:ascii="Arial" w:cs="Arial" w:eastAsia="Arial" w:hAnsi="Arial"/>
                <w:sz w:val="18"/>
                <w:szCs w:val="18"/>
                <w:color w:val="auto"/>
                <w:w w:val="93"/>
              </w:rPr>
              <w:t>Tax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86"/>
              </w:rPr>
              <w:t>Tax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7"/>
              </w:rPr>
              <w:t>Before</w:t>
            </w:r>
          </w:p>
        </w:tc>
        <w:tc>
          <w:tcPr>
            <w:tcW w:w="100" w:type="dxa"/>
            <w:vAlign w:val="bottom"/>
          </w:tcPr>
          <w:p>
            <w:pPr>
              <w:spacing w:after="0"/>
              <w:rPr>
                <w:sz w:val="18"/>
                <w:szCs w:val="18"/>
                <w:color w:val="auto"/>
              </w:rPr>
            </w:pPr>
          </w:p>
        </w:tc>
        <w:tc>
          <w:tcPr>
            <w:tcW w:w="92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Net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7"/>
              </w:rPr>
              <w:t>Before</w:t>
            </w:r>
          </w:p>
        </w:tc>
        <w:tc>
          <w:tcPr>
            <w:tcW w:w="100" w:type="dxa"/>
            <w:vAlign w:val="bottom"/>
          </w:tcPr>
          <w:p>
            <w:pPr>
              <w:spacing w:after="0"/>
              <w:rPr>
                <w:sz w:val="18"/>
                <w:szCs w:val="18"/>
                <w:color w:val="auto"/>
              </w:rPr>
            </w:pPr>
          </w:p>
        </w:tc>
        <w:tc>
          <w:tcPr>
            <w:tcW w:w="92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w w:val="99"/>
              </w:rPr>
              <w:t>Net of</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170"/>
              <w:spacing w:after="0"/>
              <w:rPr>
                <w:sz w:val="20"/>
                <w:szCs w:val="20"/>
                <w:color w:val="auto"/>
              </w:rPr>
            </w:pPr>
            <w:r>
              <w:rPr>
                <w:rFonts w:ascii="Arial" w:cs="Arial" w:eastAsia="Arial" w:hAnsi="Arial"/>
                <w:sz w:val="18"/>
                <w:szCs w:val="18"/>
                <w:color w:val="auto"/>
                <w:w w:val="92"/>
              </w:rPr>
              <w:t>benefit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2"/>
              </w:rPr>
              <w:t>benefit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March 31</w:t>
            </w: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Pension and postretirement obligation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adjustment: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Adjustment of unrecognized prior</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service costs</w:t>
            </w:r>
          </w:p>
        </w:tc>
        <w:tc>
          <w:tcPr>
            <w:tcW w:w="58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76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5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Six months ended March 31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Unrealized translation gain (loss)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and postretirement obligation</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adjustment:</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tcPr>
          <w:p>
            <w:pPr>
              <w:ind w:left="480"/>
              <w:spacing w:after="0"/>
              <w:rPr>
                <w:sz w:val="20"/>
                <w:szCs w:val="20"/>
                <w:color w:val="auto"/>
              </w:rPr>
            </w:pPr>
            <w:r>
              <w:rPr>
                <w:rFonts w:ascii="Arial" w:cs="Arial" w:eastAsia="Arial" w:hAnsi="Arial"/>
                <w:sz w:val="18"/>
                <w:szCs w:val="18"/>
                <w:color w:val="auto"/>
              </w:rPr>
              <w:t>Adjustment of unrecognized prior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service costs</w:t>
            </w:r>
          </w:p>
        </w:tc>
        <w:tc>
          <w:tcPr>
            <w:tcW w:w="5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comprehensive income (loss)</w:t>
            </w:r>
          </w:p>
        </w:tc>
        <w:tc>
          <w:tcPr>
            <w:tcW w:w="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54" w:right="739" w:bottom="1440" w:gutter="0" w:footer="0" w:header="0"/>
        </w:sectPr>
      </w:pPr>
    </w:p>
    <w:bookmarkStart w:id="28" w:name="page29"/>
    <w:bookmarkEnd w:id="28"/>
    <w:p>
      <w:pPr>
        <w:ind w:left="400"/>
        <w:spacing w:after="0"/>
        <w:rPr>
          <w:sz w:val="20"/>
          <w:szCs w:val="20"/>
          <w:color w:val="auto"/>
        </w:rPr>
      </w:pPr>
      <w:r>
        <w:rPr>
          <w:rFonts w:ascii="Arial" w:cs="Arial" w:eastAsia="Arial" w:hAnsi="Arial"/>
          <w:sz w:val="20"/>
          <w:szCs w:val="20"/>
          <w:b w:val="1"/>
          <w:bCs w:val="1"/>
          <w:color w:val="auto"/>
        </w:rPr>
        <w:t>Summary of stockholders’ equity</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reconciliation of changes in stockholders’ equity are as follows:</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9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auto"/>
            </w:tcBorders>
          </w:tcPr>
          <w:p>
            <w:pPr>
              <w:spacing w:after="0"/>
              <w:rPr>
                <w:sz w:val="20"/>
                <w:szCs w:val="20"/>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9"/>
              </w:rPr>
              <w:t>2019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9"/>
              </w:rPr>
              <w:t>2019</w:t>
            </w:r>
          </w:p>
        </w:tc>
      </w:tr>
      <w:tr>
        <w:trPr>
          <w:trHeight w:val="223"/>
        </w:trPr>
        <w:tc>
          <w:tcPr>
            <w:tcW w:w="20" w:type="dxa"/>
            <w:vAlign w:val="bottom"/>
          </w:tcPr>
          <w:p>
            <w:pPr>
              <w:spacing w:after="0"/>
              <w:rPr>
                <w:sz w:val="19"/>
                <w:szCs w:val="19"/>
                <w:color w:val="auto"/>
              </w:rPr>
            </w:pPr>
          </w:p>
        </w:tc>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Common stock and paid in capital</w:t>
            </w:r>
          </w:p>
        </w:tc>
        <w:tc>
          <w:tcPr>
            <w:tcW w:w="4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6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758</w:t>
            </w:r>
          </w:p>
        </w:tc>
        <w:tc>
          <w:tcPr>
            <w:tcW w:w="74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948</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757</w:t>
            </w:r>
          </w:p>
        </w:tc>
        <w:tc>
          <w:tcPr>
            <w:tcW w:w="6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947</w:t>
            </w:r>
          </w:p>
        </w:tc>
      </w:tr>
      <w:tr>
        <w:trPr>
          <w:trHeight w:val="229"/>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96"/>
              </w:rPr>
              <w:t xml:space="preserve">Common shares issued under stock incentive and other plans </w:t>
            </w:r>
            <w:r>
              <w:rPr>
                <w:rFonts w:ascii="Arial" w:cs="Arial" w:eastAsia="Arial" w:hAnsi="Arial"/>
                <w:sz w:val="14"/>
                <w:szCs w:val="14"/>
                <w:color w:val="auto"/>
                <w:w w:val="96"/>
              </w:rPr>
              <w:t>(a)</w:t>
            </w:r>
          </w:p>
        </w:tc>
        <w:tc>
          <w:tcPr>
            <w:tcW w:w="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Balance, end of period</w:t>
            </w:r>
          </w:p>
        </w:tc>
        <w:tc>
          <w:tcPr>
            <w:tcW w:w="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766</w:t>
            </w:r>
          </w:p>
        </w:tc>
        <w:tc>
          <w:tcPr>
            <w:tcW w:w="1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953</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953</w:t>
            </w: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Retained earnings</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3,239</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2,719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2,750</w:t>
            </w:r>
          </w:p>
        </w:tc>
      </w:tr>
      <w:tr>
        <w:trPr>
          <w:trHeight w:val="229"/>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(b)</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29"/>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Regular dividends</w:t>
            </w:r>
          </w:p>
        </w:tc>
        <w:tc>
          <w:tcPr>
            <w:tcW w:w="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Balance, end of period</w:t>
            </w:r>
          </w:p>
        </w:tc>
        <w:tc>
          <w:tcPr>
            <w:tcW w:w="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2,641</w:t>
            </w:r>
          </w:p>
        </w:tc>
        <w:tc>
          <w:tcPr>
            <w:tcW w:w="1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2,780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2,780</w:t>
            </w: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29"/>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(b)</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Unrealized translation gain (loss)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Pension and postretirement obligation adjustment</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change in investment securities</w:t>
            </w:r>
          </w:p>
        </w:tc>
        <w:tc>
          <w:tcPr>
            <w:tcW w:w="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end of period</w:t>
            </w:r>
          </w:p>
        </w:tc>
        <w:tc>
          <w:tcPr>
            <w:tcW w:w="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r>
      <w:tr>
        <w:trPr>
          <w:trHeight w:val="263"/>
        </w:trPr>
        <w:tc>
          <w:tcPr>
            <w:tcW w:w="49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2,983</w:t>
            </w:r>
          </w:p>
        </w:tc>
        <w:tc>
          <w:tcPr>
            <w:tcW w:w="140" w:type="dxa"/>
            <w:vAlign w:val="bottom"/>
          </w:tcPr>
          <w:p>
            <w:pPr>
              <w:spacing w:after="0"/>
              <w:rPr>
                <w:sz w:val="22"/>
                <w:szCs w:val="22"/>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3,362</w:t>
            </w:r>
          </w:p>
        </w:tc>
        <w:tc>
          <w:tcPr>
            <w:tcW w:w="280" w:type="dxa"/>
            <w:vAlign w:val="bottom"/>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2,983</w:t>
            </w:r>
          </w:p>
        </w:tc>
        <w:tc>
          <w:tcPr>
            <w:tcW w:w="280" w:type="dxa"/>
            <w:vAlign w:val="bottom"/>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3,362</w:t>
            </w: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dividends declared per common share</w:t>
            </w:r>
          </w:p>
        </w:tc>
        <w:tc>
          <w:tcPr>
            <w:tcW w:w="4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0.275</w:t>
            </w:r>
          </w:p>
        </w:tc>
        <w:tc>
          <w:tcPr>
            <w:tcW w:w="1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0.250</w:t>
            </w:r>
          </w:p>
        </w:tc>
        <w:tc>
          <w:tcPr>
            <w:tcW w:w="2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0.550</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8"/>
              </w:rPr>
              <w:t>0.500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146050</wp:posOffset>
            </wp:positionV>
            <wp:extent cx="6626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85" w:lineRule="exact"/>
        <w:rPr>
          <w:sz w:val="20"/>
          <w:szCs w:val="20"/>
          <w:color w:val="auto"/>
        </w:rPr>
      </w:pPr>
    </w:p>
    <w:p>
      <w:pPr>
        <w:ind w:left="800" w:hanging="401"/>
        <w:spacing w:after="0" w:line="230"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Common shares issued were 208,564 shares and 93,738 shares for the three months ended March 31, 2020 and 2019, respectively, and 279,025 shares and 234,352 shares for the six months ended March 31, 2020 and 2019.</w:t>
      </w:r>
    </w:p>
    <w:p>
      <w:pPr>
        <w:ind w:left="800" w:hanging="401"/>
        <w:spacing w:after="0" w:line="237"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cumulative-effect adjustment related to the adoption of the new guidance related to the accounting for equity securities and tax effects of intercompany transfers during fiscal 2019.</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 – STOCK INCENTIVE PLANS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components of Ashland’s pre-tax stock-based compensation expense included in continuing operations are as follows: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107"/>
              <w:spacing w:after="0"/>
              <w:rPr>
                <w:sz w:val="20"/>
                <w:szCs w:val="20"/>
                <w:color w:val="auto"/>
              </w:rPr>
            </w:pPr>
            <w:r>
              <w:rPr>
                <w:rFonts w:ascii="Arial" w:cs="Arial" w:eastAsia="Arial" w:hAnsi="Arial"/>
                <w:sz w:val="18"/>
                <w:szCs w:val="18"/>
                <w:color w:val="auto"/>
              </w:rPr>
              <w:t>Three months ended</w:t>
            </w: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Six months ended</w:t>
            </w: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14"/>
                <w:szCs w:val="14"/>
                <w:color w:val="auto"/>
              </w:rPr>
              <w:t>(a)</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14"/>
                <w:szCs w:val="14"/>
                <w:color w:val="auto"/>
              </w:rPr>
              <w:t>(b)</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14"/>
                <w:szCs w:val="14"/>
                <w:color w:val="auto"/>
              </w:rPr>
              <w:t>(a)</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14"/>
                <w:szCs w:val="14"/>
                <w:color w:val="auto"/>
              </w:rPr>
              <w:t>(b)</w:t>
            </w:r>
          </w:p>
        </w:tc>
      </w:tr>
      <w:tr>
        <w:trPr>
          <w:trHeight w:val="223"/>
        </w:trPr>
        <w:tc>
          <w:tcPr>
            <w:tcW w:w="20" w:type="dxa"/>
            <w:vAlign w:val="bottom"/>
          </w:tcPr>
          <w:p>
            <w:pPr>
              <w:spacing w:after="0"/>
              <w:rPr>
                <w:sz w:val="19"/>
                <w:szCs w:val="19"/>
                <w:color w:val="auto"/>
              </w:rPr>
            </w:pPr>
          </w:p>
        </w:tc>
        <w:tc>
          <w:tcPr>
            <w:tcW w:w="3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SARs</w:t>
            </w:r>
          </w:p>
        </w:tc>
        <w:tc>
          <w:tcPr>
            <w:tcW w:w="1780" w:type="dxa"/>
            <w:vAlign w:val="bottom"/>
            <w:tcBorders>
              <w:top w:val="single" w:sz="8" w:color="auto"/>
            </w:tcBorders>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940" w:type="dxa"/>
            <w:vAlign w:val="bottom"/>
            <w:tcBorders>
              <w:top w:val="single" w:sz="8" w:color="auto"/>
            </w:tcBorders>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420" w:type="dxa"/>
            <w:vAlign w:val="bottom"/>
            <w:tcBorders>
              <w:top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560" w:type="dxa"/>
            <w:vAlign w:val="bottom"/>
            <w:tcBorders>
              <w:top w:val="single" w:sz="8" w:color="auto"/>
            </w:tcBorders>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Nonvested stock awards</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Performance share awards</w:t>
            </w:r>
          </w:p>
        </w:tc>
        <w:tc>
          <w:tcPr>
            <w:tcW w:w="1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bl>
    <w:p>
      <w:pPr>
        <w:spacing w:after="0" w:line="265" w:lineRule="exact"/>
        <w:rPr>
          <w:sz w:val="20"/>
          <w:szCs w:val="20"/>
          <w:color w:val="auto"/>
        </w:rPr>
      </w:pPr>
    </w:p>
    <w:p>
      <w:pPr>
        <w:ind w:left="800" w:hanging="401"/>
        <w:spacing w:after="0" w:line="276" w:lineRule="auto"/>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Included zero million and $1 million of expense related to cash-settled nonvested restricted stock awards during the three and six months ended March 31, 2020 and zero million related to cash-settled performance units during the three and six months ended March 31, 2020.</w:t>
      </w:r>
    </w:p>
    <w:p>
      <w:pPr>
        <w:ind w:left="800" w:hanging="401"/>
        <w:spacing w:after="0" w:line="243" w:lineRule="auto"/>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Included $2 million and $3 million of expense related to cash-settled nonvested restricted stock awards during the three and six months ended March 31, 2019 and $2 million of expense related to cash-settled performance units during the three months ended March 31, 2019.</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P – REVENUE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Revenue recognition</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Ashland’s revenue is measured as the amount of consideration it expects to receive in exchange for transferring goods or providing services and is recognized when performance obligations are satisfied under the terms of contracts with customers. Ashland generally utilizes standardized language for the terms of contracts, unless a separate agreement has been entered into with a customer that supersedes the standard language.</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46" w:right="7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9"/>
          <w:szCs w:val="19"/>
          <w:color w:val="auto"/>
        </w:rPr>
        <w:t>A performance obligation is deemed to be satisfied by Ashland when control of the product or service is transferred to the customer. The transaction price of a contract, or the amount Ashland expects to receive upon satisfaction of all performance obligations, is determined by reference to the contract’s terms and includes adjustments, if applicable, for any variable consideration, such as volume discounts, rebates, refunds and right to return. Where a contract contains more than one distinct performance obligation, the transaction price is allocated to each performance obligation based on the standalone selling price of each performance obligation, although these situations do not occur frequently and are generally not included within Ashland’s contracts. Any unsatisfied performance obligations are not material. Standalone selling prices are based on prices Ashland charges to customers, which in some cases is based on established market prices. Ashland generally collects the cash from its customers within 60 days of the product delivery date. Sales and other similar taxes collected from customers on behalf of third parties are excluded from the contract price.</w:t>
      </w:r>
    </w:p>
    <w:p>
      <w:pPr>
        <w:spacing w:after="0" w:line="8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All of Ashland’s revenue is derived from contracts with customers, and nearly all contracts with customers contain one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Costs incurred to obtain contracts with customers have historically not been significant and are expensed immediately as the amortization period is generally one year or less. Ashland records bad debt expense in specific situations when it is determined that the customer is unable to meet its financial obligation.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 receivables</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Trade receivables are defined as receivables arising from contracts with customers and are recorded within the accounts receivable caption within the Condensed Consolidated Balance Sheets. Ashland’s trade receivables were $458 million and $435 million as of March 31, 2020 and September 30, 2019,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60" w:right="7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Disaggregation of revenue</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 disaggregates its revenue by segment and geographical region as Ashland believes these categories best depict how management reviews the financial performance of its operations. See the following tables for details (intersegment sales eliminations have been excluded). See Note Q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626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8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Sales by geography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4"/>
          </w:tcPr>
          <w:p>
            <w:pPr>
              <w:jc w:val="center"/>
              <w:ind w:left="55"/>
              <w:spacing w:after="0"/>
              <w:rPr>
                <w:sz w:val="20"/>
                <w:szCs w:val="20"/>
                <w:color w:val="auto"/>
              </w:rPr>
            </w:pPr>
            <w:r>
              <w:rPr>
                <w:rFonts w:ascii="Arial" w:cs="Arial" w:eastAsia="Arial" w:hAnsi="Arial"/>
                <w:sz w:val="17"/>
                <w:szCs w:val="17"/>
                <w:color w:val="auto"/>
                <w:w w:val="89"/>
              </w:rPr>
              <w:t>Six months ended</w:t>
            </w:r>
          </w:p>
        </w:tc>
        <w:tc>
          <w:tcPr>
            <w:tcW w:w="7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7"/>
                <w:szCs w:val="17"/>
                <w:color w:val="auto"/>
                <w:w w:val="93"/>
              </w:rPr>
              <w:t>March 31</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7"/>
                <w:szCs w:val="17"/>
                <w:color w:val="auto"/>
                <w:w w:val="93"/>
              </w:rPr>
              <w:t>March 31</w:t>
            </w:r>
          </w:p>
        </w:tc>
        <w:tc>
          <w:tcPr>
            <w:tcW w:w="70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09"/>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color w:val="auto"/>
                <w:w w:val="90"/>
              </w:rPr>
              <w:t>Life Sciences</w:t>
            </w:r>
          </w:p>
        </w:tc>
        <w:tc>
          <w:tcPr>
            <w:tcW w:w="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18"/>
                <w:szCs w:val="18"/>
                <w:color w:val="auto"/>
              </w:rPr>
            </w:pPr>
          </w:p>
        </w:tc>
        <w:tc>
          <w:tcPr>
            <w:tcW w:w="800" w:type="dxa"/>
            <w:vAlign w:val="bottom"/>
            <w:gridSpan w:val="2"/>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67</w:t>
            </w:r>
          </w:p>
        </w:tc>
        <w:tc>
          <w:tcPr>
            <w:tcW w:w="600" w:type="dxa"/>
            <w:vAlign w:val="bottom"/>
            <w:gridSpan w:val="2"/>
          </w:tcPr>
          <w:p>
            <w:pPr>
              <w:jc w:val="right"/>
              <w:ind w:right="28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18"/>
                <w:szCs w:val="18"/>
                <w:color w:val="auto"/>
              </w:rPr>
            </w:pPr>
          </w:p>
        </w:tc>
        <w:tc>
          <w:tcPr>
            <w:tcW w:w="720" w:type="dxa"/>
            <w:vAlign w:val="bottom"/>
            <w:gridSpan w:val="2"/>
          </w:tcPr>
          <w:p>
            <w:pPr>
              <w:jc w:val="right"/>
              <w:ind w:right="59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126</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61</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112</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110</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95</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35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35</w:t>
            </w: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196</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366</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4"/>
          </w:tcPr>
          <w:p>
            <w:pPr>
              <w:jc w:val="center"/>
              <w:ind w:left="55"/>
              <w:spacing w:after="0"/>
              <w:rPr>
                <w:sz w:val="20"/>
                <w:szCs w:val="20"/>
                <w:color w:val="auto"/>
              </w:rPr>
            </w:pPr>
            <w:r>
              <w:rPr>
                <w:rFonts w:ascii="Arial" w:cs="Arial" w:eastAsia="Arial" w:hAnsi="Arial"/>
                <w:sz w:val="17"/>
                <w:szCs w:val="17"/>
                <w:color w:val="auto"/>
                <w:w w:val="89"/>
              </w:rPr>
              <w:t>Six months ended</w:t>
            </w: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7"/>
                <w:szCs w:val="17"/>
                <w:color w:val="auto"/>
                <w:w w:val="93"/>
              </w:rPr>
              <w:t>March 31</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7"/>
                <w:szCs w:val="17"/>
                <w:color w:val="auto"/>
                <w:w w:val="93"/>
              </w:rPr>
              <w:t>March 31</w:t>
            </w:r>
          </w:p>
        </w:tc>
        <w:tc>
          <w:tcPr>
            <w:tcW w:w="70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3720" w:type="dxa"/>
            <w:vAlign w:val="bottom"/>
            <w:tcBorders>
              <w:top w:val="single" w:sz="8" w:color="auto"/>
              <w:bottom w:val="single" w:sz="8" w:color="auto"/>
            </w:tcBorders>
            <w:gridSpan w:val="6"/>
          </w:tcPr>
          <w:p>
            <w:pPr>
              <w:jc w:val="center"/>
              <w:ind w:left="635"/>
              <w:spacing w:after="0"/>
              <w:rPr>
                <w:sz w:val="20"/>
                <w:szCs w:val="20"/>
                <w:color w:val="auto"/>
              </w:rPr>
            </w:pPr>
            <w:r>
              <w:rPr>
                <w:rFonts w:ascii="Arial" w:cs="Arial" w:eastAsia="Arial" w:hAnsi="Arial"/>
                <w:sz w:val="17"/>
                <w:szCs w:val="17"/>
                <w:color w:val="auto"/>
                <w:w w:val="91"/>
              </w:rPr>
              <w:t>Personal Care &amp; Household</w:t>
            </w: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8"/>
                <w:szCs w:val="18"/>
                <w:color w:val="auto"/>
              </w:rPr>
            </w:pPr>
          </w:p>
        </w:tc>
        <w:tc>
          <w:tcPr>
            <w:tcW w:w="800" w:type="dxa"/>
            <w:vAlign w:val="bottom"/>
            <w:gridSpan w:val="2"/>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48</w:t>
            </w:r>
          </w:p>
        </w:tc>
        <w:tc>
          <w:tcPr>
            <w:tcW w:w="600" w:type="dxa"/>
            <w:vAlign w:val="bottom"/>
            <w:gridSpan w:val="2"/>
          </w:tcPr>
          <w:p>
            <w:pPr>
              <w:jc w:val="right"/>
              <w:ind w:right="28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8"/>
                <w:szCs w:val="18"/>
                <w:color w:val="auto"/>
              </w:rPr>
            </w:pPr>
          </w:p>
        </w:tc>
        <w:tc>
          <w:tcPr>
            <w:tcW w:w="720" w:type="dxa"/>
            <w:vAlign w:val="bottom"/>
            <w:gridSpan w:val="2"/>
          </w:tcPr>
          <w:p>
            <w:pPr>
              <w:jc w:val="right"/>
              <w:ind w:right="59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91</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86</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124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149</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55</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35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42</w:t>
            </w:r>
          </w:p>
        </w:tc>
      </w:tr>
      <w:tr>
        <w:trPr>
          <w:trHeight w:val="209"/>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183</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337</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4"/>
          </w:tcPr>
          <w:p>
            <w:pPr>
              <w:jc w:val="center"/>
              <w:ind w:left="55"/>
              <w:spacing w:after="0"/>
              <w:rPr>
                <w:sz w:val="20"/>
                <w:szCs w:val="20"/>
                <w:color w:val="auto"/>
              </w:rPr>
            </w:pPr>
            <w:r>
              <w:rPr>
                <w:rFonts w:ascii="Arial" w:cs="Arial" w:eastAsia="Arial" w:hAnsi="Arial"/>
                <w:sz w:val="17"/>
                <w:szCs w:val="17"/>
                <w:color w:val="auto"/>
                <w:w w:val="89"/>
              </w:rPr>
              <w:t>Six months ended</w:t>
            </w: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7"/>
                <w:szCs w:val="17"/>
                <w:color w:val="auto"/>
                <w:w w:val="93"/>
              </w:rPr>
              <w:t>March 31</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7"/>
                <w:szCs w:val="17"/>
                <w:color w:val="auto"/>
                <w:w w:val="93"/>
              </w:rPr>
              <w:t>March 31</w:t>
            </w:r>
          </w:p>
        </w:tc>
        <w:tc>
          <w:tcPr>
            <w:tcW w:w="700" w:type="dxa"/>
            <w:vAlign w:val="bottom"/>
            <w:tcBorders>
              <w:bottom w:val="single" w:sz="8" w:color="auto"/>
            </w:tcBorders>
          </w:tcPr>
          <w:p>
            <w:pPr>
              <w:spacing w:after="0"/>
              <w:rPr>
                <w:sz w:val="18"/>
                <w:szCs w:val="18"/>
                <w:color w:val="auto"/>
              </w:rPr>
            </w:pPr>
          </w:p>
        </w:tc>
      </w:tr>
      <w:tr>
        <w:trPr>
          <w:trHeight w:val="214"/>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09"/>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color w:val="auto"/>
                <w:w w:val="93"/>
              </w:rPr>
              <w:t>Specialty Additives</w:t>
            </w:r>
          </w:p>
        </w:tc>
        <w:tc>
          <w:tcPr>
            <w:tcW w:w="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8"/>
                <w:szCs w:val="18"/>
                <w:color w:val="auto"/>
              </w:rPr>
            </w:pPr>
          </w:p>
        </w:tc>
        <w:tc>
          <w:tcPr>
            <w:tcW w:w="800" w:type="dxa"/>
            <w:vAlign w:val="bottom"/>
            <w:gridSpan w:val="2"/>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57</w:t>
            </w:r>
          </w:p>
        </w:tc>
        <w:tc>
          <w:tcPr>
            <w:tcW w:w="600" w:type="dxa"/>
            <w:vAlign w:val="bottom"/>
            <w:gridSpan w:val="2"/>
          </w:tcPr>
          <w:p>
            <w:pPr>
              <w:jc w:val="right"/>
              <w:ind w:right="28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98</w:t>
            </w:r>
          </w:p>
        </w:tc>
        <w:tc>
          <w:tcPr>
            <w:tcW w:w="160" w:type="dxa"/>
            <w:vAlign w:val="bottom"/>
          </w:tcPr>
          <w:p>
            <w:pPr>
              <w:spacing w:after="0"/>
              <w:rPr>
                <w:sz w:val="18"/>
                <w:szCs w:val="18"/>
                <w:color w:val="auto"/>
              </w:rPr>
            </w:pPr>
          </w:p>
        </w:tc>
        <w:tc>
          <w:tcPr>
            <w:tcW w:w="720" w:type="dxa"/>
            <w:vAlign w:val="bottom"/>
            <w:gridSpan w:val="2"/>
          </w:tcPr>
          <w:p>
            <w:pPr>
              <w:jc w:val="right"/>
              <w:ind w:right="59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105</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62</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109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112</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78</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21</w:t>
            </w: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169</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316</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4"/>
          </w:tcPr>
          <w:p>
            <w:pPr>
              <w:jc w:val="center"/>
              <w:ind w:left="55"/>
              <w:spacing w:after="0"/>
              <w:rPr>
                <w:sz w:val="20"/>
                <w:szCs w:val="20"/>
                <w:color w:val="auto"/>
              </w:rPr>
            </w:pPr>
            <w:r>
              <w:rPr>
                <w:rFonts w:ascii="Arial" w:cs="Arial" w:eastAsia="Arial" w:hAnsi="Arial"/>
                <w:sz w:val="17"/>
                <w:szCs w:val="17"/>
                <w:color w:val="auto"/>
                <w:w w:val="89"/>
              </w:rPr>
              <w:t>Six months ended</w:t>
            </w: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7"/>
                <w:szCs w:val="17"/>
                <w:color w:val="auto"/>
                <w:w w:val="93"/>
              </w:rPr>
              <w:t>March 31</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7"/>
                <w:szCs w:val="17"/>
                <w:color w:val="auto"/>
                <w:w w:val="93"/>
              </w:rPr>
              <w:t>March 31</w:t>
            </w:r>
          </w:p>
        </w:tc>
        <w:tc>
          <w:tcPr>
            <w:tcW w:w="70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5"/>
          </w:tcPr>
          <w:p>
            <w:pPr>
              <w:jc w:val="center"/>
              <w:ind w:right="605"/>
              <w:spacing w:after="0"/>
              <w:rPr>
                <w:sz w:val="20"/>
                <w:szCs w:val="20"/>
                <w:color w:val="auto"/>
              </w:rPr>
            </w:pPr>
            <w:r>
              <w:rPr>
                <w:rFonts w:ascii="Arial" w:cs="Arial" w:eastAsia="Arial" w:hAnsi="Arial"/>
                <w:sz w:val="17"/>
                <w:szCs w:val="17"/>
                <w:color w:val="auto"/>
                <w:w w:val="90"/>
              </w:rPr>
              <w:t>Performance Adhesives</w:t>
            </w: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8"/>
                <w:szCs w:val="18"/>
                <w:color w:val="auto"/>
              </w:rPr>
            </w:pPr>
          </w:p>
        </w:tc>
        <w:tc>
          <w:tcPr>
            <w:tcW w:w="800" w:type="dxa"/>
            <w:vAlign w:val="bottom"/>
            <w:gridSpan w:val="2"/>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75</w:t>
            </w:r>
          </w:p>
        </w:tc>
        <w:tc>
          <w:tcPr>
            <w:tcW w:w="600" w:type="dxa"/>
            <w:vAlign w:val="bottom"/>
            <w:gridSpan w:val="2"/>
          </w:tcPr>
          <w:p>
            <w:pPr>
              <w:jc w:val="right"/>
              <w:ind w:right="28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137</w:t>
            </w:r>
          </w:p>
        </w:tc>
        <w:tc>
          <w:tcPr>
            <w:tcW w:w="160" w:type="dxa"/>
            <w:vAlign w:val="bottom"/>
          </w:tcPr>
          <w:p>
            <w:pPr>
              <w:spacing w:after="0"/>
              <w:rPr>
                <w:sz w:val="18"/>
                <w:szCs w:val="18"/>
                <w:color w:val="auto"/>
              </w:rPr>
            </w:pPr>
          </w:p>
        </w:tc>
        <w:tc>
          <w:tcPr>
            <w:tcW w:w="720" w:type="dxa"/>
            <w:vAlign w:val="bottom"/>
            <w:gridSpan w:val="2"/>
          </w:tcPr>
          <w:p>
            <w:pPr>
              <w:jc w:val="right"/>
              <w:ind w:right="59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144</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19</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3</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w:t>
            </w:r>
          </w:p>
        </w:tc>
        <w:tc>
          <w:tcPr>
            <w:tcW w:w="1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5</w:t>
            </w: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89</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171</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4"/>
          </w:tcPr>
          <w:p>
            <w:pPr>
              <w:jc w:val="center"/>
              <w:ind w:left="55"/>
              <w:spacing w:after="0"/>
              <w:rPr>
                <w:sz w:val="20"/>
                <w:szCs w:val="20"/>
                <w:color w:val="auto"/>
              </w:rPr>
            </w:pPr>
            <w:r>
              <w:rPr>
                <w:rFonts w:ascii="Arial" w:cs="Arial" w:eastAsia="Arial" w:hAnsi="Arial"/>
                <w:sz w:val="17"/>
                <w:szCs w:val="17"/>
                <w:color w:val="auto"/>
                <w:w w:val="89"/>
              </w:rPr>
              <w:t>Six months ended</w:t>
            </w: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7"/>
                <w:szCs w:val="17"/>
                <w:color w:val="auto"/>
                <w:w w:val="93"/>
              </w:rPr>
              <w:t>March 31</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7"/>
                <w:szCs w:val="17"/>
                <w:color w:val="auto"/>
                <w:w w:val="93"/>
              </w:rPr>
              <w:t>March 31</w:t>
            </w:r>
          </w:p>
        </w:tc>
        <w:tc>
          <w:tcPr>
            <w:tcW w:w="70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3720" w:type="dxa"/>
            <w:vAlign w:val="bottom"/>
            <w:tcBorders>
              <w:top w:val="single" w:sz="8" w:color="auto"/>
              <w:bottom w:val="single" w:sz="8" w:color="auto"/>
            </w:tcBorders>
            <w:gridSpan w:val="6"/>
          </w:tcPr>
          <w:p>
            <w:pPr>
              <w:jc w:val="center"/>
              <w:ind w:left="635"/>
              <w:spacing w:after="0"/>
              <w:rPr>
                <w:sz w:val="20"/>
                <w:szCs w:val="20"/>
                <w:color w:val="auto"/>
              </w:rPr>
            </w:pPr>
            <w:r>
              <w:rPr>
                <w:rFonts w:ascii="Arial" w:cs="Arial" w:eastAsia="Arial" w:hAnsi="Arial"/>
                <w:sz w:val="17"/>
                <w:szCs w:val="17"/>
                <w:color w:val="auto"/>
                <w:w w:val="89"/>
              </w:rPr>
              <w:t>Intermediates and Solvents</w:t>
            </w: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800" w:type="dxa"/>
            <w:vAlign w:val="bottom"/>
            <w:gridSpan w:val="2"/>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29</w:t>
            </w:r>
          </w:p>
        </w:tc>
        <w:tc>
          <w:tcPr>
            <w:tcW w:w="600" w:type="dxa"/>
            <w:vAlign w:val="bottom"/>
            <w:gridSpan w:val="2"/>
          </w:tcPr>
          <w:p>
            <w:pPr>
              <w:jc w:val="right"/>
              <w:ind w:right="28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37</w:t>
            </w:r>
          </w:p>
        </w:tc>
        <w:tc>
          <w:tcPr>
            <w:tcW w:w="160" w:type="dxa"/>
            <w:vAlign w:val="bottom"/>
          </w:tcPr>
          <w:p>
            <w:pPr>
              <w:spacing w:after="0"/>
              <w:rPr>
                <w:sz w:val="18"/>
                <w:szCs w:val="18"/>
                <w:color w:val="auto"/>
              </w:rPr>
            </w:pPr>
          </w:p>
        </w:tc>
        <w:tc>
          <w:tcPr>
            <w:tcW w:w="720" w:type="dxa"/>
            <w:vAlign w:val="bottom"/>
            <w:gridSpan w:val="2"/>
          </w:tcPr>
          <w:p>
            <w:pPr>
              <w:jc w:val="right"/>
              <w:ind w:right="59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50</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11</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13</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w:t>
            </w:r>
          </w:p>
        </w:tc>
        <w:tc>
          <w:tcPr>
            <w:tcW w:w="1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3</w:t>
            </w:r>
          </w:p>
        </w:tc>
      </w:tr>
      <w:tr>
        <w:trPr>
          <w:trHeight w:val="209"/>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77</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54" w:right="7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NOTE Q – REPORTABLE SEGMENT INFORMATION</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Change in Reportable Segments</w:t>
      </w:r>
    </w:p>
    <w:p>
      <w:pPr>
        <w:spacing w:after="0" w:line="114"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During the second quarter of fiscal year 2020, Ashland changed the manner in which it manages the business moving from a functionally led to a business led organization. This change recognizes that Ashland has a diverse portfolio of businesses with different value propositions for the markets Ashland serves. The organizational change allows Ashland to align its business models, resources and cost structure to the specific needs of each business and enables greater ownership and accountability for both short-and long-term performance. Ashland has realigned its segment reporting structure commensurate with this organizational change. As a result, Ashland’s five reportable segments include the consumer specialty businesses: Life Sciences and Personal Care &amp; Household; the industrial specialty businesses: Specialty Additives and Performance Adhesives; and Intermediates and Solvents. Corporate includes corporate governance activities and certain legacy matters. The historical segment information has been recast to conform to the current segment structure.</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 business descriptions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Consumer Specialties</w:t>
      </w:r>
    </w:p>
    <w:p>
      <w:pPr>
        <w:spacing w:after="0" w:line="108"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for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provide custom formulation, toll processing and particle engineering solutions. Customers include pharmaceutical, food, beverage, nutraceuticals and supplements manufacturers, hospitals and radiologists and industrial manufacturers.</w:t>
      </w:r>
    </w:p>
    <w:p>
      <w:pPr>
        <w:spacing w:after="0" w:line="77" w:lineRule="exact"/>
        <w:rPr>
          <w:sz w:val="20"/>
          <w:szCs w:val="20"/>
          <w:color w:val="auto"/>
        </w:rPr>
      </w:pPr>
    </w:p>
    <w:p>
      <w:pPr>
        <w:jc w:val="both"/>
        <w:ind w:left="400"/>
        <w:spacing w:after="0" w:line="276" w:lineRule="auto"/>
        <w:rPr>
          <w:sz w:val="20"/>
          <w:szCs w:val="20"/>
          <w:color w:val="auto"/>
        </w:rPr>
      </w:pPr>
      <w:r>
        <w:rPr>
          <w:rFonts w:ascii="Arial" w:cs="Arial" w:eastAsia="Arial" w:hAnsi="Arial"/>
          <w:sz w:val="18"/>
          <w:szCs w:val="18"/>
          <w:color w:val="auto"/>
        </w:rPr>
        <w:t>Personal Care &amp; Household is comprised of biofunctionals, preservatives, skin care, sun care, oral care, hair care and household. These businesses have a broad range of nature-based, biodegradable, and 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Industrial Specialties</w:t>
      </w:r>
    </w:p>
    <w:p>
      <w:pPr>
        <w:spacing w:after="0" w:line="108" w:lineRule="exact"/>
        <w:rPr>
          <w:sz w:val="20"/>
          <w:szCs w:val="20"/>
          <w:color w:val="auto"/>
        </w:rPr>
      </w:pPr>
    </w:p>
    <w:p>
      <w:pPr>
        <w:jc w:val="both"/>
        <w:ind w:left="400"/>
        <w:spacing w:after="0" w:line="255" w:lineRule="auto"/>
        <w:rPr>
          <w:sz w:val="20"/>
          <w:szCs w:val="20"/>
          <w:color w:val="auto"/>
        </w:rPr>
      </w:pPr>
      <w:r>
        <w:rPr>
          <w:rFonts w:ascii="Arial" w:cs="Arial" w:eastAsia="Arial" w:hAnsi="Arial"/>
          <w:sz w:val="19"/>
          <w:szCs w:val="19"/>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1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68" w:right="7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9"/>
          <w:szCs w:val="19"/>
          <w:color w:val="auto"/>
        </w:rPr>
        <w:t>Performance Adhesives is comprised of adhesives used in packaging, converting and structural applications. Packaging adhesives has an extensive line of pressure sensitive adhesives, functional coatings and primers combined with innovative technology solutions for narrow-, mid- and wide-web applications. Products meet stringent requirements in food and beverage safety, shipping, transportation, health and beauty, industrial, postage and security printing. Structural adhesives include light weighting vehicles and eliminating VOCs in buildings. Customers include converters of packaging materials, manufacturers of building materials and tier one suppliers to transportation industry.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as a feedstock to the supplied to Life Sciences, Personal Care, and Specialty Additives for use as a raw material.</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 results</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charges in the current fiscal year for certain corporate governance costs, which were previously allocated. These costs are now reflected in Unallocated and Other for all periods presented.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60" w:right="739" w:bottom="1440" w:gutter="0" w:footer="0" w:header="0"/>
        </w:sectPr>
      </w:pPr>
    </w:p>
    <w:bookmarkStart w:id="33" w:name="page34"/>
    <w:bookmarkEnd w:id="33"/>
    <w:p>
      <w:pPr>
        <w:ind w:left="400" w:right="400"/>
        <w:spacing w:after="0" w:line="260" w:lineRule="auto"/>
        <w:rPr>
          <w:sz w:val="20"/>
          <w:szCs w:val="20"/>
          <w:color w:val="auto"/>
        </w:rPr>
      </w:pPr>
      <w:r>
        <w:rPr>
          <w:rFonts w:ascii="Arial" w:cs="Arial" w:eastAsia="Arial" w:hAnsi="Arial"/>
          <w:sz w:val="20"/>
          <w:szCs w:val="20"/>
          <w:color w:val="auto"/>
        </w:rPr>
        <w:t>The following table presents various financial information for each reportable segment for the three and six months ended March 31, 2020 and 2019.</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0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4"/>
          </w:tcPr>
          <w:p>
            <w:pPr>
              <w:jc w:val="right"/>
              <w:ind w:right="187"/>
              <w:spacing w:after="0"/>
              <w:rPr>
                <w:sz w:val="20"/>
                <w:szCs w:val="20"/>
                <w:color w:val="auto"/>
              </w:rPr>
            </w:pPr>
            <w:r>
              <w:rPr>
                <w:rFonts w:ascii="Arial" w:cs="Arial" w:eastAsia="Arial" w:hAnsi="Arial"/>
                <w:sz w:val="18"/>
                <w:szCs w:val="18"/>
                <w:color w:val="auto"/>
              </w:rPr>
              <w:t>Three months ended</w:t>
            </w:r>
          </w:p>
        </w:tc>
        <w:tc>
          <w:tcPr>
            <w:tcW w:w="7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right"/>
              <w:ind w:right="207"/>
              <w:spacing w:after="0"/>
              <w:rPr>
                <w:sz w:val="20"/>
                <w:szCs w:val="20"/>
                <w:color w:val="auto"/>
              </w:rPr>
            </w:pPr>
            <w:r>
              <w:rPr>
                <w:rFonts w:ascii="Arial" w:cs="Arial" w:eastAsia="Arial" w:hAnsi="Arial"/>
                <w:sz w:val="18"/>
                <w:szCs w:val="18"/>
                <w:color w:val="auto"/>
              </w:rPr>
              <w:t>Six months ended</w:t>
            </w:r>
          </w:p>
        </w:tc>
        <w:tc>
          <w:tcPr>
            <w:tcW w:w="8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567"/>
              <w:spacing w:after="0"/>
              <w:rPr>
                <w:sz w:val="20"/>
                <w:szCs w:val="20"/>
                <w:color w:val="auto"/>
              </w:rPr>
            </w:pPr>
            <w:r>
              <w:rPr>
                <w:rFonts w:ascii="Arial" w:cs="Arial" w:eastAsia="Arial" w:hAnsi="Arial"/>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ind w:left="400"/>
              <w:spacing w:after="0"/>
              <w:rPr>
                <w:sz w:val="20"/>
                <w:szCs w:val="20"/>
                <w:color w:val="auto"/>
              </w:rPr>
            </w:pPr>
            <w:r>
              <w:rPr>
                <w:rFonts w:ascii="Arial" w:cs="Arial" w:eastAsia="Arial" w:hAnsi="Arial"/>
                <w:sz w:val="18"/>
                <w:szCs w:val="18"/>
                <w:color w:val="auto"/>
              </w:rPr>
              <w:t>(In millions - unaudited)</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5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10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w:t>
            </w:r>
          </w:p>
        </w:tc>
        <w:tc>
          <w:tcPr>
            <w:tcW w:w="1060" w:type="dxa"/>
            <w:vAlign w:val="bottom"/>
            <w:gridSpan w:val="3"/>
          </w:tcPr>
          <w:p>
            <w:pPr>
              <w:jc w:val="right"/>
              <w:ind w:right="707"/>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70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96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636</w:t>
            </w: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5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Intersegment sales (a)</w:t>
            </w:r>
          </w:p>
        </w:tc>
        <w:tc>
          <w:tcPr>
            <w:tcW w:w="5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Intermediates and Solvents</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667</w:t>
            </w: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1,143</w:t>
            </w:r>
          </w:p>
        </w:tc>
        <w:tc>
          <w:tcPr>
            <w:tcW w:w="1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OPERATING INCOME (LOSS)</w:t>
            </w: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102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60" w:type="dxa"/>
            <w:vAlign w:val="bottom"/>
            <w:gridSpan w:val="3"/>
            <w:shd w:val="clear" w:color="auto" w:fill="CFF0FC"/>
          </w:tcPr>
          <w:p>
            <w:pPr>
              <w:jc w:val="right"/>
              <w:ind w:right="7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w:t>
            </w:r>
          </w:p>
        </w:tc>
        <w:tc>
          <w:tcPr>
            <w:tcW w:w="70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96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5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DEPRECIATION EXPENSE</w:t>
            </w: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102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60" w:type="dxa"/>
            <w:vAlign w:val="bottom"/>
            <w:gridSpan w:val="3"/>
            <w:shd w:val="clear" w:color="auto" w:fill="CFF0FC"/>
          </w:tcPr>
          <w:p>
            <w:pPr>
              <w:jc w:val="right"/>
              <w:ind w:right="7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70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5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34</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34" w:name="page35"/>
    <w:bookmarkEnd w:id="34"/>
    <w:tbl>
      <w:tblPr>
        <w:tblLayout w:type="fixed"/>
        <w:tblInd w:w="1"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 EXPENSE</w:t>
            </w: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124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580" w:type="dxa"/>
            <w:vAlign w:val="bottom"/>
            <w:gridSpan w:val="2"/>
          </w:tcPr>
          <w:p>
            <w:pPr>
              <w:jc w:val="right"/>
              <w:ind w:right="40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6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6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6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6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6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(b) (c)</w:t>
            </w: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124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51</w:t>
            </w:r>
          </w:p>
        </w:tc>
        <w:tc>
          <w:tcPr>
            <w:tcW w:w="82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6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6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6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6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6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March 31, 2020</w:t>
            </w: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87"/>
              </w:rPr>
              <w:t>September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1,973</w:t>
            </w:r>
          </w:p>
        </w:tc>
        <w:tc>
          <w:tcPr>
            <w:tcW w:w="160" w:type="dxa"/>
            <w:vAlign w:val="bottom"/>
          </w:tcPr>
          <w:p>
            <w:pPr>
              <w:spacing w:after="0"/>
              <w:rPr>
                <w:sz w:val="19"/>
                <w:szCs w:val="19"/>
                <w:color w:val="auto"/>
              </w:rPr>
            </w:pPr>
          </w:p>
        </w:tc>
        <w:tc>
          <w:tcPr>
            <w:tcW w:w="580" w:type="dxa"/>
            <w:vAlign w:val="bottom"/>
            <w:gridSpan w:val="2"/>
          </w:tcPr>
          <w:p>
            <w:pPr>
              <w:jc w:val="right"/>
              <w:ind w:right="40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1,019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64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2,992</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64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613</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2,240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1,560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401" w:hanging="401"/>
        <w:spacing w:after="0"/>
        <w:tabs>
          <w:tab w:leader="none" w:pos="401"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Intersegment sales from Intermediates and Solvents are accounted for at prices that approximate fair value. All other intersegment sales are accounted for at cost.</w:t>
      </w:r>
    </w:p>
    <w:p>
      <w:pPr>
        <w:ind w:left="401" w:hanging="401"/>
        <w:spacing w:after="0" w:line="221" w:lineRule="auto"/>
        <w:tabs>
          <w:tab w:leader="none" w:pos="401"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ind w:left="401" w:hanging="401"/>
        <w:spacing w:after="0"/>
        <w:tabs>
          <w:tab w:leader="none" w:pos="401"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$20 million of accelerated depreciation for the three months ended March 31, 2019 and $39 million for the six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1"/>
          </w:cols>
          <w:pgMar w:left="719" w:top="490" w:right="35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jc w:val="both"/>
        <w:ind w:left="400"/>
        <w:spacing w:after="0" w:line="303" w:lineRule="auto"/>
        <w:rPr>
          <w:sz w:val="20"/>
          <w:szCs w:val="20"/>
          <w:color w:val="auto"/>
        </w:rPr>
      </w:pPr>
      <w:r>
        <w:rPr>
          <w:rFonts w:ascii="Arial" w:cs="Arial" w:eastAsia="Arial" w:hAnsi="Arial"/>
          <w:sz w:val="16"/>
          <w:szCs w:val="16"/>
          <w:color w:val="auto"/>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Shareholders,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and expected effects of the COVID-19 pandemic on Ashland’s business,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severe weather, natural disasters, public health crises (including the COVID-19 pandemic), cyber events and legal proceedings and claims (including product recalls, environmental and asbestos matters); the effects of the COVID-19 pandemic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Various risks and uncertainties may cause actual results to differ materially from those stated, projected or implied by any forward-looking statements. The extent and duration of the COVID-19 pandemic on our business and operations is uncertain. Factors that influence the impact on our business and operations include the duration and extent of the pandemic, the extent of imposed or recommended containment and mitigation measures, and the general economic consequences of the pandemic.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60" w:right="7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42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00" w:right="380"/>
        <w:spacing w:after="0" w:line="260" w:lineRule="auto"/>
        <w:rPr>
          <w:sz w:val="20"/>
          <w:szCs w:val="20"/>
          <w:color w:val="auto"/>
        </w:rPr>
      </w:pPr>
      <w:r>
        <w:rPr>
          <w:rFonts w:ascii="Arial" w:cs="Arial" w:eastAsia="Arial" w:hAnsi="Arial"/>
          <w:sz w:val="20"/>
          <w:szCs w:val="20"/>
          <w:color w:val="auto"/>
        </w:rPr>
        <w:t>The following discussion should be read in conjunction with the Condensed Consolidated Financial Statements and the accompanying Notes to Condensed Consolidated Financial Statements herein.</w:t>
      </w:r>
    </w:p>
    <w:p>
      <w:pPr>
        <w:spacing w:after="0" w:line="76" w:lineRule="exact"/>
        <w:rPr>
          <w:sz w:val="20"/>
          <w:szCs w:val="20"/>
          <w:color w:val="auto"/>
        </w:rPr>
      </w:pPr>
    </w:p>
    <w:p>
      <w:pPr>
        <w:jc w:val="center"/>
        <w:ind w:right="9100"/>
        <w:spacing w:after="0"/>
        <w:rPr>
          <w:sz w:val="20"/>
          <w:szCs w:val="20"/>
          <w:color w:val="auto"/>
        </w:rPr>
      </w:pPr>
      <w:r>
        <w:rPr>
          <w:rFonts w:ascii="Arial" w:cs="Arial" w:eastAsia="Arial" w:hAnsi="Arial"/>
          <w:sz w:val="19"/>
          <w:szCs w:val="19"/>
          <w:b w:val="1"/>
          <w:bCs w:val="1"/>
          <w:color w:val="auto"/>
        </w:rPr>
        <w:t>BUSINESS OVERVIEW</w:t>
      </w:r>
    </w:p>
    <w:p>
      <w:pPr>
        <w:spacing w:after="0" w:line="119" w:lineRule="exact"/>
        <w:rPr>
          <w:sz w:val="20"/>
          <w:szCs w:val="20"/>
          <w:color w:val="auto"/>
        </w:rPr>
      </w:pPr>
    </w:p>
    <w:p>
      <w:pPr>
        <w:jc w:val="center"/>
        <w:ind w:right="9120"/>
        <w:spacing w:after="0"/>
        <w:rPr>
          <w:sz w:val="20"/>
          <w:szCs w:val="20"/>
          <w:color w:val="auto"/>
        </w:rPr>
      </w:pPr>
      <w:r>
        <w:rPr>
          <w:rFonts w:ascii="Arial" w:cs="Arial" w:eastAsia="Arial" w:hAnsi="Arial"/>
          <w:sz w:val="20"/>
          <w:szCs w:val="20"/>
          <w:b w:val="1"/>
          <w:bCs w:val="1"/>
          <w:color w:val="auto"/>
        </w:rPr>
        <w:t>Ashland profile</w:t>
      </w:r>
    </w:p>
    <w:p>
      <w:pPr>
        <w:spacing w:after="0" w:line="114" w:lineRule="exact"/>
        <w:rPr>
          <w:sz w:val="20"/>
          <w:szCs w:val="20"/>
          <w:color w:val="auto"/>
        </w:rPr>
      </w:pPr>
    </w:p>
    <w:p>
      <w:pPr>
        <w:jc w:val="both"/>
        <w:ind w:left="400" w:right="400"/>
        <w:spacing w:after="0" w:line="269" w:lineRule="auto"/>
        <w:rPr>
          <w:sz w:val="20"/>
          <w:szCs w:val="20"/>
          <w:color w:val="auto"/>
        </w:rPr>
      </w:pPr>
      <w:r>
        <w:rPr>
          <w:rFonts w:ascii="Arial" w:cs="Arial" w:eastAsia="Arial" w:hAnsi="Arial"/>
          <w:sz w:val="19"/>
          <w:szCs w:val="19"/>
          <w:color w:val="auto"/>
        </w:rPr>
        <w:t>Ashland is a premier global leader in providing specialty materials to customers in a wide range of consumer and industrial markets, including adhesives, architectural coatings, construction, energy, food and beverage, personal care and pharmaceutical. With approximately 4,700 employees worldwide, Ashland serves customers in more than 100 countries.</w:t>
      </w:r>
    </w:p>
    <w:p>
      <w:pPr>
        <w:spacing w:after="0" w:line="62"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Ashland’s sales generated outside of North America were 60% for the three and six months ended March 31, 2020 and 61% for the three and six months ended March 31, 2019. Sales by region expressed as a percentage of total consolidated sales for the three and six months ended March 31 were as follows:</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7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7"/>
              </w:rPr>
              <w:t>Three months ended</w:t>
            </w: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8"/>
              </w:rPr>
              <w:t>Six months ended</w:t>
            </w:r>
          </w:p>
        </w:tc>
        <w:tc>
          <w:tcPr>
            <w:tcW w:w="6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93"/>
              </w:rPr>
              <w:t>March 31</w:t>
            </w:r>
          </w:p>
        </w:tc>
        <w:tc>
          <w:tcPr>
            <w:tcW w:w="6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93"/>
              </w:rPr>
              <w:t>March 31</w:t>
            </w:r>
          </w:p>
        </w:tc>
        <w:tc>
          <w:tcPr>
            <w:tcW w:w="680" w:type="dxa"/>
            <w:vAlign w:val="bottom"/>
            <w:tcBorders>
              <w:bottom w:val="single" w:sz="8" w:color="auto"/>
            </w:tcBorders>
          </w:tcPr>
          <w:p>
            <w:pPr>
              <w:spacing w:after="0"/>
              <w:rPr>
                <w:sz w:val="20"/>
                <w:szCs w:val="20"/>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Sales by Geography</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Europe</w:t>
            </w: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47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bl>
    <w:p>
      <w:pPr>
        <w:spacing w:after="0" w:line="130" w:lineRule="exact"/>
        <w:rPr>
          <w:sz w:val="20"/>
          <w:szCs w:val="20"/>
          <w:color w:val="auto"/>
        </w:rPr>
      </w:pPr>
    </w:p>
    <w:p>
      <w:pPr>
        <w:ind w:left="800" w:hanging="401"/>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Ashland includes only U.S. and Canada in its North America designation.</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segments</w:t>
      </w:r>
    </w:p>
    <w:p>
      <w:pPr>
        <w:spacing w:after="0" w:line="22" w:lineRule="exact"/>
        <w:rPr>
          <w:sz w:val="20"/>
          <w:szCs w:val="20"/>
          <w:color w:val="auto"/>
        </w:rPr>
      </w:pPr>
    </w:p>
    <w:p>
      <w:pPr>
        <w:jc w:val="both"/>
        <w:ind w:left="400" w:right="400"/>
        <w:spacing w:after="0" w:line="308" w:lineRule="auto"/>
        <w:rPr>
          <w:sz w:val="20"/>
          <w:szCs w:val="20"/>
          <w:color w:val="auto"/>
        </w:rPr>
      </w:pPr>
      <w:r>
        <w:rPr>
          <w:rFonts w:ascii="Arial" w:cs="Arial" w:eastAsia="Arial" w:hAnsi="Arial"/>
          <w:sz w:val="16"/>
          <w:szCs w:val="16"/>
          <w:color w:val="auto"/>
        </w:rPr>
        <w:t>During the second quarter of fiscal year 2020, Ashland changed the manner in which it manages the business moving from a functionally led to a business led organization. This change recognizes that Ashland has a diverse portfolio of businesses with different value propositions for the markets Ashland serves. The organizational change allows Ashland to align its business models, resources and cost structure to the specific needs of each business and enable greater ownership and accountability for both short-and long-term performance. As a result, Ashland’s five reportable segments include the consumer specialty businesses: Life Sciences and Personal Care &amp; Household; the industrial specialty businesses: Specialty Additives and Performance Adhesives; and Intermediates and Solvents. Corporate includes corporate governance activities and certain legacy matters. The historical segment information has been recast to conform to the current segment structure. The contribution to sales by each reportable segment expressed as a percentage of total consolidated sales for the three and six months ended March 31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7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7"/>
              </w:rPr>
              <w:t>Three months ended</w:t>
            </w: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8"/>
              </w:rPr>
              <w:t>Six months ended</w:t>
            </w:r>
          </w:p>
        </w:tc>
        <w:tc>
          <w:tcPr>
            <w:tcW w:w="6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93"/>
              </w:rPr>
              <w:t>March 31</w:t>
            </w:r>
          </w:p>
        </w:tc>
        <w:tc>
          <w:tcPr>
            <w:tcW w:w="6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93"/>
              </w:rPr>
              <w:t>March 31</w:t>
            </w:r>
          </w:p>
        </w:tc>
        <w:tc>
          <w:tcPr>
            <w:tcW w:w="6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5180" w:type="dxa"/>
            <w:vAlign w:val="bottom"/>
            <w:gridSpan w:val="2"/>
          </w:tcPr>
          <w:p>
            <w:pPr>
              <w:ind w:left="400"/>
              <w:spacing w:after="0"/>
              <w:rPr>
                <w:sz w:val="20"/>
                <w:szCs w:val="20"/>
                <w:color w:val="auto"/>
              </w:rPr>
            </w:pPr>
            <w:r>
              <w:rPr>
                <w:rFonts w:ascii="Arial" w:cs="Arial" w:eastAsia="Arial" w:hAnsi="Arial"/>
                <w:sz w:val="18"/>
                <w:szCs w:val="18"/>
                <w:color w:val="auto"/>
              </w:rPr>
              <w:t>Sales by Reportable Segment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Life Sciences</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Personal Care &amp; Household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Consumer Specialties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19"/>
                <w:szCs w:val="19"/>
                <w:color w:val="auto"/>
              </w:rPr>
            </w:pPr>
          </w:p>
        </w:tc>
      </w:tr>
      <w:tr>
        <w:trPr>
          <w:trHeight w:val="223"/>
        </w:trPr>
        <w:tc>
          <w:tcPr>
            <w:tcW w:w="5180" w:type="dxa"/>
            <w:vAlign w:val="bottom"/>
            <w:gridSpan w:val="2"/>
          </w:tcPr>
          <w:p>
            <w:pPr>
              <w:ind w:left="400"/>
              <w:spacing w:after="0"/>
              <w:rPr>
                <w:sz w:val="20"/>
                <w:szCs w:val="20"/>
                <w:color w:val="auto"/>
              </w:rPr>
            </w:pPr>
            <w:r>
              <w:rPr>
                <w:rFonts w:ascii="Arial" w:cs="Arial" w:eastAsia="Arial" w:hAnsi="Arial"/>
                <w:sz w:val="18"/>
                <w:szCs w:val="18"/>
                <w:i w:val="1"/>
                <w:iCs w:val="1"/>
                <w:color w:val="auto"/>
              </w:rPr>
              <w:t>Specialty Additives</w:t>
            </w: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Performance Adhesives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r>
      <w:tr>
        <w:trPr>
          <w:trHeight w:val="223"/>
        </w:trPr>
        <w:tc>
          <w:tcPr>
            <w:tcW w:w="5180" w:type="dxa"/>
            <w:vAlign w:val="bottom"/>
            <w:gridSpan w:val="2"/>
          </w:tcPr>
          <w:p>
            <w:pPr>
              <w:ind w:left="400"/>
              <w:spacing w:after="0"/>
              <w:rPr>
                <w:sz w:val="20"/>
                <w:szCs w:val="20"/>
                <w:color w:val="auto"/>
              </w:rPr>
            </w:pPr>
            <w:r>
              <w:rPr>
                <w:rFonts w:ascii="Arial" w:cs="Arial" w:eastAsia="Arial" w:hAnsi="Arial"/>
                <w:sz w:val="18"/>
                <w:szCs w:val="18"/>
                <w:color w:val="auto"/>
              </w:rPr>
              <w:t>Industrial Specialties</w:t>
            </w: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Intermediates and Solvents</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912"/>
        </w:trPr>
        <w:tc>
          <w:tcPr>
            <w:tcW w:w="4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300" w:type="dxa"/>
            <w:vAlign w:val="bottom"/>
          </w:tcPr>
          <w:p>
            <w:pPr>
              <w:jc w:val="right"/>
              <w:ind w:right="67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7" w:name="page38"/>
    <w:bookmarkEnd w:id="37"/>
    <w:p>
      <w:pPr>
        <w:jc w:val="center"/>
        <w:ind w:right="8700"/>
        <w:spacing w:after="0"/>
        <w:rPr>
          <w:sz w:val="20"/>
          <w:szCs w:val="20"/>
          <w:color w:val="auto"/>
        </w:rPr>
      </w:pPr>
      <w:r>
        <w:rPr>
          <w:rFonts w:ascii="Arial" w:cs="Arial" w:eastAsia="Arial" w:hAnsi="Arial"/>
          <w:sz w:val="20"/>
          <w:szCs w:val="20"/>
          <w:b w:val="1"/>
          <w:bCs w:val="1"/>
          <w:color w:val="auto"/>
        </w:rPr>
        <w:t>KEY DEVELOPMENTS</w:t>
      </w:r>
    </w:p>
    <w:p>
      <w:pPr>
        <w:spacing w:after="0" w:line="108" w:lineRule="exact"/>
        <w:rPr>
          <w:sz w:val="20"/>
          <w:szCs w:val="20"/>
          <w:color w:val="auto"/>
        </w:rPr>
      </w:pPr>
    </w:p>
    <w:p>
      <w:pPr>
        <w:jc w:val="center"/>
        <w:ind w:right="8720"/>
        <w:spacing w:after="0"/>
        <w:rPr>
          <w:sz w:val="20"/>
          <w:szCs w:val="20"/>
          <w:color w:val="auto"/>
        </w:rPr>
      </w:pPr>
      <w:r>
        <w:rPr>
          <w:rFonts w:ascii="Arial" w:cs="Arial" w:eastAsia="Arial" w:hAnsi="Arial"/>
          <w:sz w:val="20"/>
          <w:szCs w:val="20"/>
          <w:b w:val="1"/>
          <w:bCs w:val="1"/>
          <w:color w:val="auto"/>
        </w:rPr>
        <w:t>Business results</w:t>
      </w:r>
    </w:p>
    <w:p>
      <w:pPr>
        <w:spacing w:after="0" w:line="114" w:lineRule="exact"/>
        <w:rPr>
          <w:sz w:val="20"/>
          <w:szCs w:val="20"/>
          <w:color w:val="auto"/>
        </w:rPr>
      </w:pPr>
    </w:p>
    <w:p>
      <w:pPr>
        <w:jc w:val="both"/>
        <w:ind w:left="400"/>
        <w:spacing w:after="0" w:line="255" w:lineRule="auto"/>
        <w:rPr>
          <w:sz w:val="20"/>
          <w:szCs w:val="20"/>
          <w:color w:val="auto"/>
        </w:rPr>
      </w:pPr>
      <w:r>
        <w:rPr>
          <w:rFonts w:ascii="Arial" w:cs="Arial" w:eastAsia="Arial" w:hAnsi="Arial"/>
          <w:sz w:val="19"/>
          <w:szCs w:val="19"/>
          <w:color w:val="auto"/>
        </w:rPr>
        <w:t>Ashland recorded a net loss of $582 million in the current quarter (loss of $575 million in continuing operations and $7 million loss in discontinued operations) compared to a net income of $76 million in the prior year quarter (income of $45 million in continuing operations and $31 million in discontinued operations). Results for Ashland’s continuing operations were primarily driven by a non-cash goodwill impairment charge of $530 million related to the Personal Care &amp; Household and Specialty Additives segments, debt restructuring costs of $67 million and lower volumes partially offset by lower selling, general and administrative expense and other expenses, between periods. Discontinued operations were primarily driven by the results of the Composites segment and Marl facility. Ashland’s EBITDA decreased by $550 million, primarily due to the $530 goodwill impairment charge during the current quarter and lower sales volume partially offset by lower selling, general and administrative expense costs between periods. Ashland’s Adjusted EBITDA is flat at $142 million (see U.S. GAAP reconciliation below under consolidated review). Adjusted EBITDA was negatively impacted by lower sales volumes and offset by lower selling, general and administrative expenses as a result of cost reduction programs.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Uncertainty relating to the COVID-19 pandemic</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Ashland did not incur significant financial consequences during the three and six months ended March 31, 2020 from the COVID-19 pandemic, as Ashland was able to manage through the execution of shelter in place, social distancing and deep cleaning process requirements. To date, the effects from the COVID-19 pandemic have not been significant and Ashland’s operations and cash flows remain stable. Ashland’s overall liquidity remains sufficient for it to meet its operating needs and other investing and financing requirements.</w:t>
      </w:r>
    </w:p>
    <w:p>
      <w:pPr>
        <w:spacing w:after="0" w:line="86"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Ashland is closely monitoring the impact of the COVID-19 pandemic on all aspects of its business and geographies, including how it will impact customers, employees, suppliers, vendors, business partners and distribution channels. Ashland is unable to predict the impact that the COVID-19 pandemic will have on its future financial position and operating results due to numerous uncertainties. These uncertainties include the severity of the virus, the duration of the outbreak, governmental, business or other actions, impacts on Ashland’s supply chain, the effect on customer demand, or changes to Ashland’s operations. The health of Ashland’s workforce and its ability to meet staffing needs throughout the critical functions cannot be predicted and is vital to operations. Further, the impacts of a potential worsening of global economic conditions and the continued disruptions to, and volatility in, the credit and financial markets, consumer spending as well as other unanticipated consequences remain unknown. In addition, Ashland cannot predict the impact that the COVID-19 pandemic will have on its customers, vendors, suppliers and other business partners; however, any material effect on these parties could adversely impact Ashland.</w:t>
      </w:r>
    </w:p>
    <w:p>
      <w:pPr>
        <w:spacing w:after="0" w:line="66"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The situation surrounding the COVID-19 pandemic remains fluid, and Ashland is actively managing its response in collaboration with customers, government officials, team members and business partners. For further information regarding the impact of the COVID-19 pandemic on the Company, please see Item 1A, risk factors in this report, which is incorporated herein by reference.</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CONSOLIDATED REVIEW</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Consolidated review</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Net income</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Ashland’s net income is primarily affected by results within operating income, net interest and other expense, income taxes, discontinued operations and other significant events or transactions that are unusual or nonrecurring.</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Key financial results for the three months ended March 31, 2020 and 2019 included the following:</w:t>
      </w:r>
    </w:p>
    <w:p>
      <w:pPr>
        <w:spacing w:after="0" w:line="108" w:lineRule="exact"/>
        <w:rPr>
          <w:sz w:val="20"/>
          <w:szCs w:val="20"/>
          <w:color w:val="auto"/>
        </w:rPr>
      </w:pPr>
    </w:p>
    <w:p>
      <w:pPr>
        <w:ind w:left="800" w:hanging="401"/>
        <w:spacing w:after="0" w:line="385"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Ashland’s net income amounted to a loss of $582 million compared to income of $76 million for the three months ended March 31, 2020 and 2019, respectively, or loss of $9.61 compared to income of $1.19 diluted earnings per share, respectively.</w:t>
      </w:r>
    </w:p>
    <w:p>
      <w:pPr>
        <w:spacing w:after="0" w:line="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33" w:right="739" w:bottom="1440" w:gutter="0" w:footer="0" w:header="0"/>
        </w:sectPr>
      </w:pPr>
    </w:p>
    <w:bookmarkStart w:id="38" w:name="page39"/>
    <w:bookmarkEnd w:id="38"/>
    <w:p>
      <w:pPr>
        <w:ind w:left="401" w:hanging="401"/>
        <w:spacing w:after="0" w:line="260" w:lineRule="auto"/>
        <w:tabs>
          <w:tab w:leader="none" w:pos="401"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a loss of $7 million compared to income of $31 million during the three months ended March 31, 2020 and 2019, respectively.</w:t>
      </w:r>
    </w:p>
    <w:p>
      <w:pPr>
        <w:spacing w:after="0" w:line="68" w:lineRule="exact"/>
        <w:rPr>
          <w:rFonts w:ascii="Arial" w:cs="Arial" w:eastAsia="Arial" w:hAnsi="Arial"/>
          <w:sz w:val="20"/>
          <w:szCs w:val="20"/>
          <w:color w:val="auto"/>
        </w:rPr>
      </w:pPr>
    </w:p>
    <w:p>
      <w:pPr>
        <w:ind w:left="401" w:hanging="401"/>
        <w:spacing w:after="0" w:line="287" w:lineRule="auto"/>
        <w:tabs>
          <w:tab w:leader="none" w:pos="401" w:val="left"/>
        </w:tabs>
        <w:numPr>
          <w:ilvl w:val="0"/>
          <w:numId w:val="22"/>
        </w:numPr>
        <w:rPr>
          <w:rFonts w:ascii="Arial" w:cs="Arial" w:eastAsia="Arial" w:hAnsi="Arial"/>
          <w:sz w:val="19"/>
          <w:szCs w:val="19"/>
          <w:color w:val="auto"/>
        </w:rPr>
      </w:pPr>
      <w:r>
        <w:rPr>
          <w:rFonts w:ascii="Arial" w:cs="Arial" w:eastAsia="Arial" w:hAnsi="Arial"/>
          <w:sz w:val="19"/>
          <w:szCs w:val="19"/>
          <w:color w:val="auto"/>
        </w:rPr>
        <w:t>Results from continuing operations, which excludes results from discontinued operations, amounted to a loss of $575 million compared to income of $45 million for the three months ended March 31, 2020 and 2019, respectively.</w:t>
      </w:r>
    </w:p>
    <w:p>
      <w:pPr>
        <w:spacing w:after="0" w:line="44" w:lineRule="exact"/>
        <w:rPr>
          <w:rFonts w:ascii="Arial" w:cs="Arial" w:eastAsia="Arial" w:hAnsi="Arial"/>
          <w:sz w:val="19"/>
          <w:szCs w:val="19"/>
          <w:color w:val="auto"/>
        </w:rPr>
      </w:pPr>
    </w:p>
    <w:p>
      <w:pPr>
        <w:jc w:val="both"/>
        <w:ind w:left="401" w:hanging="401"/>
        <w:spacing w:after="0" w:line="250" w:lineRule="auto"/>
        <w:tabs>
          <w:tab w:leader="none" w:pos="401"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Results from continuing operations include a goodwill impairment charge of $530 million during the current quarter related to the Personal Care &amp; Household and the Specialty Additives segments. See Critical Accounting Policies section for additional information.</w:t>
      </w:r>
    </w:p>
    <w:p>
      <w:pPr>
        <w:spacing w:after="0" w:line="77" w:lineRule="exact"/>
        <w:rPr>
          <w:rFonts w:ascii="Arial" w:cs="Arial" w:eastAsia="Arial" w:hAnsi="Arial"/>
          <w:sz w:val="20"/>
          <w:szCs w:val="20"/>
          <w:color w:val="auto"/>
        </w:rPr>
      </w:pPr>
    </w:p>
    <w:p>
      <w:pPr>
        <w:ind w:left="401" w:hanging="401"/>
        <w:spacing w:after="0" w:line="316" w:lineRule="auto"/>
        <w:tabs>
          <w:tab w:leader="none" w:pos="4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 income tax rates were a benefit of 2% and expense of 2% for the three months ended March 31, 2020 and 2019, respectively, and were significantly impacted by certain tax discrete items in both the current and prior year quarters.</w:t>
      </w:r>
    </w:p>
    <w:p>
      <w:pPr>
        <w:spacing w:after="0" w:line="21" w:lineRule="exact"/>
        <w:rPr>
          <w:rFonts w:ascii="Arial" w:cs="Arial" w:eastAsia="Arial" w:hAnsi="Arial"/>
          <w:sz w:val="18"/>
          <w:szCs w:val="18"/>
          <w:color w:val="auto"/>
        </w:rPr>
      </w:pPr>
    </w:p>
    <w:p>
      <w:pPr>
        <w:jc w:val="both"/>
        <w:ind w:left="401" w:hanging="401"/>
        <w:spacing w:after="0" w:line="246" w:lineRule="auto"/>
        <w:tabs>
          <w:tab w:leader="none" w:pos="401" w:val="left"/>
        </w:tabs>
        <w:numPr>
          <w:ilvl w:val="0"/>
          <w:numId w:val="22"/>
        </w:numPr>
        <w:rPr>
          <w:rFonts w:ascii="Arial" w:cs="Arial" w:eastAsia="Arial" w:hAnsi="Arial"/>
          <w:sz w:val="20"/>
          <w:szCs w:val="20"/>
          <w:color w:val="auto"/>
        </w:rPr>
      </w:pPr>
      <w:r>
        <w:rPr>
          <w:rFonts w:ascii="Arial" w:cs="Arial" w:eastAsia="Arial" w:hAnsi="Arial"/>
          <w:sz w:val="20"/>
          <w:szCs w:val="20"/>
          <w:color w:val="auto"/>
        </w:rPr>
        <w:t>Ashland incurred pretax net interest and other expense of $117 million compared to income of $3 million for the three months ended March 31, 2020 and 2019, respectively. This includes charges for $59 million and $8 million for debt refinancing costs and accelerated debt issuance costs, respectively, for the current quarter, as well as losses of $29 million compared to gains of $29 million on restricted investments.</w:t>
      </w:r>
    </w:p>
    <w:p>
      <w:pPr>
        <w:spacing w:after="0" w:line="83"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2"/>
        </w:numPr>
        <w:rPr>
          <w:rFonts w:ascii="Arial" w:cs="Arial" w:eastAsia="Arial" w:hAnsi="Arial"/>
          <w:sz w:val="20"/>
          <w:szCs w:val="20"/>
          <w:color w:val="auto"/>
        </w:rPr>
      </w:pPr>
      <w:r>
        <w:rPr>
          <w:rFonts w:ascii="Arial" w:cs="Arial" w:eastAsia="Arial" w:hAnsi="Arial"/>
          <w:sz w:val="20"/>
          <w:szCs w:val="20"/>
          <w:color w:val="auto"/>
        </w:rPr>
        <w:t>Operating income amounted to a loss of $468 million compared to income of $44 million for the three months ended March 31, 2020 and 2019, respectively.</w:t>
      </w:r>
    </w:p>
    <w:p>
      <w:pPr>
        <w:spacing w:after="0" w:line="69"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Key financial results for the six months ended March 31, 2020 and 2019 included the following:</w:t>
      </w:r>
    </w:p>
    <w:p>
      <w:pPr>
        <w:spacing w:after="0" w:line="108" w:lineRule="exact"/>
        <w:rPr>
          <w:sz w:val="20"/>
          <w:szCs w:val="20"/>
          <w:color w:val="auto"/>
        </w:rPr>
      </w:pPr>
    </w:p>
    <w:p>
      <w:pPr>
        <w:ind w:left="401" w:hanging="401"/>
        <w:spacing w:after="0" w:line="316" w:lineRule="auto"/>
        <w:tabs>
          <w:tab w:leader="none" w:pos="4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Ashland’s net income amounted to a loss of $550 million compared to an income of $28 million for the six months ended March 31, 2020 and 2019, respectively, or loss of $9.08 and income of $0.45 diluted earnings per share, respectively.</w:t>
      </w:r>
    </w:p>
    <w:p>
      <w:pPr>
        <w:spacing w:after="0" w:line="21" w:lineRule="exact"/>
        <w:rPr>
          <w:rFonts w:ascii="Arial" w:cs="Arial" w:eastAsia="Arial" w:hAnsi="Arial"/>
          <w:sz w:val="18"/>
          <w:szCs w:val="18"/>
          <w:color w:val="auto"/>
        </w:rPr>
      </w:pPr>
    </w:p>
    <w:p>
      <w:pPr>
        <w:ind w:left="401" w:hanging="401"/>
        <w:spacing w:after="0" w:line="260" w:lineRule="auto"/>
        <w:tabs>
          <w:tab w:leader="none" w:pos="4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a loss of $9 million compared to income of $54 million during the six months ended March 31, 2020 and 2019, respectively.</w:t>
      </w:r>
    </w:p>
    <w:p>
      <w:pPr>
        <w:spacing w:after="0" w:line="68"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Results from continuing operations, which excludes results from discontinued operations, amounted to losses of $541 million and $26 million for the six months ended March 31, 2020 and 2019, respectively.</w:t>
      </w:r>
    </w:p>
    <w:p>
      <w:pPr>
        <w:spacing w:after="0" w:line="68" w:lineRule="exact"/>
        <w:rPr>
          <w:rFonts w:ascii="Arial" w:cs="Arial" w:eastAsia="Arial" w:hAnsi="Arial"/>
          <w:sz w:val="20"/>
          <w:szCs w:val="20"/>
          <w:color w:val="auto"/>
        </w:rPr>
      </w:pPr>
    </w:p>
    <w:p>
      <w:pPr>
        <w:jc w:val="both"/>
        <w:ind w:left="401" w:hanging="401"/>
        <w:spacing w:after="0" w:line="250" w:lineRule="auto"/>
        <w:tabs>
          <w:tab w:leader="none" w:pos="4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Results from continuing operations include a goodwill impairment charge of $530 million during the current year related to the Personal Care &amp; Household and the Specialty Additives segments. See Critical Accounting Policies section for additional information.</w:t>
      </w:r>
    </w:p>
    <w:p>
      <w:pPr>
        <w:spacing w:after="0" w:line="77" w:lineRule="exact"/>
        <w:rPr>
          <w:rFonts w:ascii="Arial" w:cs="Arial" w:eastAsia="Arial" w:hAnsi="Arial"/>
          <w:sz w:val="20"/>
          <w:szCs w:val="20"/>
          <w:color w:val="auto"/>
        </w:rPr>
      </w:pPr>
    </w:p>
    <w:p>
      <w:pPr>
        <w:ind w:left="401" w:hanging="401"/>
        <w:spacing w:after="0" w:line="316" w:lineRule="auto"/>
        <w:tabs>
          <w:tab w:leader="none" w:pos="4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 income tax rates were a benefit of 6% and expense of 2500% for the six months ended March 31, 2020 and 2019, respectively, and were significantly impacted by certain tax discrete items in both the current and prior year periods.</w:t>
      </w:r>
    </w:p>
    <w:p>
      <w:pPr>
        <w:spacing w:after="0" w:line="21" w:lineRule="exact"/>
        <w:rPr>
          <w:rFonts w:ascii="Arial" w:cs="Arial" w:eastAsia="Arial" w:hAnsi="Arial"/>
          <w:sz w:val="18"/>
          <w:szCs w:val="18"/>
          <w:color w:val="auto"/>
        </w:rPr>
      </w:pPr>
    </w:p>
    <w:p>
      <w:pPr>
        <w:jc w:val="both"/>
        <w:ind w:left="401" w:hanging="401"/>
        <w:spacing w:after="0" w:line="246" w:lineRule="auto"/>
        <w:tabs>
          <w:tab w:leader="none" w:pos="4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Ashland incurred pretax net interest and other expense of $127 million and $52 million for the six months ended March 31, 2020 and 2019, respectively. This includes charges for $59 million and $8 million for debt refinancing costs and accelerated debt issuance costs, respectively, for the current year, as well as losses of $16 million compared to gains of $2 million on restricted investments.</w:t>
      </w:r>
    </w:p>
    <w:p>
      <w:pPr>
        <w:spacing w:after="0" w:line="83"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Other net periodic benefit income totaled $17 million for the six months ended March 31, 2019, which was related to the curtailment gain from the settlement of a non-U.S. pension plan.</w:t>
      </w:r>
    </w:p>
    <w:p>
      <w:pPr>
        <w:spacing w:after="0" w:line="68"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Net income/loss on divestitures totaled income of $3 million and a loss of $3 million for the six months ended March 31, 2020 and 2019, respectively.</w:t>
      </w:r>
    </w:p>
    <w:p>
      <w:pPr>
        <w:spacing w:after="0" w:line="68"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Operating income/loss amounted to a loss of $451 million compared to an income of $37 million for the six months ended March 31, 2020 and 2019, respectively.</w:t>
      </w:r>
    </w:p>
    <w:p>
      <w:pPr>
        <w:spacing w:after="0" w:line="69"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For further information on the items reported above, see the discussion in the comparative Statements of Consolidated Comprehensive Income (Loss) caption review analysis.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39" w:name="page40"/>
    <w:bookmarkEnd w:id="39"/>
    <w:p>
      <w:pPr>
        <w:ind w:left="1"/>
        <w:spacing w:after="0"/>
        <w:rPr>
          <w:sz w:val="20"/>
          <w:szCs w:val="20"/>
          <w:color w:val="auto"/>
        </w:rPr>
      </w:pPr>
      <w:r>
        <w:rPr>
          <w:rFonts w:ascii="Arial" w:cs="Arial" w:eastAsia="Arial" w:hAnsi="Arial"/>
          <w:sz w:val="20"/>
          <w:szCs w:val="20"/>
          <w:i w:val="1"/>
          <w:iCs w:val="1"/>
          <w:color w:val="auto"/>
        </w:rPr>
        <w:t>Operating income</w:t>
      </w:r>
    </w:p>
    <w:p>
      <w:pPr>
        <w:spacing w:after="0" w:line="108"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u w:val="single" w:color="auto"/>
          <w:color w:val="auto"/>
        </w:rPr>
        <w:t>Current Quarter</w:t>
      </w:r>
      <w:r>
        <w:rPr>
          <w:rFonts w:ascii="Arial" w:cs="Arial" w:eastAsia="Arial" w:hAnsi="Arial"/>
          <w:sz w:val="19"/>
          <w:szCs w:val="19"/>
          <w:color w:val="auto"/>
        </w:rPr>
        <w:t xml:space="preserve"> – Operating income/loss amounted to a loss of $468 million compared to income of $44 million for the three months ended March 31, 2020 and 2019, respectively. The current and prior year quarters’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68" w:lineRule="exact"/>
        <w:rPr>
          <w:sz w:val="20"/>
          <w:szCs w:val="20"/>
          <w:color w:val="auto"/>
        </w:rPr>
      </w:pPr>
    </w:p>
    <w:p>
      <w:pPr>
        <w:jc w:val="both"/>
        <w:ind w:left="401" w:hanging="401"/>
        <w:spacing w:after="0" w:line="244" w:lineRule="auto"/>
        <w:tabs>
          <w:tab w:leader="none" w:pos="401" w:val="left"/>
        </w:tabs>
        <w:numPr>
          <w:ilvl w:val="0"/>
          <w:numId w:val="24"/>
        </w:numPr>
        <w:rPr>
          <w:rFonts w:ascii="Arial" w:cs="Arial" w:eastAsia="Arial" w:hAnsi="Arial"/>
          <w:sz w:val="20"/>
          <w:szCs w:val="20"/>
          <w:color w:val="auto"/>
        </w:rPr>
      </w:pPr>
      <w:r>
        <w:rPr>
          <w:rFonts w:ascii="Arial" w:cs="Arial" w:eastAsia="Arial" w:hAnsi="Arial"/>
          <w:sz w:val="20"/>
          <w:szCs w:val="20"/>
          <w:color w:val="auto"/>
        </w:rPr>
        <w:t>Goodwill impairment – During the current quarter, Ashland realigned its operations into five reportable segments which resulted in a reassessment of the Company’s reporting units used to evaluate goodwill impairment. The impairment test under the new reporting unit structure concluded that the carrying value of the Personal Care &amp; Household and the Specialty Additives reporting units exceeded their fair value, resulting in a non-cash goodwill impairment charge. See note G and Critical Accounting Policies for additional information.</w:t>
      </w:r>
    </w:p>
    <w:p>
      <w:pPr>
        <w:spacing w:after="0" w:line="86" w:lineRule="exact"/>
        <w:rPr>
          <w:rFonts w:ascii="Arial" w:cs="Arial" w:eastAsia="Arial" w:hAnsi="Arial"/>
          <w:sz w:val="20"/>
          <w:szCs w:val="20"/>
          <w:color w:val="auto"/>
        </w:rPr>
      </w:pPr>
    </w:p>
    <w:p>
      <w:pPr>
        <w:jc w:val="both"/>
        <w:ind w:left="401" w:hanging="401"/>
        <w:spacing w:after="0" w:line="244" w:lineRule="auto"/>
        <w:tabs>
          <w:tab w:leader="none" w:pos="401"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restructuring activities.</w:t>
      </w:r>
    </w:p>
    <w:p>
      <w:pPr>
        <w:spacing w:after="0" w:line="86" w:lineRule="exact"/>
        <w:rPr>
          <w:rFonts w:ascii="Arial" w:cs="Arial" w:eastAsia="Arial" w:hAnsi="Arial"/>
          <w:sz w:val="20"/>
          <w:szCs w:val="20"/>
          <w:color w:val="auto"/>
        </w:rPr>
      </w:pPr>
    </w:p>
    <w:p>
      <w:pPr>
        <w:jc w:val="both"/>
        <w:ind w:left="401" w:hanging="401"/>
        <w:spacing w:after="0" w:line="250" w:lineRule="auto"/>
        <w:tabs>
          <w:tab w:leader="none" w:pos="401" w:val="left"/>
        </w:tabs>
        <w:numPr>
          <w:ilvl w:val="0"/>
          <w:numId w:val="24"/>
        </w:numPr>
        <w:rPr>
          <w:rFonts w:ascii="Arial" w:cs="Arial" w:eastAsia="Arial" w:hAnsi="Arial"/>
          <w:sz w:val="20"/>
          <w:szCs w:val="20"/>
          <w:color w:val="auto"/>
        </w:rPr>
      </w:pPr>
      <w:r>
        <w:rPr>
          <w:rFonts w:ascii="Arial" w:cs="Arial" w:eastAsia="Arial" w:hAnsi="Arial"/>
          <w:sz w:val="20"/>
          <w:szCs w:val="20"/>
          <w:color w:val="auto"/>
        </w:rPr>
        <w:t>Accelerated depreciation – As a result of various restructuring activities at certain office facilities and manufacturing facilities during the prior year quarter, Ashland recorded accelerated depreciation due to changes in the expected useful life of certain property, plant and equipment.</w:t>
      </w:r>
    </w:p>
    <w:p>
      <w:pPr>
        <w:spacing w:after="0" w:line="77"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4"/>
        </w:numPr>
        <w:rPr>
          <w:rFonts w:ascii="Arial" w:cs="Arial" w:eastAsia="Arial" w:hAnsi="Arial"/>
          <w:sz w:val="20"/>
          <w:szCs w:val="20"/>
          <w:color w:val="auto"/>
        </w:rPr>
      </w:pPr>
      <w:r>
        <w:rPr>
          <w:rFonts w:ascii="Arial" w:cs="Arial" w:eastAsia="Arial" w:hAnsi="Arial"/>
          <w:sz w:val="20"/>
          <w:szCs w:val="20"/>
          <w:color w:val="auto"/>
        </w:rPr>
        <w:t>Proxy costs – Ashland incurred significant consulting and other costs associated with the 2019 Annual Meeting of Stockholders and agreement with Cruiser Capital in the prior year quarter.</w:t>
      </w:r>
    </w:p>
    <w:p>
      <w:pPr>
        <w:spacing w:after="0" w:line="68" w:lineRule="exact"/>
        <w:rPr>
          <w:rFonts w:ascii="Arial" w:cs="Arial" w:eastAsia="Arial" w:hAnsi="Arial"/>
          <w:sz w:val="20"/>
          <w:szCs w:val="20"/>
          <w:color w:val="auto"/>
        </w:rPr>
      </w:pPr>
    </w:p>
    <w:p>
      <w:pPr>
        <w:jc w:val="both"/>
        <w:ind w:left="401" w:hanging="401"/>
        <w:spacing w:after="0" w:line="250" w:lineRule="auto"/>
        <w:tabs>
          <w:tab w:leader="none" w:pos="401" w:val="left"/>
        </w:tabs>
        <w:numPr>
          <w:ilvl w:val="0"/>
          <w:numId w:val="24"/>
        </w:numPr>
        <w:rPr>
          <w:rFonts w:ascii="Arial" w:cs="Arial" w:eastAsia="Arial" w:hAnsi="Arial"/>
          <w:sz w:val="20"/>
          <w:szCs w:val="20"/>
          <w:color w:val="auto"/>
        </w:rPr>
      </w:pPr>
      <w:r>
        <w:rPr>
          <w:rFonts w:ascii="Arial" w:cs="Arial" w:eastAsia="Arial" w:hAnsi="Arial"/>
          <w:sz w:val="20"/>
          <w:szCs w:val="20"/>
          <w:color w:val="auto"/>
        </w:rPr>
        <w:t>Lower of cost or net realizable value inventory adjustment – Inventories are carried at the lower of cost or net realizable value. When comparing the stated value of its inventory to its net realizable value, Ashland determined that an adjustment was required for the current quarter.</w:t>
      </w:r>
    </w:p>
    <w:p>
      <w:pPr>
        <w:spacing w:after="0" w:line="7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Operating income/loss for the three months ended March 31, 2020 and 2019 included depreciation and amortization of $61 million and $62 million, respectively (which excluded accelerated depreciation and amortization of $20 million for the three months ended March 31, 2019).</w:t>
      </w:r>
    </w:p>
    <w:p>
      <w:pPr>
        <w:spacing w:after="0" w:line="78"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Operating income/loss was a loss of $451 million compared to income of $37 million for the six months ended March 31, 2020 and 2019, respectively. The current and prior year periods’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83" w:lineRule="exact"/>
        <w:rPr>
          <w:sz w:val="20"/>
          <w:szCs w:val="20"/>
          <w:color w:val="auto"/>
        </w:rPr>
      </w:pPr>
    </w:p>
    <w:p>
      <w:pPr>
        <w:jc w:val="both"/>
        <w:ind w:left="401" w:hanging="401"/>
        <w:spacing w:after="0" w:line="244" w:lineRule="auto"/>
        <w:tabs>
          <w:tab w:leader="none" w:pos="401" w:val="left"/>
        </w:tabs>
        <w:numPr>
          <w:ilvl w:val="0"/>
          <w:numId w:val="25"/>
        </w:numPr>
        <w:rPr>
          <w:rFonts w:ascii="Arial" w:cs="Arial" w:eastAsia="Arial" w:hAnsi="Arial"/>
          <w:sz w:val="20"/>
          <w:szCs w:val="20"/>
          <w:color w:val="auto"/>
        </w:rPr>
      </w:pPr>
      <w:r>
        <w:rPr>
          <w:rFonts w:ascii="Arial" w:cs="Arial" w:eastAsia="Arial" w:hAnsi="Arial"/>
          <w:sz w:val="20"/>
          <w:szCs w:val="20"/>
          <w:color w:val="auto"/>
        </w:rPr>
        <w:t>Goodwill impairment – During the current period, Ashland realigned its operations into five reportable segments which resulted in a reassessment of the Company’s reporting units used to evaluate goodwill impairment. The impairment test under the new reporting unit structure concluded that the carrying value of the Personal Care &amp; Household and the Specialty Additives reporting units exceeded their fair value, resulting in a non-cash goodwill impairment charge. See note G and Critical Accounting Policies for additional information.</w:t>
      </w:r>
    </w:p>
    <w:p>
      <w:pPr>
        <w:spacing w:after="0" w:line="86" w:lineRule="exact"/>
        <w:rPr>
          <w:rFonts w:ascii="Arial" w:cs="Arial" w:eastAsia="Arial" w:hAnsi="Arial"/>
          <w:sz w:val="20"/>
          <w:szCs w:val="20"/>
          <w:color w:val="auto"/>
        </w:rPr>
      </w:pPr>
    </w:p>
    <w:p>
      <w:pPr>
        <w:jc w:val="both"/>
        <w:ind w:left="401" w:hanging="401"/>
        <w:spacing w:after="0" w:line="244" w:lineRule="auto"/>
        <w:tabs>
          <w:tab w:leader="none" w:pos="401"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restructuring activities.</w:t>
      </w:r>
    </w:p>
    <w:p>
      <w:pPr>
        <w:spacing w:after="0" w:line="86" w:lineRule="exact"/>
        <w:rPr>
          <w:rFonts w:ascii="Arial" w:cs="Arial" w:eastAsia="Arial" w:hAnsi="Arial"/>
          <w:sz w:val="20"/>
          <w:szCs w:val="20"/>
          <w:color w:val="auto"/>
        </w:rPr>
      </w:pPr>
    </w:p>
    <w:p>
      <w:pPr>
        <w:jc w:val="both"/>
        <w:ind w:left="401" w:hanging="401"/>
        <w:spacing w:after="0" w:line="250" w:lineRule="auto"/>
        <w:tabs>
          <w:tab w:leader="none" w:pos="401" w:val="left"/>
        </w:tabs>
        <w:numPr>
          <w:ilvl w:val="0"/>
          <w:numId w:val="25"/>
        </w:numPr>
        <w:rPr>
          <w:rFonts w:ascii="Arial" w:cs="Arial" w:eastAsia="Arial" w:hAnsi="Arial"/>
          <w:sz w:val="20"/>
          <w:szCs w:val="20"/>
          <w:color w:val="auto"/>
        </w:rPr>
      </w:pPr>
      <w:r>
        <w:rPr>
          <w:rFonts w:ascii="Arial" w:cs="Arial" w:eastAsia="Arial" w:hAnsi="Arial"/>
          <w:sz w:val="20"/>
          <w:szCs w:val="20"/>
          <w:color w:val="auto"/>
        </w:rPr>
        <w:t>Accelerated depreciation – As a result of various restructuring activities at certain office facilities and manufacturing facilities during the prior year period, Ashland recorded accelerated depreciation due to changes in the expected useful life of certain property, plant and equipment.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40" w:name="page41"/>
    <w:bookmarkEnd w:id="40"/>
    <w:p>
      <w:pPr>
        <w:ind w:left="800" w:right="400" w:hanging="401"/>
        <w:spacing w:after="0" w:line="260" w:lineRule="auto"/>
        <w:tabs>
          <w:tab w:leader="none" w:pos="8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Proxy costs – Ashland incurred significant consulting and other costs associated with the 2019 Annual Meeting of Stockholders and agreement with Cruiser Capital in the prior year period.</w:t>
      </w:r>
    </w:p>
    <w:p>
      <w:pPr>
        <w:spacing w:after="0" w:line="68" w:lineRule="exact"/>
        <w:rPr>
          <w:rFonts w:ascii="Arial" w:cs="Arial" w:eastAsia="Arial" w:hAnsi="Arial"/>
          <w:sz w:val="20"/>
          <w:szCs w:val="20"/>
          <w:color w:val="auto"/>
        </w:rPr>
      </w:pPr>
    </w:p>
    <w:p>
      <w:pPr>
        <w:jc w:val="both"/>
        <w:ind w:left="800" w:right="400" w:hanging="401"/>
        <w:spacing w:after="0" w:line="250" w:lineRule="auto"/>
        <w:tabs>
          <w:tab w:leader="none" w:pos="8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Lower of cost or net realizable value inventory adjustment –Inventories are carried at the lower of cost or net realizable value. When comparing the stated value of its inventory to its net realizable value, Ashland determined that an adjustment was required for the current year.</w:t>
      </w:r>
    </w:p>
    <w:p>
      <w:pPr>
        <w:spacing w:after="0" w:line="78"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Operating income for the six months ended March 31, 2020 and 2019 included depreciation and amortization of $122 million and $124 million, respectively (which excluded accelerated depreciation and amortization of $39 million the six months ended March 31, 2019).</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Non-operating key items affecting EBITDA</w:t>
      </w:r>
    </w:p>
    <w:p>
      <w:pPr>
        <w:spacing w:after="0" w:line="108" w:lineRule="exact"/>
        <w:rPr>
          <w:sz w:val="20"/>
          <w:szCs w:val="20"/>
          <w:color w:val="auto"/>
        </w:rPr>
      </w:pPr>
    </w:p>
    <w:p>
      <w:pPr>
        <w:jc w:val="both"/>
        <w:ind w:left="800" w:right="400" w:hanging="401"/>
        <w:spacing w:after="0" w:line="250" w:lineRule="auto"/>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Gain on pension and other postretirement plan remeasurements – Ashland recognized a remeasurement gain due to the settlement of a non-U.S. pension plan during the prior year quarter. See Note K of the Notes to Condensed Consolidated Financial Statements for more information.</w:t>
      </w:r>
    </w:p>
    <w:p>
      <w:pPr>
        <w:spacing w:after="0" w:line="77" w:lineRule="exact"/>
        <w:rPr>
          <w:rFonts w:ascii="Arial" w:cs="Arial" w:eastAsia="Arial" w:hAnsi="Arial"/>
          <w:sz w:val="20"/>
          <w:szCs w:val="20"/>
          <w:color w:val="auto"/>
        </w:rPr>
      </w:pPr>
    </w:p>
    <w:p>
      <w:pPr>
        <w:ind w:left="800" w:right="400" w:hanging="401"/>
        <w:spacing w:after="0" w:line="260" w:lineRule="auto"/>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Net loss on divestitures – Ashland recorded a loss during the first quarter of fiscal 2019 related to the impairment of an investment.</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Statements of Consolidated Comprehensive Income (Loss) – caption review</w:t>
      </w:r>
    </w:p>
    <w:p>
      <w:pPr>
        <w:spacing w:after="0" w:line="108"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A comparative analysis of the Statements of Consolidated Comprehensive Income (Loss) by caption is provided as follows for the three and six months ended March 31, 2020 and 2019.</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Three months ended March 31</w:t>
            </w:r>
          </w:p>
        </w:tc>
        <w:tc>
          <w:tcPr>
            <w:tcW w:w="7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54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Six months ended March 31</w:t>
            </w:r>
          </w:p>
        </w:tc>
        <w:tc>
          <w:tcPr>
            <w:tcW w:w="780" w:type="dxa"/>
            <w:vAlign w:val="bottom"/>
            <w:tcBorders>
              <w:top w:val="single" w:sz="8" w:color="auto"/>
              <w:bottom w:val="single" w:sz="8" w:color="auto"/>
            </w:tcBorders>
          </w:tcPr>
          <w:p>
            <w:pPr>
              <w:spacing w:after="0"/>
              <w:rPr>
                <w:sz w:val="21"/>
                <w:szCs w:val="2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1"/>
              </w:rPr>
              <w:t>Change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1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1420" w:type="dxa"/>
            <w:vAlign w:val="bottom"/>
            <w:tcBorders>
              <w:top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610</w:t>
            </w:r>
          </w:p>
        </w:tc>
        <w:tc>
          <w:tcPr>
            <w:tcW w:w="4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667</w:t>
            </w:r>
          </w:p>
        </w:tc>
        <w:tc>
          <w:tcPr>
            <w:tcW w:w="5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top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1,143</w:t>
            </w:r>
          </w:p>
        </w:tc>
        <w:tc>
          <w:tcPr>
            <w:tcW w:w="4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1,243</w:t>
            </w:r>
          </w:p>
        </w:tc>
        <w:tc>
          <w:tcPr>
            <w:tcW w:w="5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bl>
    <w:p>
      <w:pPr>
        <w:spacing w:after="0" w:line="280"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table provides a reconciliation of the change in sales for the three and six months ended March 31, 2020 and 2019.</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87"/>
              </w:rPr>
              <w:t>Three months ended</w:t>
            </w:r>
          </w:p>
        </w:tc>
        <w:tc>
          <w:tcPr>
            <w:tcW w:w="1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2"/>
              </w:rPr>
              <w:t>Six months ended</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March 31, 2020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March 31, 2020</w:t>
            </w:r>
          </w:p>
        </w:tc>
      </w:tr>
      <w:tr>
        <w:trPr>
          <w:trHeight w:val="223"/>
        </w:trPr>
        <w:tc>
          <w:tcPr>
            <w:tcW w:w="20" w:type="dxa"/>
            <w:vAlign w:val="bottom"/>
          </w:tcPr>
          <w:p>
            <w:pPr>
              <w:spacing w:after="0"/>
              <w:rPr>
                <w:sz w:val="19"/>
                <w:szCs w:val="19"/>
                <w:color w:val="auto"/>
              </w:rPr>
            </w:pPr>
          </w:p>
        </w:tc>
        <w:tc>
          <w:tcPr>
            <w:tcW w:w="3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Volume</w:t>
            </w:r>
          </w:p>
        </w:tc>
        <w:tc>
          <w:tcPr>
            <w:tcW w:w="2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Plant realignment</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Currency exchange</w:t>
            </w:r>
          </w:p>
        </w:tc>
        <w:tc>
          <w:tcPr>
            <w:tcW w:w="2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Pricing</w:t>
            </w:r>
          </w:p>
        </w:tc>
        <w:tc>
          <w:tcPr>
            <w:tcW w:w="25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sales</w:t>
            </w:r>
          </w:p>
        </w:tc>
        <w:tc>
          <w:tcPr>
            <w:tcW w:w="25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Sales for the current quarter decreased $57 million compared to the prior year quarter. Unfavorable volume, plant realignment, foreign currency exchange and product pricing decreased sales by $35 million, $8 million, $7 million and $7 million, respectively.</w:t>
      </w:r>
    </w:p>
    <w:p>
      <w:pPr>
        <w:spacing w:after="0" w:line="91"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Sales for the current year decreased $100 million compared to the prior year period. Unfavorable volume, plant realignment, foreign currency and product pricing decreased sales by $64 million, $14 million, $11 million and $11 million, respectively.</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3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5"/>
          </w:tcPr>
          <w:p>
            <w:pPr>
              <w:jc w:val="right"/>
              <w:ind w:right="410"/>
              <w:spacing w:after="0"/>
              <w:rPr>
                <w:sz w:val="20"/>
                <w:szCs w:val="20"/>
                <w:color w:val="auto"/>
              </w:rPr>
            </w:pPr>
            <w:r>
              <w:rPr>
                <w:rFonts w:ascii="Arial" w:cs="Arial" w:eastAsia="Arial" w:hAnsi="Arial"/>
                <w:sz w:val="18"/>
                <w:szCs w:val="18"/>
                <w:color w:val="auto"/>
                <w:w w:val="95"/>
              </w:rPr>
              <w:t>Three months ended March 31</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5"/>
          </w:tcPr>
          <w:p>
            <w:pPr>
              <w:jc w:val="right"/>
              <w:ind w:right="510"/>
              <w:spacing w:after="0"/>
              <w:rPr>
                <w:sz w:val="20"/>
                <w:szCs w:val="20"/>
                <w:color w:val="auto"/>
              </w:rPr>
            </w:pPr>
            <w:r>
              <w:rPr>
                <w:rFonts w:ascii="Arial" w:cs="Arial" w:eastAsia="Arial" w:hAnsi="Arial"/>
                <w:sz w:val="18"/>
                <w:szCs w:val="18"/>
                <w:color w:val="auto"/>
              </w:rPr>
              <w:t>Six months ended March 31</w:t>
            </w:r>
          </w:p>
        </w:tc>
        <w:tc>
          <w:tcPr>
            <w:tcW w:w="400" w:type="dxa"/>
            <w:vAlign w:val="bottom"/>
          </w:tcPr>
          <w:p>
            <w:pPr>
              <w:spacing w:after="0"/>
              <w:rPr>
                <w:sz w:val="21"/>
                <w:szCs w:val="21"/>
                <w:color w:val="auto"/>
              </w:rPr>
            </w:pPr>
          </w:p>
        </w:tc>
      </w:tr>
      <w:tr>
        <w:trPr>
          <w:trHeight w:val="223"/>
        </w:trPr>
        <w:tc>
          <w:tcPr>
            <w:tcW w:w="372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Change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color w:val="auto"/>
                <w:w w:val="99"/>
              </w:rPr>
              <w:t>2020</w:t>
            </w:r>
          </w:p>
        </w:tc>
        <w:tc>
          <w:tcPr>
            <w:tcW w:w="20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85"/>
              </w:rPr>
              <w:t>Change</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060" w:type="dxa"/>
            <w:vAlign w:val="bottom"/>
            <w:tcBorders>
              <w:top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413</w:t>
            </w:r>
          </w:p>
        </w:tc>
        <w:tc>
          <w:tcPr>
            <w:tcW w:w="3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469</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793</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893</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9"/>
                <w:szCs w:val="19"/>
                <w:color w:val="auto"/>
              </w:rPr>
            </w:pPr>
          </w:p>
        </w:tc>
      </w:tr>
      <w:tr>
        <w:trPr>
          <w:trHeight w:val="243"/>
        </w:trPr>
        <w:tc>
          <w:tcPr>
            <w:tcW w:w="3720" w:type="dxa"/>
            <w:vAlign w:val="bottom"/>
            <w:gridSpan w:val="2"/>
          </w:tcPr>
          <w:p>
            <w:pPr>
              <w:ind w:left="400"/>
              <w:spacing w:after="0"/>
              <w:rPr>
                <w:sz w:val="20"/>
                <w:szCs w:val="20"/>
                <w:color w:val="auto"/>
              </w:rPr>
            </w:pPr>
            <w:r>
              <w:rPr>
                <w:rFonts w:ascii="Arial" w:cs="Arial" w:eastAsia="Arial" w:hAnsi="Arial"/>
                <w:sz w:val="18"/>
                <w:szCs w:val="18"/>
                <w:b w:val="1"/>
                <w:bCs w:val="1"/>
                <w:color w:val="auto"/>
              </w:rPr>
              <w:t>Gross profit as a percent of sales</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729"/>
        </w:trPr>
        <w:tc>
          <w:tcPr>
            <w:tcW w:w="4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41</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1" w:name="page42"/>
    <w:bookmarkEnd w:id="41"/>
    <w:p>
      <w:pPr>
        <w:jc w:val="both"/>
        <w:ind w:left="1"/>
        <w:spacing w:after="0" w:line="246" w:lineRule="auto"/>
        <w:rPr>
          <w:sz w:val="20"/>
          <w:szCs w:val="20"/>
          <w:color w:val="auto"/>
        </w:rPr>
      </w:pPr>
      <w:r>
        <w:rPr>
          <w:rFonts w:ascii="Arial" w:cs="Arial" w:eastAsia="Arial" w:hAnsi="Arial"/>
          <w:sz w:val="20"/>
          <w:szCs w:val="20"/>
          <w:color w:val="auto"/>
        </w:rPr>
        <w:t>Fluctuations in cost of sales are driven primarily by raw material prices, volume and changes in product mix, currency exchange, acquisitions and divestitures and other certain charges incurred as a result of changes or events within the businesses or restructuring activities. The following table provides a quantified reconciliation of the changes in cost of sales between the three and six months ended March 31, 2020 and 2019.</w:t>
      </w:r>
    </w:p>
    <w:p>
      <w:pPr>
        <w:spacing w:after="0" w:line="93"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50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89"/>
              </w:rPr>
              <w:t>Three months ended</w:t>
            </w:r>
          </w:p>
        </w:tc>
        <w:tc>
          <w:tcPr>
            <w:tcW w:w="1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2"/>
              </w:rPr>
              <w:t>Six months ended</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March 31, 2020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March 31, 2020</w:t>
            </w:r>
          </w:p>
        </w:tc>
      </w:tr>
      <w:tr>
        <w:trPr>
          <w:trHeight w:val="223"/>
        </w:trPr>
        <w:tc>
          <w:tcPr>
            <w:tcW w:w="20" w:type="dxa"/>
            <w:vAlign w:val="bottom"/>
          </w:tcPr>
          <w:p>
            <w:pPr>
              <w:spacing w:after="0"/>
              <w:rPr>
                <w:sz w:val="19"/>
                <w:szCs w:val="19"/>
                <w:color w:val="auto"/>
              </w:rPr>
            </w:pPr>
          </w:p>
        </w:tc>
        <w:tc>
          <w:tcPr>
            <w:tcW w:w="4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Changes in:</w:t>
            </w:r>
          </w:p>
        </w:tc>
        <w:tc>
          <w:tcPr>
            <w:tcW w:w="2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Plant realignment/closure costs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2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Volume</w:t>
            </w: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2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Currency exchange</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costs</w:t>
            </w: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tcPr>
          <w:p>
            <w:pPr>
              <w:spacing w:after="0"/>
              <w:rPr>
                <w:sz w:val="19"/>
                <w:szCs w:val="19"/>
                <w:color w:val="auto"/>
              </w:rPr>
            </w:pPr>
          </w:p>
        </w:tc>
        <w:tc>
          <w:tcPr>
            <w:tcW w:w="4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Price/mix</w:t>
            </w:r>
          </w:p>
        </w:tc>
        <w:tc>
          <w:tcPr>
            <w:tcW w:w="20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cost of sales</w:t>
            </w:r>
          </w:p>
        </w:tc>
        <w:tc>
          <w:tcPr>
            <w:tcW w:w="20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1"/>
        <w:spacing w:after="0" w:line="291" w:lineRule="auto"/>
        <w:rPr>
          <w:sz w:val="20"/>
          <w:szCs w:val="20"/>
          <w:color w:val="auto"/>
        </w:rPr>
      </w:pPr>
      <w:r>
        <w:rPr>
          <w:rFonts w:ascii="Arial" w:cs="Arial" w:eastAsia="Arial" w:hAnsi="Arial"/>
          <w:sz w:val="18"/>
          <w:szCs w:val="18"/>
          <w:u w:val="single" w:color="auto"/>
          <w:color w:val="auto"/>
        </w:rPr>
        <w:t>Current Quarter -</w:t>
      </w:r>
      <w:r>
        <w:rPr>
          <w:rFonts w:ascii="Arial" w:cs="Arial" w:eastAsia="Arial" w:hAnsi="Arial"/>
          <w:sz w:val="18"/>
          <w:szCs w:val="18"/>
          <w:color w:val="auto"/>
        </w:rPr>
        <w:t xml:space="preserve"> Cost of sales for the current quarter decreased $56 million compared to the prior year quarter. Unfavorable plant realignment/closure costs, volume, operating costs and foreign currency exchange decreased cost of sales by $27 million, $23 million, $4 million and $3 million, respectively. Those decreases were partially offset by an increase in price/mix of $1 million.</w:t>
      </w:r>
    </w:p>
    <w:p>
      <w:pPr>
        <w:spacing w:after="0" w:line="165"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Cost of sales for the current year decreased $100 million compared to the prior year. Unfavorable plant realignment/closure costs, volume and foreign currency exchange decreased cost of sales by $61 million, $41 million and $6 million, respectively. Those decreases were partially offset by higher operating costs and unfavorable price/mix which increased cost of sales by $4 million and $4 million, respectively.</w:t>
      </w:r>
    </w:p>
    <w:p>
      <w:pPr>
        <w:spacing w:after="0" w:line="93" w:lineRule="exact"/>
        <w:rPr>
          <w:sz w:val="20"/>
          <w:szCs w:val="20"/>
          <w:color w:val="auto"/>
        </w:rPr>
      </w:pPr>
    </w:p>
    <w:tbl>
      <w:tblPr>
        <w:tblLayout w:type="fixed"/>
        <w:tblInd w:w="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7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5"/>
          </w:tcPr>
          <w:p>
            <w:pPr>
              <w:jc w:val="right"/>
              <w:ind w:right="410"/>
              <w:spacing w:after="0"/>
              <w:rPr>
                <w:sz w:val="20"/>
                <w:szCs w:val="20"/>
                <w:color w:val="auto"/>
              </w:rPr>
            </w:pPr>
            <w:r>
              <w:rPr>
                <w:rFonts w:ascii="Arial" w:cs="Arial" w:eastAsia="Arial" w:hAnsi="Arial"/>
                <w:sz w:val="18"/>
                <w:szCs w:val="18"/>
                <w:color w:val="auto"/>
                <w:w w:val="95"/>
              </w:rPr>
              <w:t>Three months ended March 31</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5"/>
          </w:tcPr>
          <w:p>
            <w:pPr>
              <w:jc w:val="right"/>
              <w:ind w:right="510"/>
              <w:spacing w:after="0"/>
              <w:rPr>
                <w:sz w:val="20"/>
                <w:szCs w:val="20"/>
                <w:color w:val="auto"/>
              </w:rPr>
            </w:pPr>
            <w:r>
              <w:rPr>
                <w:rFonts w:ascii="Arial" w:cs="Arial" w:eastAsia="Arial" w:hAnsi="Arial"/>
                <w:sz w:val="18"/>
                <w:szCs w:val="18"/>
                <w:color w:val="auto"/>
              </w:rPr>
              <w:t>Six months ended March 31</w:t>
            </w: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Change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color w:val="auto"/>
                <w:w w:val="99"/>
              </w:rPr>
              <w:t>2020</w:t>
            </w:r>
          </w:p>
        </w:tc>
        <w:tc>
          <w:tcPr>
            <w:tcW w:w="20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85"/>
              </w:rPr>
              <w:t>Change</w:t>
            </w:r>
          </w:p>
        </w:tc>
      </w:tr>
      <w:tr>
        <w:trPr>
          <w:trHeight w:val="223"/>
        </w:trPr>
        <w:tc>
          <w:tcPr>
            <w:tcW w:w="20" w:type="dxa"/>
            <w:vAlign w:val="bottom"/>
          </w:tcPr>
          <w:p>
            <w:pPr>
              <w:spacing w:after="0"/>
              <w:rPr>
                <w:sz w:val="19"/>
                <w:szCs w:val="19"/>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8"/>
              </w:rPr>
              <w:t>Selling, general and administrative expense</w:t>
            </w:r>
          </w:p>
        </w:tc>
        <w:tc>
          <w:tcPr>
            <w:tcW w:w="64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103</w:t>
            </w:r>
          </w:p>
        </w:tc>
        <w:tc>
          <w:tcPr>
            <w:tcW w:w="3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115</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202</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236</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As a percent of sales</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80"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Selling, general and administrative expense for the current quarter decreased $12 million compared to the prior year quarter with expenses as a percent of sales decreasing 0.3 percentage points. Key drivers of the fluctuation in selling, general and administrative expense compared to the prior year quarter were:</w:t>
      </w:r>
    </w:p>
    <w:p>
      <w:pPr>
        <w:spacing w:after="0" w:line="78" w:lineRule="exact"/>
        <w:rPr>
          <w:sz w:val="20"/>
          <w:szCs w:val="20"/>
          <w:color w:val="auto"/>
        </w:rPr>
      </w:pPr>
    </w:p>
    <w:p>
      <w:pPr>
        <w:ind w:left="401" w:hanging="401"/>
        <w:spacing w:after="0" w:line="260" w:lineRule="auto"/>
        <w:tabs>
          <w:tab w:leader="none" w:pos="401" w:val="left"/>
        </w:tabs>
        <w:numPr>
          <w:ilvl w:val="0"/>
          <w:numId w:val="28"/>
        </w:numPr>
        <w:rPr>
          <w:rFonts w:ascii="Arial" w:cs="Arial" w:eastAsia="Arial" w:hAnsi="Arial"/>
          <w:sz w:val="20"/>
          <w:szCs w:val="20"/>
          <w:color w:val="auto"/>
        </w:rPr>
      </w:pPr>
      <w:r>
        <w:rPr>
          <w:rFonts w:ascii="Arial" w:cs="Arial" w:eastAsia="Arial" w:hAnsi="Arial"/>
          <w:sz w:val="20"/>
          <w:szCs w:val="20"/>
          <w:color w:val="auto"/>
        </w:rPr>
        <w:t>$14 million and $12 million of key items for severance, lease abandonment and other restructuring costs related to company-wide cost-savings initiatives during the current and prior year quarters, respectively.</w:t>
      </w:r>
    </w:p>
    <w:p>
      <w:pPr>
        <w:spacing w:after="0" w:line="68"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8"/>
        </w:numPr>
        <w:rPr>
          <w:rFonts w:ascii="Arial" w:cs="Arial" w:eastAsia="Arial" w:hAnsi="Arial"/>
          <w:sz w:val="20"/>
          <w:szCs w:val="20"/>
          <w:color w:val="auto"/>
        </w:rPr>
      </w:pPr>
      <w:r>
        <w:rPr>
          <w:rFonts w:ascii="Arial" w:cs="Arial" w:eastAsia="Arial" w:hAnsi="Arial"/>
          <w:sz w:val="20"/>
          <w:szCs w:val="20"/>
          <w:color w:val="auto"/>
        </w:rPr>
        <w:t>Favorable currency exchange of $3 million during the current quarter as well as achieved cost savings during the current quarter compared to the prior year quarter.</w:t>
      </w:r>
    </w:p>
    <w:p>
      <w:pPr>
        <w:spacing w:after="0" w:line="190"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Selling, general and administrative expense for the current quarter decreased $34 million compared to the prior year quarter with expenses as a percent of sales decreasing 1.3 percentage points. Key drivers of the fluctuation in selling, general and administrative expense compared to the prior year quarter were:</w:t>
      </w:r>
    </w:p>
    <w:p>
      <w:pPr>
        <w:spacing w:after="0" w:line="78" w:lineRule="exact"/>
        <w:rPr>
          <w:sz w:val="20"/>
          <w:szCs w:val="20"/>
          <w:color w:val="auto"/>
        </w:rPr>
      </w:pPr>
    </w:p>
    <w:p>
      <w:pPr>
        <w:ind w:left="401" w:hanging="401"/>
        <w:spacing w:after="0" w:line="260" w:lineRule="auto"/>
        <w:tabs>
          <w:tab w:leader="none" w:pos="401" w:val="left"/>
        </w:tabs>
        <w:numPr>
          <w:ilvl w:val="0"/>
          <w:numId w:val="29"/>
        </w:numPr>
        <w:rPr>
          <w:rFonts w:ascii="Arial" w:cs="Arial" w:eastAsia="Arial" w:hAnsi="Arial"/>
          <w:sz w:val="20"/>
          <w:szCs w:val="20"/>
          <w:color w:val="auto"/>
        </w:rPr>
      </w:pPr>
      <w:r>
        <w:rPr>
          <w:rFonts w:ascii="Arial" w:cs="Arial" w:eastAsia="Arial" w:hAnsi="Arial"/>
          <w:sz w:val="20"/>
          <w:szCs w:val="20"/>
          <w:color w:val="auto"/>
        </w:rPr>
        <w:t>$21 million and $30 million of key items for restructuring, separation and other costs during the current and prior year periods, respectively.</w:t>
      </w:r>
    </w:p>
    <w:p>
      <w:pPr>
        <w:spacing w:after="0" w:line="68" w:lineRule="exact"/>
        <w:rPr>
          <w:rFonts w:ascii="Arial" w:cs="Arial" w:eastAsia="Arial" w:hAnsi="Arial"/>
          <w:sz w:val="20"/>
          <w:szCs w:val="20"/>
          <w:color w:val="auto"/>
        </w:rPr>
      </w:pPr>
    </w:p>
    <w:p>
      <w:pPr>
        <w:ind w:left="401" w:hanging="401"/>
        <w:spacing w:after="0"/>
        <w:tabs>
          <w:tab w:leader="none" w:pos="401" w:val="left"/>
        </w:tabs>
        <w:numPr>
          <w:ilvl w:val="0"/>
          <w:numId w:val="29"/>
        </w:numPr>
        <w:rPr>
          <w:rFonts w:ascii="Arial" w:cs="Arial" w:eastAsia="Arial" w:hAnsi="Arial"/>
          <w:sz w:val="20"/>
          <w:szCs w:val="20"/>
          <w:color w:val="auto"/>
        </w:rPr>
      </w:pPr>
      <w:r>
        <w:rPr>
          <w:rFonts w:ascii="Arial" w:cs="Arial" w:eastAsia="Arial" w:hAnsi="Arial"/>
          <w:sz w:val="20"/>
          <w:szCs w:val="20"/>
          <w:color w:val="auto"/>
        </w:rPr>
        <w:t>$5 million of consulting and other costs associated with the 2019 proxy during the prior year period.</w:t>
      </w:r>
    </w:p>
    <w:p>
      <w:pPr>
        <w:spacing w:after="0" w:line="107" w:lineRule="exact"/>
        <w:rPr>
          <w:rFonts w:ascii="Arial" w:cs="Arial" w:eastAsia="Arial" w:hAnsi="Arial"/>
          <w:sz w:val="20"/>
          <w:szCs w:val="20"/>
          <w:color w:val="auto"/>
        </w:rPr>
      </w:pPr>
    </w:p>
    <w:p>
      <w:pPr>
        <w:ind w:left="401" w:hanging="401"/>
        <w:spacing w:after="0"/>
        <w:tabs>
          <w:tab w:leader="none" w:pos="401" w:val="left"/>
        </w:tabs>
        <w:numPr>
          <w:ilvl w:val="0"/>
          <w:numId w:val="29"/>
        </w:numPr>
        <w:rPr>
          <w:rFonts w:ascii="Arial" w:cs="Arial" w:eastAsia="Arial" w:hAnsi="Arial"/>
          <w:sz w:val="20"/>
          <w:szCs w:val="20"/>
          <w:color w:val="auto"/>
        </w:rPr>
      </w:pPr>
      <w:r>
        <w:rPr>
          <w:rFonts w:ascii="Arial" w:cs="Arial" w:eastAsia="Arial" w:hAnsi="Arial"/>
          <w:sz w:val="20"/>
          <w:szCs w:val="20"/>
          <w:color w:val="auto"/>
        </w:rPr>
        <w:t>Favorable currency exchange of $6 million as well as achieved cost savings during the current year period.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339" w:right="739" w:bottom="1440" w:gutter="0" w:footer="0" w:header="0"/>
        </w:sectPr>
      </w:pPr>
    </w:p>
    <w:bookmarkStart w:id="42" w:name="page43"/>
    <w:bookmarkEnd w:id="42"/>
    <w:tbl>
      <w:tblPr>
        <w:tblLayout w:type="fixed"/>
        <w:tblInd w:w="4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4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w w:val="94"/>
              </w:rPr>
              <w:t>Three months ended March 31</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w w:val="98"/>
              </w:rPr>
              <w:t>Six months ended March 31</w:t>
            </w: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8"/>
              </w:rPr>
              <w:t>Change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98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38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tcBorders>
              <w:top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4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280"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Research and development expense are relatively consistent with the prior year quarter.</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Research and development expense are consistent year over year.</w:t>
      </w:r>
    </w:p>
    <w:p>
      <w:pPr>
        <w:spacing w:after="0" w:line="200" w:lineRule="exact"/>
        <w:rPr>
          <w:sz w:val="20"/>
          <w:szCs w:val="20"/>
          <w:color w:val="auto"/>
        </w:rPr>
      </w:pPr>
    </w:p>
    <w:p>
      <w:pPr>
        <w:spacing w:after="0" w:line="255"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68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Three months ended March 31</w:t>
            </w:r>
          </w:p>
        </w:tc>
        <w:tc>
          <w:tcPr>
            <w:tcW w:w="7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2520" w:type="dxa"/>
            <w:vAlign w:val="bottom"/>
            <w:tcBorders>
              <w:top w:val="single" w:sz="8" w:color="auto"/>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Six months ended March 31</w:t>
            </w:r>
          </w:p>
        </w:tc>
        <w:tc>
          <w:tcPr>
            <w:tcW w:w="8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60" w:type="dxa"/>
            <w:vAlign w:val="bottom"/>
            <w:gridSpan w:val="4"/>
          </w:tcPr>
          <w:p>
            <w:pPr>
              <w:spacing w:after="0"/>
              <w:rPr>
                <w:sz w:val="20"/>
                <w:szCs w:val="20"/>
                <w:color w:val="auto"/>
              </w:rPr>
            </w:pPr>
            <w:r>
              <w:rPr>
                <w:rFonts w:ascii="Arial" w:cs="Arial" w:eastAsia="Arial" w:hAnsi="Arial"/>
                <w:sz w:val="18"/>
                <w:szCs w:val="18"/>
                <w:color w:val="auto"/>
              </w:rPr>
              <w:t>(In millions)</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40" w:type="dxa"/>
            <w:vAlign w:val="bottom"/>
            <w:tcBorders>
              <w:top w:val="single" w:sz="8" w:color="auto"/>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Intangibles amortization</w:t>
            </w:r>
          </w:p>
        </w:tc>
        <w:tc>
          <w:tcPr>
            <w:tcW w:w="760" w:type="dxa"/>
            <w:vAlign w:val="bottom"/>
            <w:tcBorders>
              <w:top w:val="single" w:sz="8" w:color="auto"/>
            </w:tcBorders>
            <w:gridSpan w:val="2"/>
            <w:vMerge w:val="restart"/>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520" w:type="dxa"/>
            <w:vAlign w:val="bottom"/>
            <w:tcBorders>
              <w:top w:val="single" w:sz="8" w:color="auto"/>
            </w:tcBorders>
            <w:vMerge w:val="restart"/>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560" w:type="dxa"/>
            <w:vAlign w:val="bottom"/>
            <w:tcBorders>
              <w:top w:val="single" w:sz="8" w:color="auto"/>
            </w:tcBorders>
            <w:vMerge w:val="restart"/>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vMerge w:val="restart"/>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42</w:t>
            </w:r>
          </w:p>
        </w:tc>
        <w:tc>
          <w:tcPr>
            <w:tcW w:w="540" w:type="dxa"/>
            <w:vAlign w:val="bottom"/>
            <w:tcBorders>
              <w:top w:val="single" w:sz="8" w:color="auto"/>
            </w:tcBorders>
            <w:vMerge w:val="restart"/>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500" w:type="dxa"/>
            <w:vAlign w:val="bottom"/>
            <w:tcBorders>
              <w:top w:val="single" w:sz="8" w:color="auto"/>
            </w:tcBorders>
            <w:vMerge w:val="restart"/>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40" w:type="dxa"/>
            <w:vAlign w:val="bottom"/>
            <w:gridSpan w:val="3"/>
            <w:vMerge w:val="restart"/>
            <w:shd w:val="clear" w:color="auto" w:fill="CFF0FC"/>
          </w:tcPr>
          <w:p>
            <w:pPr>
              <w:spacing w:after="0"/>
              <w:rPr>
                <w:sz w:val="20"/>
                <w:szCs w:val="20"/>
                <w:color w:val="auto"/>
              </w:rPr>
            </w:pPr>
            <w:r>
              <w:rPr>
                <w:rFonts w:ascii="Arial" w:cs="Arial" w:eastAsia="Arial" w:hAnsi="Arial"/>
                <w:sz w:val="18"/>
                <w:szCs w:val="18"/>
                <w:b w:val="1"/>
                <w:bCs w:val="1"/>
                <w:color w:val="auto"/>
              </w:rPr>
              <w:t>expense</w:t>
            </w:r>
          </w:p>
        </w:tc>
        <w:tc>
          <w:tcPr>
            <w:tcW w:w="760" w:type="dxa"/>
            <w:vAlign w:val="bottom"/>
            <w:gridSpan w:val="2"/>
            <w:vMerge w:val="continue"/>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560" w:type="dxa"/>
            <w:vAlign w:val="bottom"/>
            <w:vMerge w:val="continue"/>
            <w:shd w:val="clear" w:color="auto" w:fill="CFF0FC"/>
          </w:tcPr>
          <w:p>
            <w:pPr>
              <w:spacing w:after="0"/>
              <w:rPr>
                <w:sz w:val="10"/>
                <w:szCs w:val="10"/>
                <w:color w:val="auto"/>
              </w:rPr>
            </w:pPr>
          </w:p>
        </w:tc>
        <w:tc>
          <w:tcPr>
            <w:tcW w:w="760" w:type="dxa"/>
            <w:vAlign w:val="bottom"/>
            <w:vMerge w:val="continue"/>
            <w:shd w:val="clear" w:color="auto" w:fill="CFF0FC"/>
          </w:tcPr>
          <w:p>
            <w:pPr>
              <w:spacing w:after="0"/>
              <w:rPr>
                <w:sz w:val="10"/>
                <w:szCs w:val="10"/>
                <w:color w:val="auto"/>
              </w:rPr>
            </w:pPr>
          </w:p>
        </w:tc>
        <w:tc>
          <w:tcPr>
            <w:tcW w:w="640" w:type="dxa"/>
            <w:vAlign w:val="bottom"/>
            <w:gridSpan w:val="2"/>
            <w:vMerge w:val="continue"/>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540" w:type="dxa"/>
            <w:vAlign w:val="bottom"/>
            <w:vMerge w:val="continue"/>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500" w:type="dxa"/>
            <w:vAlign w:val="bottom"/>
            <w:vMerge w:val="continue"/>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gridSpan w:val="3"/>
            <w:vMerge w:val="continue"/>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6460" w:type="dxa"/>
            <w:vAlign w:val="bottom"/>
            <w:gridSpan w:val="11"/>
          </w:tcPr>
          <w:p>
            <w:pPr>
              <w:spacing w:after="0"/>
              <w:rPr>
                <w:sz w:val="20"/>
                <w:szCs w:val="20"/>
                <w:color w:val="auto"/>
              </w:rPr>
            </w:pPr>
            <w:r>
              <w:rPr>
                <w:rFonts w:ascii="Arial" w:cs="Arial" w:eastAsia="Arial" w:hAnsi="Arial"/>
                <w:sz w:val="20"/>
                <w:szCs w:val="20"/>
                <w:color w:val="auto"/>
                <w:w w:val="91"/>
              </w:rPr>
              <w:t>Current Quarter - Amortization expense is consistent with the prior year quarter.</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00" w:type="dxa"/>
            <w:vAlign w:val="bottom"/>
            <w:gridSpan w:val="13"/>
          </w:tcPr>
          <w:p>
            <w:pPr>
              <w:spacing w:after="0"/>
              <w:rPr>
                <w:sz w:val="20"/>
                <w:szCs w:val="20"/>
                <w:color w:val="auto"/>
              </w:rPr>
            </w:pPr>
            <w:r>
              <w:rPr>
                <w:rFonts w:ascii="Arial" w:cs="Arial" w:eastAsia="Arial" w:hAnsi="Arial"/>
                <w:sz w:val="20"/>
                <w:szCs w:val="20"/>
                <w:color w:val="auto"/>
                <w:w w:val="93"/>
              </w:rPr>
              <w:t>Year-to-Date - Amortization expense is relatively consistent with the prior year period.</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top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Three months ended March 31</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Six months ended March 31</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gridSpan w:val="4"/>
          </w:tcPr>
          <w:p>
            <w:pPr>
              <w:spacing w:after="0"/>
              <w:rPr>
                <w:sz w:val="20"/>
                <w:szCs w:val="20"/>
                <w:color w:val="auto"/>
              </w:rPr>
            </w:pPr>
            <w:r>
              <w:rPr>
                <w:rFonts w:ascii="Arial" w:cs="Arial" w:eastAsia="Arial" w:hAnsi="Arial"/>
                <w:sz w:val="18"/>
                <w:szCs w:val="18"/>
                <w:color w:val="auto"/>
              </w:rPr>
              <w:t>(In millions)</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Goodwill impairment</w:t>
            </w:r>
          </w:p>
        </w:tc>
        <w:tc>
          <w:tcPr>
            <w:tcW w:w="760" w:type="dxa"/>
            <w:vAlign w:val="bottom"/>
            <w:tcBorders>
              <w:top w:val="single" w:sz="8" w:color="auto"/>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530</w:t>
            </w:r>
          </w:p>
        </w:tc>
        <w:tc>
          <w:tcPr>
            <w:tcW w:w="5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530</w:t>
            </w:r>
          </w:p>
        </w:tc>
        <w:tc>
          <w:tcPr>
            <w:tcW w:w="640" w:type="dxa"/>
            <w:vAlign w:val="bottom"/>
            <w:tcBorders>
              <w:top w:val="single" w:sz="8" w:color="auto"/>
            </w:tcBorders>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530</w:t>
            </w:r>
          </w:p>
        </w:tc>
        <w:tc>
          <w:tcPr>
            <w:tcW w:w="5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Ashland recorded an impairment charge of $530 million in the current quarter. See note G and Critical Accounting Policies for more information.</w:t>
      </w:r>
    </w:p>
    <w:p>
      <w:pPr>
        <w:spacing w:after="0" w:line="69"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Ashland recorded an impairment charge of $530 million in the current year. See note G Critical and Accounting Policies for more information.</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0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7"/>
          </w:tcPr>
          <w:p>
            <w:pPr>
              <w:jc w:val="right"/>
              <w:ind w:right="370"/>
              <w:spacing w:after="0"/>
              <w:rPr>
                <w:sz w:val="20"/>
                <w:szCs w:val="20"/>
                <w:color w:val="auto"/>
              </w:rPr>
            </w:pPr>
            <w:r>
              <w:rPr>
                <w:rFonts w:ascii="Arial" w:cs="Arial" w:eastAsia="Arial" w:hAnsi="Arial"/>
                <w:sz w:val="18"/>
                <w:szCs w:val="18"/>
                <w:color w:val="auto"/>
                <w:w w:val="94"/>
              </w:rPr>
              <w:t>Three months ended March 31</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8"/>
          </w:tcPr>
          <w:p>
            <w:pPr>
              <w:jc w:val="right"/>
              <w:ind w:right="490"/>
              <w:spacing w:after="0"/>
              <w:rPr>
                <w:sz w:val="20"/>
                <w:szCs w:val="20"/>
                <w:color w:val="auto"/>
              </w:rPr>
            </w:pPr>
            <w:r>
              <w:rPr>
                <w:rFonts w:ascii="Arial" w:cs="Arial" w:eastAsia="Arial" w:hAnsi="Arial"/>
                <w:sz w:val="18"/>
                <w:szCs w:val="18"/>
                <w:color w:val="auto"/>
                <w:w w:val="98"/>
              </w:rPr>
              <w:t>Six months ended March 31</w:t>
            </w: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8"/>
              </w:rPr>
              <w:t>Change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3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Equity and other income</w:t>
            </w:r>
          </w:p>
        </w:tc>
        <w:tc>
          <w:tcPr>
            <w:tcW w:w="1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color w:val="auto"/>
              </w:rPr>
              <w:t xml:space="preserve">Equity income </w:t>
            </w:r>
            <w:r>
              <w:rPr>
                <w:rFonts w:ascii="Arial" w:cs="Arial" w:eastAsia="Arial" w:hAnsi="Arial"/>
                <w:sz w:val="14"/>
                <w:szCs w:val="14"/>
                <w:color w:val="auto"/>
              </w:rPr>
              <w:t>(a)</w:t>
            </w:r>
          </w:p>
        </w:tc>
        <w:tc>
          <w:tcPr>
            <w:tcW w:w="1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800" w:hanging="401"/>
        <w:spacing w:after="0"/>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Activity of $0 denotes value less than $1 million.</w:t>
      </w:r>
    </w:p>
    <w:p>
      <w:pPr>
        <w:spacing w:after="0" w:line="97" w:lineRule="exact"/>
        <w:rPr>
          <w:sz w:val="20"/>
          <w:szCs w:val="20"/>
          <w:color w:val="auto"/>
        </w:rPr>
      </w:pPr>
    </w:p>
    <w:p>
      <w:pPr>
        <w:ind w:left="400" w:right="400"/>
        <w:spacing w:after="0" w:line="260" w:lineRule="auto"/>
        <w:rPr>
          <w:sz w:val="20"/>
          <w:szCs w:val="20"/>
          <w:color w:val="auto"/>
        </w:rPr>
      </w:pPr>
      <w:r>
        <w:rPr>
          <w:rFonts w:ascii="Arial" w:cs="Arial" w:eastAsia="Arial" w:hAnsi="Arial"/>
          <w:sz w:val="20"/>
          <w:szCs w:val="20"/>
          <w:color w:val="auto"/>
        </w:rPr>
        <w:t>Equity and other income increased during the three and six months due to a liquidation gain of $3 million and China subsidies of $2 million.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37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7"/>
          </w:tcPr>
          <w:p>
            <w:pPr>
              <w:jc w:val="right"/>
              <w:ind w:right="390"/>
              <w:spacing w:after="0"/>
              <w:rPr>
                <w:sz w:val="20"/>
                <w:szCs w:val="20"/>
                <w:color w:val="auto"/>
              </w:rPr>
            </w:pPr>
            <w:r>
              <w:rPr>
                <w:rFonts w:ascii="Arial" w:cs="Arial" w:eastAsia="Arial" w:hAnsi="Arial"/>
                <w:sz w:val="18"/>
                <w:szCs w:val="18"/>
                <w:color w:val="auto"/>
                <w:w w:val="94"/>
              </w:rPr>
              <w:t>Three months ended March 31</w:t>
            </w: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7"/>
          </w:tcPr>
          <w:p>
            <w:pPr>
              <w:jc w:val="right"/>
              <w:ind w:right="510"/>
              <w:spacing w:after="0"/>
              <w:rPr>
                <w:sz w:val="20"/>
                <w:szCs w:val="20"/>
                <w:color w:val="auto"/>
              </w:rPr>
            </w:pPr>
            <w:r>
              <w:rPr>
                <w:rFonts w:ascii="Arial" w:cs="Arial" w:eastAsia="Arial" w:hAnsi="Arial"/>
                <w:sz w:val="18"/>
                <w:szCs w:val="18"/>
                <w:color w:val="auto"/>
                <w:w w:val="98"/>
              </w:rPr>
              <w:t>Six months ended March 31</w:t>
            </w:r>
          </w:p>
        </w:tc>
        <w:tc>
          <w:tcPr>
            <w:tcW w:w="400" w:type="dxa"/>
            <w:vAlign w:val="bottom"/>
          </w:tcPr>
          <w:p>
            <w:pPr>
              <w:spacing w:after="0"/>
              <w:rPr>
                <w:sz w:val="21"/>
                <w:szCs w:val="21"/>
                <w:color w:val="auto"/>
              </w:rPr>
            </w:pPr>
          </w:p>
        </w:tc>
      </w:tr>
      <w:tr>
        <w:trPr>
          <w:trHeight w:val="223"/>
        </w:trPr>
        <w:tc>
          <w:tcPr>
            <w:tcW w:w="414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8"/>
              </w:rPr>
              <w:t>Change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Change</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interest and other expense (income)</w:t>
            </w:r>
          </w:p>
        </w:tc>
        <w:tc>
          <w:tcPr>
            <w:tcW w:w="4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6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Loss on early retirement of debt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(income) from restricted investments</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3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financing costs</w:t>
            </w:r>
          </w:p>
        </w:tc>
        <w:tc>
          <w:tcPr>
            <w:tcW w:w="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7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709"/>
        </w:trPr>
        <w:tc>
          <w:tcPr>
            <w:tcW w:w="4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w w:val="89"/>
              </w:rPr>
              <w:t>43</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43" w:name="page44"/>
    <w:bookmarkEnd w:id="43"/>
    <w:p>
      <w:pPr>
        <w:jc w:val="both"/>
        <w:spacing w:after="0" w:line="243"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Net interest and other expense increased by $120 million during the current quarter compared to the prior year quarter. Interest expense decreased $6 million due to lower cost of debt related to the debt restructuring activity during the current quarter compared to the prior year quarter. The decreases were offset by $8 million of accelerated debt issuance costs and original issuance discount costs for the current quarter. Ashland incurred $59 million of debt refinancing costs during the current quarter. See Note H for more information on the refinancing activity. Restricted investments included a loss of $29 million compared to gains of $29 million for the three months ended March 31, 2020 and 2019, respectively. See Note E for more information on the restricted investments.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Year-to-Date -</w:t>
      </w:r>
      <w:r>
        <w:rPr>
          <w:rFonts w:ascii="Arial" w:cs="Arial" w:eastAsia="Arial" w:hAnsi="Arial"/>
          <w:sz w:val="18"/>
          <w:szCs w:val="18"/>
          <w:color w:val="auto"/>
        </w:rPr>
        <w:t xml:space="preserve"> Net interest and other expense increased by $75 million during the current year compared to the prior year period. Interest expense decreased $10 million due to lower cost of debt related to the debt restructuring activity during the current year compared to the prior year period. The decreases were partially offset by $8 million of accelerated debt issuance costs and original issuance discount costs for the current period. Ashland incurred $59 million of debt refinancing costs during the current year. See Note H for more information on the refinancing activity. Restricted investments included losses of $16 million for the current period compared to gains of $2 million for the prior periods. See Note E for more information on the restricted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w w:val="93"/>
              </w:rPr>
              <w:t>Three months ended March 31</w:t>
            </w: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w w:val="97"/>
              </w:rPr>
              <w:t>Six months ended March 31</w:t>
            </w: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Other net periodic benefit income</w:t>
            </w:r>
          </w:p>
        </w:tc>
        <w:tc>
          <w:tcPr>
            <w:tcW w:w="106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net periodic benefit income during the prior year related to the curtailment gain from the settlement of a non-U.S. pension plan.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tcBorders>
            <w:gridSpan w:val="5"/>
          </w:tcPr>
          <w:p>
            <w:pPr>
              <w:ind w:left="140"/>
              <w:spacing w:after="0"/>
              <w:rPr>
                <w:sz w:val="20"/>
                <w:szCs w:val="20"/>
                <w:color w:val="auto"/>
              </w:rPr>
            </w:pPr>
            <w:r>
              <w:rPr>
                <w:rFonts w:ascii="Arial" w:cs="Arial" w:eastAsia="Arial" w:hAnsi="Arial"/>
                <w:sz w:val="18"/>
                <w:szCs w:val="18"/>
                <w:color w:val="auto"/>
              </w:rPr>
              <w:t>Three months ended March 31</w:t>
            </w:r>
          </w:p>
        </w:tc>
        <w:tc>
          <w:tcPr>
            <w:tcW w:w="2780" w:type="dxa"/>
            <w:vAlign w:val="bottom"/>
            <w:tcBorders>
              <w:top w:val="single" w:sz="8" w:color="auto"/>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w w:val="98"/>
              </w:rPr>
              <w:t>Six months ended March 31</w:t>
            </w:r>
          </w:p>
        </w:tc>
      </w:tr>
      <w:tr>
        <w:trPr>
          <w:trHeight w:val="223"/>
        </w:trPr>
        <w:tc>
          <w:tcPr>
            <w:tcW w:w="20" w:type="dxa"/>
            <w:vAlign w:val="bottom"/>
          </w:tcPr>
          <w:p>
            <w:pPr>
              <w:spacing w:after="0"/>
              <w:rPr>
                <w:sz w:val="19"/>
                <w:szCs w:val="19"/>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on divestitures</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activity in the current year was related to post-closing adjustments for certain divestitures, while activity in the prior year related to the impairment of an investment.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0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5"/>
          </w:tcPr>
          <w:p>
            <w:pPr>
              <w:jc w:val="right"/>
              <w:ind w:right="450"/>
              <w:spacing w:after="0"/>
              <w:rPr>
                <w:sz w:val="20"/>
                <w:szCs w:val="20"/>
                <w:color w:val="auto"/>
              </w:rPr>
            </w:pPr>
            <w:r>
              <w:rPr>
                <w:rFonts w:ascii="Arial" w:cs="Arial" w:eastAsia="Arial" w:hAnsi="Arial"/>
                <w:sz w:val="18"/>
                <w:szCs w:val="18"/>
                <w:color w:val="auto"/>
                <w:w w:val="95"/>
              </w:rPr>
              <w:t>Three months ended March 31</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5"/>
          </w:tcPr>
          <w:p>
            <w:pPr>
              <w:jc w:val="right"/>
              <w:ind w:right="550"/>
              <w:spacing w:after="0"/>
              <w:rPr>
                <w:sz w:val="20"/>
                <w:szCs w:val="20"/>
                <w:color w:val="auto"/>
              </w:rPr>
            </w:pPr>
            <w:r>
              <w:rPr>
                <w:rFonts w:ascii="Arial" w:cs="Arial" w:eastAsia="Arial" w:hAnsi="Arial"/>
                <w:sz w:val="18"/>
                <w:szCs w:val="18"/>
                <w:color w:val="auto"/>
              </w:rPr>
              <w:t>Six months ended March 31</w:t>
            </w: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Change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Change</w:t>
            </w:r>
          </w:p>
        </w:tc>
      </w:tr>
      <w:tr>
        <w:trPr>
          <w:trHeight w:val="223"/>
        </w:trPr>
        <w:tc>
          <w:tcPr>
            <w:tcW w:w="20" w:type="dxa"/>
            <w:vAlign w:val="bottom"/>
          </w:tcPr>
          <w:p>
            <w:pPr>
              <w:spacing w:after="0"/>
              <w:rPr>
                <w:sz w:val="19"/>
                <w:szCs w:val="19"/>
                <w:color w:val="auto"/>
              </w:rPr>
            </w:pPr>
          </w:p>
        </w:tc>
        <w:tc>
          <w:tcPr>
            <w:tcW w:w="3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Income tax expense (benefit)</w:t>
            </w:r>
          </w:p>
        </w:tc>
        <w:tc>
          <w:tcPr>
            <w:tcW w:w="1140" w:type="dxa"/>
            <w:vAlign w:val="bottom"/>
            <w:tcBorders>
              <w:top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c>
          <w:tcPr>
            <w:tcW w:w="34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top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w:t>
            </w:r>
          </w:p>
        </w:tc>
        <w:tc>
          <w:tcPr>
            <w:tcW w:w="3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3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Ashland’s effective tax rate in any interim period is subject to adjustments related to discrete items and the mix of domestic and foreign operating results. The overall effective tax rate was a benefit of 2% for the three months ended March 31, 2020 and was impacted by a nondeductible goodwill impairment of $527 million of the $530 million charge taken during the quarter.</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overall effective tax rate was 2% for the three months ended March 31, 2019 and was impacted by certain nondeductible restructuring costs as well as $11 million in favorable tax discrete items including nontaxable earnings in deferred compensation related investments and other items.</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Ashland’s effective tax rate in any interim period is subject to adjustments related to discrete items and the mix of domestic and foreign operating results. The overall effective tax rate was 6% for the six months ended March 31, 2020 and was primarily impacted by nondeductible goodwill impairment of $527 million as well as $25 million favorable tax discrete items from the tax benefit related to the Swiss Tax Reform enacted in the first quarter.</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overall effective tax rate was 2500% for the six months ended March 31, 2019 and was primarily impacted by the income mix and net unfavorable tax discrete adjustments of $30 million related to the enactment of the US Tax Cuts and Jobs Act of 2017 (Tax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339" w:right="739" w:bottom="1440" w:gutter="0" w:footer="0" w:header="0"/>
        </w:sectPr>
      </w:pPr>
    </w:p>
    <w:bookmarkStart w:id="44" w:name="page45"/>
    <w:bookmarkEnd w:id="44"/>
    <w:p>
      <w:pPr>
        <w:ind w:left="1"/>
        <w:spacing w:after="0"/>
        <w:rPr>
          <w:sz w:val="20"/>
          <w:szCs w:val="20"/>
          <w:color w:val="auto"/>
        </w:rPr>
      </w:pPr>
      <w:r>
        <w:rPr>
          <w:rFonts w:ascii="Arial" w:cs="Arial" w:eastAsia="Arial" w:hAnsi="Arial"/>
          <w:sz w:val="20"/>
          <w:szCs w:val="20"/>
          <w:i w:val="1"/>
          <w:iCs w:val="1"/>
          <w:color w:val="auto"/>
        </w:rPr>
        <w:t>Adjusted income tax expense (benefit)</w:t>
      </w:r>
    </w:p>
    <w:p>
      <w:pPr>
        <w:spacing w:after="0" w:line="108" w:lineRule="exact"/>
        <w:rPr>
          <w:sz w:val="20"/>
          <w:szCs w:val="20"/>
          <w:color w:val="auto"/>
        </w:rPr>
      </w:pPr>
    </w:p>
    <w:p>
      <w:pPr>
        <w:jc w:val="both"/>
        <w:ind w:left="1"/>
        <w:spacing w:after="0" w:line="272" w:lineRule="auto"/>
        <w:rPr>
          <w:sz w:val="20"/>
          <w:szCs w:val="20"/>
          <w:color w:val="auto"/>
        </w:rPr>
      </w:pPr>
      <w:r>
        <w:rPr>
          <w:rFonts w:ascii="Arial" w:cs="Arial" w:eastAsia="Arial" w:hAnsi="Arial"/>
          <w:sz w:val="18"/>
          <w:szCs w:val="18"/>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 The effective tax rate during the three months ended March 31, 2020 and 2019 was significantly impacted by the following tax specific key items:</w:t>
      </w:r>
    </w:p>
    <w:p>
      <w:pPr>
        <w:spacing w:after="0" w:line="184" w:lineRule="exact"/>
        <w:rPr>
          <w:sz w:val="20"/>
          <w:szCs w:val="20"/>
          <w:color w:val="auto"/>
        </w:rPr>
      </w:pPr>
    </w:p>
    <w:p>
      <w:pPr>
        <w:ind w:left="401" w:hanging="401"/>
        <w:spacing w:after="0" w:line="260" w:lineRule="auto"/>
        <w:tabs>
          <w:tab w:leader="none" w:pos="401" w:val="left"/>
        </w:tabs>
        <w:numPr>
          <w:ilvl w:val="0"/>
          <w:numId w:val="31"/>
        </w:numPr>
        <w:rPr>
          <w:rFonts w:ascii="Arial" w:cs="Arial" w:eastAsia="Arial" w:hAnsi="Arial"/>
          <w:sz w:val="19"/>
          <w:szCs w:val="19"/>
          <w:color w:val="auto"/>
        </w:rPr>
      </w:pPr>
      <w:r>
        <w:rPr>
          <w:rFonts w:ascii="Arial" w:cs="Arial" w:eastAsia="Arial" w:hAnsi="Arial"/>
          <w:sz w:val="19"/>
          <w:szCs w:val="19"/>
          <w:color w:val="auto"/>
        </w:rPr>
        <w:t>Deferred tax rate changes – Includes the impact from the remeasurement of Ashland’s domestic deferred tax balances resulting from the enactment of the Tax Act as well as the impact from deferred rate changes for other jurisdictions;</w:t>
      </w:r>
    </w:p>
    <w:p>
      <w:pPr>
        <w:spacing w:after="0" w:line="1" w:lineRule="exact"/>
        <w:rPr>
          <w:rFonts w:ascii="Arial" w:cs="Arial" w:eastAsia="Arial" w:hAnsi="Arial"/>
          <w:sz w:val="19"/>
          <w:szCs w:val="19"/>
          <w:color w:val="auto"/>
        </w:rPr>
      </w:pPr>
    </w:p>
    <w:p>
      <w:pPr>
        <w:ind w:left="401" w:hanging="401"/>
        <w:spacing w:after="0"/>
        <w:tabs>
          <w:tab w:leader="none" w:pos="4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One-time transition tax – Includes the impact from the one-time transition tax resulting from the enactment of the Tax Act;</w:t>
      </w:r>
    </w:p>
    <w:p>
      <w:pPr>
        <w:spacing w:after="0" w:line="22" w:lineRule="exact"/>
        <w:rPr>
          <w:rFonts w:ascii="Arial" w:cs="Arial" w:eastAsia="Arial" w:hAnsi="Arial"/>
          <w:sz w:val="18"/>
          <w:szCs w:val="18"/>
          <w:color w:val="auto"/>
        </w:rPr>
      </w:pPr>
    </w:p>
    <w:p>
      <w:pPr>
        <w:ind w:left="401" w:hanging="401"/>
        <w:spacing w:after="0"/>
        <w:tabs>
          <w:tab w:leader="none" w:pos="401"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Restructuring and separation activity – Includes the impact from company-wide cost reduction programs; and</w:t>
      </w:r>
    </w:p>
    <w:p>
      <w:pPr>
        <w:jc w:val="both"/>
        <w:ind w:left="401" w:hanging="401"/>
        <w:spacing w:after="0" w:line="276" w:lineRule="auto"/>
        <w:tabs>
          <w:tab w:leader="none" w:pos="4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tax reform – Includes the impact from other items related to the Tax Act and other tax law changes including Swiss Tax Reform. The Swiss Tax Reform benefit is an estimate based on ten year income projections and is subject to approval by the Swiss tax authorities. Ashland will monitor this amount and make adjustments as appropriate in future periods. These adjustments also include the impact from the deductibility of compensation items and miscellaneous state tax items.</w:t>
      </w:r>
    </w:p>
    <w:p>
      <w:pPr>
        <w:spacing w:after="0" w:line="287"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following table is a calculation of the effective tax rate, excluding these key items.</w:t>
      </w:r>
    </w:p>
    <w:p>
      <w:pPr>
        <w:spacing w:after="0" w:line="118"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6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Three months ended</w:t>
            </w:r>
          </w:p>
        </w:tc>
        <w:tc>
          <w:tcPr>
            <w:tcW w:w="6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Six months ended</w:t>
            </w: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March 31</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67"/>
              <w:spacing w:after="0"/>
              <w:rPr>
                <w:sz w:val="20"/>
                <w:szCs w:val="20"/>
                <w:color w:val="auto"/>
              </w:rPr>
            </w:pPr>
            <w:r>
              <w:rPr>
                <w:rFonts w:ascii="Arial" w:cs="Arial" w:eastAsia="Arial" w:hAnsi="Arial"/>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3"/>
              </w:rPr>
              <w:t>Income (loss) from continuing operations before income taxes</w:t>
            </w:r>
          </w:p>
        </w:tc>
        <w:tc>
          <w:tcPr>
            <w:tcW w:w="460" w:type="dxa"/>
            <w:vAlign w:val="bottom"/>
            <w:tcBorders>
              <w:top w:val="single" w:sz="8" w:color="auto"/>
            </w:tcBorders>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(585)</w:t>
            </w:r>
          </w:p>
        </w:tc>
        <w:tc>
          <w:tcPr>
            <w:tcW w:w="800" w:type="dxa"/>
            <w:vAlign w:val="bottom"/>
            <w:tcBorders>
              <w:top w:val="single" w:sz="8" w:color="auto"/>
            </w:tcBorders>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46</w:t>
            </w:r>
          </w:p>
        </w:tc>
        <w:tc>
          <w:tcPr>
            <w:tcW w:w="500" w:type="dxa"/>
            <w:vAlign w:val="bottom"/>
            <w:tcBorders>
              <w:top w:val="single" w:sz="8" w:color="auto"/>
            </w:tcBorders>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(575)</w:t>
            </w:r>
          </w:p>
        </w:tc>
        <w:tc>
          <w:tcPr>
            <w:tcW w:w="740" w:type="dxa"/>
            <w:vAlign w:val="bottom"/>
            <w:tcBorders>
              <w:top w:val="single" w:sz="8" w:color="auto"/>
            </w:tcBorders>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income from continuing operations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600" w:type="dxa"/>
            <w:vAlign w:val="bottom"/>
          </w:tcPr>
          <w:p>
            <w:pPr>
              <w:ind w:left="100"/>
              <w:spacing w:after="0"/>
              <w:rPr>
                <w:sz w:val="20"/>
                <w:szCs w:val="20"/>
                <w:color w:val="auto"/>
              </w:rPr>
            </w:pPr>
            <w:r>
              <w:rPr>
                <w:rFonts w:ascii="Arial" w:cs="Arial" w:eastAsia="Arial" w:hAnsi="Arial"/>
                <w:sz w:val="18"/>
                <w:szCs w:val="18"/>
                <w:b w:val="1"/>
                <w:bCs w:val="1"/>
                <w:color w:val="auto"/>
              </w:rPr>
              <w:t>before income taxes</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74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74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rate adjustments:</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rPr>
              <w:t>Tax effect of key items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Deferred tax rate changes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One-time transition tax</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Restructuring and separation activity</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 tax reform</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income tax rate adjustments</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income tax expense</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 xml:space="preserve">Effective tax rate, excluding key items (Non-GAAP) </w:t>
            </w:r>
            <w:r>
              <w:rPr>
                <w:rFonts w:ascii="Arial" w:cs="Arial" w:eastAsia="Arial" w:hAnsi="Arial"/>
                <w:sz w:val="16"/>
                <w:szCs w:val="16"/>
                <w:b w:val="1"/>
                <w:bCs w:val="1"/>
                <w:color w:val="auto"/>
                <w:w w:val="99"/>
              </w:rPr>
              <w:t>(c)</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01" w:hanging="401"/>
        <w:spacing w:after="0"/>
        <w:tabs>
          <w:tab w:leader="none" w:pos="401"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See Adjusted EBITDA reconciliation table previously disclosed in this MD&amp;A for a summary of the key items, before tax.</w:t>
      </w:r>
    </w:p>
    <w:p>
      <w:pPr>
        <w:ind w:left="401" w:hanging="401"/>
        <w:spacing w:after="0" w:line="221" w:lineRule="auto"/>
        <w:tabs>
          <w:tab w:leader="none" w:pos="401"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additional information on the effect that these tax specific key items had on EPS, see the Adjusted Diluted EPS table previously disclosed in this MD&amp;A.</w:t>
      </w:r>
    </w:p>
    <w:p>
      <w:pPr>
        <w:ind w:left="401" w:hanging="401"/>
        <w:spacing w:after="0"/>
        <w:tabs>
          <w:tab w:leader="none" w:pos="401"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Due to rounding conventions, the effective tax rate presented may not recalculate precisely based on the numbers disclosed within this table.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45" w:name="page46"/>
    <w:bookmarkEnd w:id="45"/>
    <w:tbl>
      <w:tblPr>
        <w:tblLayout w:type="fixed"/>
        <w:tblInd w:w="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2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7"/>
          </w:tcPr>
          <w:p>
            <w:pPr>
              <w:jc w:val="right"/>
              <w:ind w:right="370"/>
              <w:spacing w:after="0"/>
              <w:rPr>
                <w:sz w:val="20"/>
                <w:szCs w:val="20"/>
                <w:color w:val="auto"/>
              </w:rPr>
            </w:pPr>
            <w:r>
              <w:rPr>
                <w:rFonts w:ascii="Arial" w:cs="Arial" w:eastAsia="Arial" w:hAnsi="Arial"/>
                <w:sz w:val="18"/>
                <w:szCs w:val="18"/>
                <w:color w:val="auto"/>
                <w:w w:val="94"/>
              </w:rPr>
              <w:t>Three months ended March 31</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7"/>
          </w:tcPr>
          <w:p>
            <w:pPr>
              <w:jc w:val="right"/>
              <w:ind w:right="470"/>
              <w:spacing w:after="0"/>
              <w:rPr>
                <w:sz w:val="20"/>
                <w:szCs w:val="20"/>
                <w:color w:val="auto"/>
              </w:rPr>
            </w:pPr>
            <w:r>
              <w:rPr>
                <w:rFonts w:ascii="Arial" w:cs="Arial" w:eastAsia="Arial" w:hAnsi="Arial"/>
                <w:sz w:val="18"/>
                <w:szCs w:val="18"/>
                <w:color w:val="auto"/>
                <w:w w:val="98"/>
              </w:rPr>
              <w:t>Six months ended March 31</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8"/>
              </w:rPr>
              <w:t>Change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87"/>
              </w:rPr>
              <w:t>Income (loss) from discontinued operation (net of taxes)</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Composites/Marl facility</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20" w:type="dxa"/>
            <w:vAlign w:val="bottom"/>
          </w:tcPr>
          <w:p>
            <w:pPr>
              <w:spacing w:after="0"/>
              <w:rPr>
                <w:sz w:val="19"/>
                <w:szCs w:val="19"/>
                <w:color w:val="auto"/>
              </w:rPr>
            </w:pPr>
          </w:p>
        </w:tc>
        <w:tc>
          <w:tcPr>
            <w:tcW w:w="42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Valvoline</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Water Technologies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Distribution</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Asbestos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1"/>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89"/>
              </w:rPr>
              <w:t>Gain (loss) on disposal of discontinued operations (net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of taxes)</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26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Composites/Marl facility</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1"/>
        <w:spacing w:after="0" w:line="259" w:lineRule="auto"/>
        <w:rPr>
          <w:sz w:val="20"/>
          <w:szCs w:val="20"/>
          <w:color w:val="auto"/>
        </w:rPr>
      </w:pPr>
      <w:r>
        <w:rPr>
          <w:rFonts w:ascii="Arial" w:cs="Arial" w:eastAsia="Arial" w:hAnsi="Arial"/>
          <w:sz w:val="19"/>
          <w:szCs w:val="19"/>
          <w:u w:val="single" w:color="auto"/>
          <w:color w:val="auto"/>
        </w:rPr>
        <w:t>Current Quarter -</w:t>
      </w:r>
      <w:r>
        <w:rPr>
          <w:rFonts w:ascii="Arial" w:cs="Arial" w:eastAsia="Arial" w:hAnsi="Arial"/>
          <w:sz w:val="19"/>
          <w:szCs w:val="19"/>
          <w:color w:val="auto"/>
        </w:rPr>
        <w:t xml:space="preserve"> As a result of the divestiture of the Composites segment and Marl facility, the related operating results have been reflected as discontinued operations (net of tax) within the Statements of Consolidated Comprehensive Income (Loss). See Note B for more information on this divestiture. In the current quarter, for the Maleic business component of the Composites business not sold to INEOS, the sales and pre-tax operating income included in discontinued operations were $17 million and $5 million, respectively. In the prior year quarter, the sales and pre-tax operating income included in discontinued operations were $284 million and $45 million, respectively for the Composites/Marl facility.</w:t>
      </w:r>
    </w:p>
    <w:p>
      <w:pPr>
        <w:spacing w:after="0" w:line="70"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activity for Valvoline, Water Technologies, Distribution and the Composites loss on sale during the current and prior quarters was related to post-closing adjustments.</w:t>
      </w:r>
    </w:p>
    <w:p>
      <w:pPr>
        <w:spacing w:after="0" w:line="69" w:lineRule="exact"/>
        <w:rPr>
          <w:sz w:val="20"/>
          <w:szCs w:val="20"/>
          <w:color w:val="auto"/>
        </w:rPr>
      </w:pPr>
    </w:p>
    <w:p>
      <w:pPr>
        <w:jc w:val="both"/>
        <w:ind w:left="1"/>
        <w:spacing w:after="0" w:line="259" w:lineRule="auto"/>
        <w:rPr>
          <w:sz w:val="20"/>
          <w:szCs w:val="20"/>
          <w:color w:val="auto"/>
        </w:rPr>
      </w:pPr>
      <w:r>
        <w:rPr>
          <w:rFonts w:ascii="Arial" w:cs="Arial" w:eastAsia="Arial" w:hAnsi="Arial"/>
          <w:sz w:val="19"/>
          <w:szCs w:val="19"/>
          <w:u w:val="single" w:color="auto"/>
          <w:color w:val="auto"/>
        </w:rPr>
        <w:t>Year-to-Date -</w:t>
      </w:r>
      <w:r>
        <w:rPr>
          <w:rFonts w:ascii="Arial" w:cs="Arial" w:eastAsia="Arial" w:hAnsi="Arial"/>
          <w:sz w:val="19"/>
          <w:szCs w:val="19"/>
          <w:color w:val="auto"/>
        </w:rPr>
        <w:t xml:space="preserve"> As a result of the divestiture of the Composites segment and Marl facility, the related operating results have been reflected as discontinued operations (net of tax) within the Statements of Consolidated Comprehensive Income (Loss). See Note B for more information on this divestiture. In the current year, for the Maleic business component of the Composites business not sold to INEOS, the sales and pre-tax operating income included in discontinued operations were $28 million and $7 million, respectively. In the prior year period, the sales and pre-tax operating income included in discontinued operations were $559 million and $81 million, respectively for the Composites/Marl facility.</w:t>
      </w:r>
    </w:p>
    <w:p>
      <w:pPr>
        <w:spacing w:after="0" w:line="70"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activity for Valvoline, Water Technologies, Distribution and the Composites loss on sale during the current and prior periods was related to post-closing adjustments.</w:t>
      </w:r>
    </w:p>
    <w:p>
      <w:pPr>
        <w:spacing w:after="0" w:line="6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Other comprehensive income (loss)</w:t>
      </w:r>
    </w:p>
    <w:p>
      <w:pPr>
        <w:spacing w:after="0" w:line="1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A comparative analysis of the components of other comprehensive income (loss) is provided below for the three and six months ended March 31, 2020 and 2019.</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620" w:type="dxa"/>
            <w:vAlign w:val="bottom"/>
            <w:tcBorders>
              <w:top w:val="single" w:sz="8" w:color="auto"/>
              <w:bottom w:val="single" w:sz="8" w:color="auto"/>
            </w:tcBorders>
            <w:gridSpan w:val="7"/>
          </w:tcPr>
          <w:p>
            <w:pPr>
              <w:jc w:val="right"/>
              <w:ind w:right="250"/>
              <w:spacing w:after="0"/>
              <w:rPr>
                <w:sz w:val="20"/>
                <w:szCs w:val="20"/>
                <w:color w:val="auto"/>
              </w:rPr>
            </w:pPr>
            <w:r>
              <w:rPr>
                <w:rFonts w:ascii="Arial" w:cs="Arial" w:eastAsia="Arial" w:hAnsi="Arial"/>
                <w:sz w:val="18"/>
                <w:szCs w:val="18"/>
                <w:color w:val="auto"/>
                <w:w w:val="91"/>
              </w:rPr>
              <w:t>Three months ended March 31</w:t>
            </w: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120" w:type="dxa"/>
            <w:vAlign w:val="bottom"/>
            <w:tcBorders>
              <w:top w:val="single" w:sz="8" w:color="auto"/>
              <w:bottom w:val="single" w:sz="8" w:color="auto"/>
            </w:tcBorders>
            <w:gridSpan w:val="7"/>
          </w:tcPr>
          <w:p>
            <w:pPr>
              <w:jc w:val="right"/>
              <w:spacing w:after="0"/>
              <w:rPr>
                <w:sz w:val="20"/>
                <w:szCs w:val="20"/>
                <w:color w:val="auto"/>
              </w:rPr>
            </w:pPr>
            <w:r>
              <w:rPr>
                <w:rFonts w:ascii="Arial" w:cs="Arial" w:eastAsia="Arial" w:hAnsi="Arial"/>
                <w:sz w:val="18"/>
                <w:szCs w:val="18"/>
                <w:color w:val="auto"/>
                <w:w w:val="92"/>
              </w:rPr>
              <w:t>Six months ended March 31</w:t>
            </w:r>
          </w:p>
        </w:tc>
        <w:tc>
          <w:tcPr>
            <w:tcW w:w="340" w:type="dxa"/>
            <w:vAlign w:val="bottom"/>
            <w:tcBorders>
              <w:top w:val="single" w:sz="8" w:color="auto"/>
              <w:bottom w:val="single" w:sz="8" w:color="auto"/>
            </w:tcBorders>
          </w:tcPr>
          <w:p>
            <w:pPr>
              <w:spacing w:after="0"/>
              <w:rPr>
                <w:sz w:val="21"/>
                <w:szCs w:val="2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85"/>
              </w:rPr>
              <w:t>Change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w w:val="91"/>
              </w:rPr>
              <w:t>Change</w:t>
            </w: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taxes)</w:t>
            </w:r>
          </w:p>
        </w:tc>
        <w:tc>
          <w:tcPr>
            <w:tcW w:w="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Unrealized translation gain (loss)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40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26</w:t>
            </w: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5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32</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Total other comprehensive income, net of tax, for the current quarter decreased $43 million compared to the prior year quarter as a result of the following components:</w:t>
      </w:r>
    </w:p>
    <w:p>
      <w:pPr>
        <w:spacing w:after="0" w:line="69" w:lineRule="exact"/>
        <w:rPr>
          <w:sz w:val="20"/>
          <w:szCs w:val="20"/>
          <w:color w:val="auto"/>
        </w:rPr>
      </w:pPr>
    </w:p>
    <w:p>
      <w:pPr>
        <w:jc w:val="both"/>
        <w:ind w:left="401" w:hanging="401"/>
        <w:spacing w:after="0" w:line="246" w:lineRule="auto"/>
        <w:tabs>
          <w:tab w:leader="none" w:pos="401"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 the three months ended March 31, 2020, the change in unrealized gain (loss) from foreign currency translation adjustments resulted in a loss of $52 million compared to $9 million for the three months ended March 31, 2019. The fluctuations in unrealized translation gains and losses are primarily due to translating foreign subsidiary financial statements from local currencies to U.S. Dollars.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57" w:right="739" w:bottom="1440" w:gutter="0" w:footer="0" w:header="0"/>
        </w:sectPr>
      </w:pPr>
    </w:p>
    <w:bookmarkStart w:id="46" w:name="page47"/>
    <w:bookmarkEnd w:id="46"/>
    <w:p>
      <w:pPr>
        <w:ind w:left="1"/>
        <w:spacing w:after="0" w:line="260"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Total other comprehensive income, net of tax, for the current period increased $32 million compared to the prior year period as a result of the following components:</w:t>
      </w:r>
    </w:p>
    <w:p>
      <w:pPr>
        <w:spacing w:after="0" w:line="69" w:lineRule="exact"/>
        <w:rPr>
          <w:sz w:val="20"/>
          <w:szCs w:val="20"/>
          <w:color w:val="auto"/>
        </w:rPr>
      </w:pPr>
    </w:p>
    <w:p>
      <w:pPr>
        <w:jc w:val="both"/>
        <w:ind w:left="401" w:hanging="401"/>
        <w:spacing w:after="0" w:line="246" w:lineRule="auto"/>
        <w:tabs>
          <w:tab w:leader="none" w:pos="401" w:val="left"/>
        </w:tabs>
        <w:numPr>
          <w:ilvl w:val="0"/>
          <w:numId w:val="34"/>
        </w:numPr>
        <w:rPr>
          <w:rFonts w:ascii="Arial" w:cs="Arial" w:eastAsia="Arial" w:hAnsi="Arial"/>
          <w:sz w:val="20"/>
          <w:szCs w:val="20"/>
          <w:color w:val="auto"/>
        </w:rPr>
      </w:pPr>
      <w:r>
        <w:rPr>
          <w:rFonts w:ascii="Arial" w:cs="Arial" w:eastAsia="Arial" w:hAnsi="Arial"/>
          <w:sz w:val="20"/>
          <w:szCs w:val="20"/>
          <w:color w:val="auto"/>
        </w:rPr>
        <w:t>For the six months ended March 31, 2020, the change in unrealized gain (loss) from foreign currency translation adjustments resulted in losses of $14 million compared to $40 million for the six months ended March 31, 2019. The fluctuations in unrealized translation gains and losses are primarily due to translating foreign subsidiary financial statements from local currencies to U.S. Dollars.</w:t>
      </w:r>
    </w:p>
    <w:p>
      <w:pPr>
        <w:spacing w:after="0" w:line="83" w:lineRule="exact"/>
        <w:rPr>
          <w:rFonts w:ascii="Arial" w:cs="Arial" w:eastAsia="Arial" w:hAnsi="Arial"/>
          <w:sz w:val="20"/>
          <w:szCs w:val="20"/>
          <w:color w:val="auto"/>
        </w:rPr>
      </w:pPr>
    </w:p>
    <w:p>
      <w:pPr>
        <w:ind w:left="401" w:hanging="401"/>
        <w:spacing w:after="0" w:line="287" w:lineRule="auto"/>
        <w:tabs>
          <w:tab w:leader="none" w:pos="401" w:val="left"/>
        </w:tabs>
        <w:numPr>
          <w:ilvl w:val="0"/>
          <w:numId w:val="34"/>
        </w:numPr>
        <w:rPr>
          <w:rFonts w:ascii="Arial" w:cs="Arial" w:eastAsia="Arial" w:hAnsi="Arial"/>
          <w:sz w:val="19"/>
          <w:szCs w:val="19"/>
          <w:color w:val="auto"/>
        </w:rPr>
      </w:pPr>
      <w:r>
        <w:rPr>
          <w:rFonts w:ascii="Arial" w:cs="Arial" w:eastAsia="Arial" w:hAnsi="Arial"/>
          <w:sz w:val="19"/>
          <w:szCs w:val="19"/>
          <w:color w:val="auto"/>
        </w:rPr>
        <w:t>For the six months ended March 31, 2019, the pension and postretirement obligation adjustment included $6 million of prior service costs recognized within other comprehensive income (loss) due to pension plan remeasurements.</w:t>
      </w:r>
    </w:p>
    <w:p>
      <w:pPr>
        <w:spacing w:after="0" w:line="44" w:lineRule="exact"/>
        <w:rPr>
          <w:sz w:val="20"/>
          <w:szCs w:val="20"/>
          <w:color w:val="auto"/>
        </w:rPr>
      </w:pPr>
    </w:p>
    <w:p>
      <w:pPr>
        <w:ind w:left="1"/>
        <w:spacing w:after="0"/>
        <w:rPr>
          <w:sz w:val="20"/>
          <w:szCs w:val="20"/>
          <w:color w:val="auto"/>
        </w:rPr>
      </w:pPr>
      <w:r>
        <w:rPr>
          <w:rFonts w:ascii="Arial" w:cs="Arial" w:eastAsia="Arial" w:hAnsi="Arial"/>
          <w:sz w:val="20"/>
          <w:szCs w:val="20"/>
          <w:b w:val="1"/>
          <w:bCs w:val="1"/>
          <w:i w:val="1"/>
          <w:iCs w:val="1"/>
          <w:color w:val="auto"/>
        </w:rPr>
        <w:t>Use of non-GAAP measures</w:t>
      </w:r>
    </w:p>
    <w:p>
      <w:pPr>
        <w:spacing w:after="0" w:line="10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8" w:lineRule="exact"/>
        <w:rPr>
          <w:sz w:val="20"/>
          <w:szCs w:val="20"/>
          <w:color w:val="auto"/>
        </w:rPr>
      </w:pPr>
    </w:p>
    <w:p>
      <w:pPr>
        <w:ind w:left="401" w:hanging="401"/>
        <w:spacing w:after="0" w:line="260" w:lineRule="auto"/>
        <w:tabs>
          <w:tab w:leader="none" w:pos="401" w:val="left"/>
        </w:tabs>
        <w:numPr>
          <w:ilvl w:val="0"/>
          <w:numId w:val="35"/>
        </w:numPr>
        <w:rPr>
          <w:rFonts w:ascii="Arial" w:cs="Arial" w:eastAsia="Arial" w:hAnsi="Arial"/>
          <w:sz w:val="20"/>
          <w:szCs w:val="20"/>
          <w:color w:val="auto"/>
        </w:rPr>
      </w:pPr>
      <w:r>
        <w:rPr>
          <w:rFonts w:ascii="Arial" w:cs="Arial" w:eastAsia="Arial" w:hAnsi="Arial"/>
          <w:sz w:val="20"/>
          <w:szCs w:val="20"/>
          <w:color w:val="auto"/>
        </w:rPr>
        <w:t>EBITDA – net income (loss), plus income tax expense (benefit), net interest and other expenses, and depreciation and amortization.</w:t>
      </w:r>
    </w:p>
    <w:p>
      <w:pPr>
        <w:spacing w:after="0" w:line="68" w:lineRule="exact"/>
        <w:rPr>
          <w:rFonts w:ascii="Arial" w:cs="Arial" w:eastAsia="Arial" w:hAnsi="Arial"/>
          <w:sz w:val="20"/>
          <w:szCs w:val="20"/>
          <w:color w:val="auto"/>
        </w:rPr>
      </w:pPr>
    </w:p>
    <w:p>
      <w:pPr>
        <w:jc w:val="both"/>
        <w:ind w:left="401" w:hanging="401"/>
        <w:spacing w:after="0" w:line="250" w:lineRule="auto"/>
        <w:tabs>
          <w:tab w:leader="none" w:pos="401" w:val="left"/>
        </w:tabs>
        <w:numPr>
          <w:ilvl w:val="0"/>
          <w:numId w:val="35"/>
        </w:numPr>
        <w:rPr>
          <w:rFonts w:ascii="Arial" w:cs="Arial" w:eastAsia="Arial" w:hAnsi="Arial"/>
          <w:sz w:val="20"/>
          <w:szCs w:val="20"/>
          <w:color w:val="auto"/>
        </w:rPr>
      </w:pPr>
      <w:r>
        <w:rPr>
          <w:rFonts w:ascii="Arial" w:cs="Arial" w:eastAsia="Arial" w:hAnsi="Arial"/>
          <w:sz w:val="20"/>
          <w:szCs w:val="20"/>
          <w:color w:val="auto"/>
        </w:rPr>
        <w:t>Adjusted EBITDA – EBITDA adjusted for noncontrolling interests, discontinued operations, net income (loss) on acquisitions and divestitures, other income and (expense) and key items (including the remeasurement gains and losses related to pension and other postretirement plans).</w:t>
      </w:r>
    </w:p>
    <w:p>
      <w:pPr>
        <w:spacing w:after="0" w:line="77" w:lineRule="exact"/>
        <w:rPr>
          <w:rFonts w:ascii="Arial" w:cs="Arial" w:eastAsia="Arial" w:hAnsi="Arial"/>
          <w:sz w:val="20"/>
          <w:szCs w:val="20"/>
          <w:color w:val="auto"/>
        </w:rPr>
      </w:pPr>
    </w:p>
    <w:p>
      <w:pPr>
        <w:ind w:left="401" w:hanging="401"/>
        <w:spacing w:after="0"/>
        <w:tabs>
          <w:tab w:leader="none" w:pos="401" w:val="left"/>
        </w:tabs>
        <w:numPr>
          <w:ilvl w:val="0"/>
          <w:numId w:val="35"/>
        </w:numPr>
        <w:rPr>
          <w:rFonts w:ascii="Arial" w:cs="Arial" w:eastAsia="Arial" w:hAnsi="Arial"/>
          <w:sz w:val="20"/>
          <w:szCs w:val="20"/>
          <w:color w:val="auto"/>
        </w:rPr>
      </w:pPr>
      <w:r>
        <w:rPr>
          <w:rFonts w:ascii="Arial" w:cs="Arial" w:eastAsia="Arial" w:hAnsi="Arial"/>
          <w:sz w:val="20"/>
          <w:szCs w:val="20"/>
          <w:color w:val="auto"/>
        </w:rPr>
        <w:t>Adjusted EBITDA margin – Adjusted EBITDA divided by sales.</w:t>
      </w:r>
    </w:p>
    <w:p>
      <w:pPr>
        <w:spacing w:after="0" w:line="107"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35"/>
        </w:numPr>
        <w:rPr>
          <w:rFonts w:ascii="Arial" w:cs="Arial" w:eastAsia="Arial" w:hAnsi="Arial"/>
          <w:sz w:val="20"/>
          <w:szCs w:val="20"/>
          <w:color w:val="auto"/>
        </w:rPr>
      </w:pPr>
      <w:r>
        <w:rPr>
          <w:rFonts w:ascii="Arial" w:cs="Arial" w:eastAsia="Arial" w:hAnsi="Arial"/>
          <w:sz w:val="20"/>
          <w:szCs w:val="20"/>
          <w:color w:val="auto"/>
        </w:rPr>
        <w:t>Adjusted diluted earnings per share (EPS) – income (loss) from continuing operations, adjusted for key items, net of tax, divided by the average outstanding diluted shares for the applicable period.</w:t>
      </w:r>
    </w:p>
    <w:p>
      <w:pPr>
        <w:spacing w:after="0" w:line="68" w:lineRule="exact"/>
        <w:rPr>
          <w:rFonts w:ascii="Arial" w:cs="Arial" w:eastAsia="Arial" w:hAnsi="Arial"/>
          <w:sz w:val="20"/>
          <w:szCs w:val="20"/>
          <w:color w:val="auto"/>
        </w:rPr>
      </w:pPr>
    </w:p>
    <w:p>
      <w:pPr>
        <w:ind w:left="401" w:hanging="401"/>
        <w:spacing w:after="0" w:line="316" w:lineRule="auto"/>
        <w:tabs>
          <w:tab w:leader="none" w:pos="4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diluted earnings per share (EPS) excluding intangibles amortization expense – Adjusted earnings per share adjusted for intangibles amortization expense net of tax, divided by the average outstanding diluted shares for the applicable period.</w:t>
      </w:r>
    </w:p>
    <w:p>
      <w:pPr>
        <w:spacing w:after="0" w:line="21" w:lineRule="exact"/>
        <w:rPr>
          <w:rFonts w:ascii="Arial" w:cs="Arial" w:eastAsia="Arial" w:hAnsi="Arial"/>
          <w:sz w:val="18"/>
          <w:szCs w:val="18"/>
          <w:color w:val="auto"/>
        </w:rPr>
      </w:pPr>
    </w:p>
    <w:p>
      <w:pPr>
        <w:ind w:left="401" w:hanging="401"/>
        <w:spacing w:after="0"/>
        <w:tabs>
          <w:tab w:leader="none" w:pos="401" w:val="left"/>
        </w:tabs>
        <w:numPr>
          <w:ilvl w:val="0"/>
          <w:numId w:val="35"/>
        </w:numPr>
        <w:rPr>
          <w:rFonts w:ascii="Arial" w:cs="Arial" w:eastAsia="Arial" w:hAnsi="Arial"/>
          <w:sz w:val="20"/>
          <w:szCs w:val="20"/>
          <w:color w:val="auto"/>
        </w:rPr>
      </w:pPr>
      <w:r>
        <w:rPr>
          <w:rFonts w:ascii="Arial" w:cs="Arial" w:eastAsia="Arial" w:hAnsi="Arial"/>
          <w:sz w:val="20"/>
          <w:szCs w:val="20"/>
          <w:color w:val="auto"/>
        </w:rPr>
        <w:t>Free cash flow – operating cash flows less capital expenditures and certain other adjustments as applicable.</w:t>
      </w:r>
    </w:p>
    <w:p>
      <w:pPr>
        <w:spacing w:after="0" w:line="108" w:lineRule="exact"/>
        <w:rPr>
          <w:sz w:val="20"/>
          <w:szCs w:val="20"/>
          <w:color w:val="auto"/>
        </w:rPr>
      </w:pPr>
    </w:p>
    <w:p>
      <w:pPr>
        <w:jc w:val="both"/>
        <w:ind w:left="1"/>
        <w:spacing w:after="0" w:line="270" w:lineRule="auto"/>
        <w:rPr>
          <w:sz w:val="20"/>
          <w:szCs w:val="20"/>
          <w:color w:val="auto"/>
        </w:rPr>
      </w:pPr>
      <w:r>
        <w:rPr>
          <w:rFonts w:ascii="Arial" w:cs="Arial" w:eastAsia="Arial" w:hAnsi="Arial"/>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68" w:lineRule="exact"/>
        <w:rPr>
          <w:sz w:val="20"/>
          <w:szCs w:val="20"/>
          <w:color w:val="auto"/>
        </w:rPr>
      </w:pPr>
    </w:p>
    <w:p>
      <w:pPr>
        <w:jc w:val="both"/>
        <w:ind w:left="1"/>
        <w:spacing w:after="0" w:line="282"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53" w:lineRule="exact"/>
        <w:rPr>
          <w:sz w:val="20"/>
          <w:szCs w:val="20"/>
          <w:color w:val="auto"/>
        </w:rPr>
      </w:pPr>
    </w:p>
    <w:p>
      <w:pPr>
        <w:jc w:val="both"/>
        <w:ind w:left="1"/>
        <w:spacing w:after="0" w:line="269" w:lineRule="auto"/>
        <w:rPr>
          <w:sz w:val="20"/>
          <w:szCs w:val="20"/>
          <w:color w:val="auto"/>
        </w:rPr>
      </w:pPr>
      <w:r>
        <w:rPr>
          <w:rFonts w:ascii="Arial" w:cs="Arial" w:eastAsia="Arial" w:hAnsi="Arial"/>
          <w:sz w:val="19"/>
          <w:szCs w:val="19"/>
          <w:color w:val="auto"/>
        </w:rPr>
        <w:t>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676" w:right="739" w:bottom="1440" w:gutter="0" w:footer="0" w:header="0"/>
        </w:sectPr>
      </w:pPr>
    </w:p>
    <w:bookmarkStart w:id="47" w:name="page48"/>
    <w:bookmarkEnd w:id="47"/>
    <w:p>
      <w:pPr>
        <w:jc w:val="both"/>
        <w:spacing w:after="0" w:line="243" w:lineRule="auto"/>
        <w:rPr>
          <w:sz w:val="20"/>
          <w:szCs w:val="20"/>
          <w:color w:val="auto"/>
        </w:rPr>
      </w:pPr>
      <w:r>
        <w:rPr>
          <w:rFonts w:ascii="Arial" w:cs="Arial" w:eastAsia="Arial" w:hAnsi="Arial"/>
          <w:sz w:val="20"/>
          <w:szCs w:val="20"/>
          <w:color w:val="auto"/>
        </w:rPr>
        <w:t>The free cash flow metric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8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Although Ashland may provide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6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2020 Credit Agreement are based on similar non-GAAP measures and are defined further in the sections that refer to this metric.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47" w:right="739" w:bottom="1440" w:gutter="0" w:footer="0" w:header="0"/>
        </w:sectPr>
      </w:pPr>
    </w:p>
    <w:bookmarkStart w:id="48" w:name="page49"/>
    <w:bookmarkEnd w:id="48"/>
    <w:p>
      <w:pPr>
        <w:ind w:left="1"/>
        <w:spacing w:after="0"/>
        <w:rPr>
          <w:sz w:val="20"/>
          <w:szCs w:val="20"/>
          <w:color w:val="auto"/>
        </w:rPr>
      </w:pPr>
      <w:r>
        <w:rPr>
          <w:rFonts w:ascii="Arial" w:cs="Arial" w:eastAsia="Arial" w:hAnsi="Arial"/>
          <w:sz w:val="20"/>
          <w:szCs w:val="20"/>
          <w:i w:val="1"/>
          <w:iCs w:val="1"/>
          <w:color w:val="auto"/>
        </w:rPr>
        <w:t>EBITDA and Adjusted EBITDA</w:t>
      </w:r>
    </w:p>
    <w:p>
      <w:pPr>
        <w:spacing w:after="0" w:line="108" w:lineRule="exact"/>
        <w:rPr>
          <w:sz w:val="20"/>
          <w:szCs w:val="20"/>
          <w:color w:val="auto"/>
        </w:rPr>
      </w:pPr>
    </w:p>
    <w:p>
      <w:pPr>
        <w:jc w:val="both"/>
        <w:ind w:left="1"/>
        <w:spacing w:after="0" w:line="258" w:lineRule="auto"/>
        <w:rPr>
          <w:sz w:val="20"/>
          <w:szCs w:val="20"/>
          <w:color w:val="auto"/>
        </w:rPr>
      </w:pPr>
      <w:r>
        <w:rPr>
          <w:rFonts w:ascii="Arial" w:cs="Arial" w:eastAsia="Arial" w:hAnsi="Arial"/>
          <w:sz w:val="19"/>
          <w:szCs w:val="19"/>
          <w:color w:val="auto"/>
        </w:rPr>
        <w:t>EBITDA totaled a loss of $414 million compared to an income of $136 million for the three months ended March 31, 2020 and 2019, respectively, and a loss of $335 million compared to an income of $229 million for the six months ended March 31, 2020 and 2019,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tbl>
      <w:tblPr>
        <w:tblLayout w:type="fixed"/>
        <w:tblInd w:w="1"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Three months ended</w:t>
            </w: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4"/>
          </w:tcPr>
          <w:p>
            <w:pPr>
              <w:jc w:val="right"/>
              <w:ind w:right="67"/>
              <w:spacing w:after="0"/>
              <w:rPr>
                <w:sz w:val="20"/>
                <w:szCs w:val="20"/>
                <w:color w:val="auto"/>
              </w:rPr>
            </w:pPr>
            <w:r>
              <w:rPr>
                <w:rFonts w:ascii="Arial" w:cs="Arial" w:eastAsia="Arial" w:hAnsi="Arial"/>
                <w:sz w:val="18"/>
                <w:szCs w:val="18"/>
                <w:color w:val="auto"/>
              </w:rPr>
              <w:t>Six months ended</w:t>
            </w:r>
          </w:p>
        </w:tc>
        <w:tc>
          <w:tcPr>
            <w:tcW w:w="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367"/>
              <w:spacing w:after="0"/>
              <w:rPr>
                <w:sz w:val="20"/>
                <w:szCs w:val="20"/>
                <w:color w:val="auto"/>
              </w:rPr>
            </w:pPr>
            <w:r>
              <w:rPr>
                <w:rFonts w:ascii="Arial" w:cs="Arial" w:eastAsia="Arial" w:hAnsi="Arial"/>
                <w:sz w:val="18"/>
                <w:szCs w:val="18"/>
                <w:color w:val="auto"/>
              </w:rPr>
              <w:t>March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40" w:type="dxa"/>
            <w:vAlign w:val="bottom"/>
            <w:tcBorders>
              <w:top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840" w:type="dxa"/>
            <w:vAlign w:val="bottom"/>
            <w:tcBorders>
              <w:top w:val="single" w:sz="8" w:color="auto"/>
            </w:tcBorders>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w:t>
            </w:r>
          </w:p>
        </w:tc>
        <w:tc>
          <w:tcPr>
            <w:tcW w:w="480" w:type="dxa"/>
            <w:vAlign w:val="bottom"/>
            <w:tcBorders>
              <w:top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gridSpan w:val="2"/>
            <w:shd w:val="clear" w:color="auto" w:fill="CFF0FC"/>
          </w:tcPr>
          <w:p>
            <w:pPr>
              <w:jc w:val="right"/>
              <w:ind w:right="507"/>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expense</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 and amortization (a)</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w w:val="98"/>
              </w:rPr>
              <w:t>Loss (income) from discontinued operations (net of tax)</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Key items included in EBITDA:</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Restructuring, separation and other costs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Proxy costs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Inventory adjustment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Accelerated depreciation</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Gain on pension and other postretirement plan</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remeasurements</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Net loss on divestitures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key items included in EBITDA</w:t>
            </w: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549</w:t>
            </w:r>
          </w:p>
        </w:tc>
        <w:tc>
          <w:tcPr>
            <w:tcW w:w="1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3"/>
        </w:trPr>
        <w:tc>
          <w:tcPr>
            <w:tcW w:w="46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2"/>
                <w:szCs w:val="22"/>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key items included in EBITDA</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549</w:t>
            </w:r>
          </w:p>
        </w:tc>
        <w:tc>
          <w:tcPr>
            <w:tcW w:w="84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680" w:type="dxa"/>
            <w:vAlign w:val="bottom"/>
            <w:gridSpan w:val="2"/>
          </w:tcPr>
          <w:p>
            <w:pPr>
              <w:jc w:val="right"/>
              <w:ind w:right="50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Accelerated amortization of debt issuance costs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Debt refinancing costs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loss on securities (b)</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 key items, before tax</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61" w:hanging="261"/>
        <w:spacing w:after="0"/>
        <w:tabs>
          <w:tab w:leader="none" w:pos="261" w:val="left"/>
        </w:tabs>
        <w:numPr>
          <w:ilvl w:val="0"/>
          <w:numId w:val="36"/>
        </w:numPr>
        <w:rPr>
          <w:rFonts w:ascii="Arial" w:cs="Arial" w:eastAsia="Arial" w:hAnsi="Arial"/>
          <w:sz w:val="13"/>
          <w:szCs w:val="13"/>
          <w:color w:val="auto"/>
        </w:rPr>
      </w:pPr>
      <w:r>
        <w:rPr>
          <w:rFonts w:ascii="Arial" w:cs="Arial" w:eastAsia="Arial" w:hAnsi="Arial"/>
          <w:sz w:val="13"/>
          <w:szCs w:val="13"/>
          <w:color w:val="auto"/>
        </w:rPr>
        <w:t>Excludes $20 million of accelerated depreciation for the three months ended March 31, 2019, and $39 million for the six months ended March 31, 2019 included as key items.</w:t>
      </w:r>
    </w:p>
    <w:p>
      <w:pPr>
        <w:spacing w:after="0" w:line="11" w:lineRule="exact"/>
        <w:rPr>
          <w:rFonts w:ascii="Arial" w:cs="Arial" w:eastAsia="Arial" w:hAnsi="Arial"/>
          <w:sz w:val="13"/>
          <w:szCs w:val="13"/>
          <w:color w:val="auto"/>
        </w:rPr>
      </w:pPr>
    </w:p>
    <w:p>
      <w:pPr>
        <w:jc w:val="both"/>
        <w:ind w:left="401" w:hanging="401"/>
        <w:spacing w:after="0" w:line="232" w:lineRule="auto"/>
        <w:tabs>
          <w:tab w:leader="none" w:pos="401" w:val="left"/>
        </w:tabs>
        <w:numPr>
          <w:ilvl w:val="0"/>
          <w:numId w:val="36"/>
        </w:numPr>
        <w:rPr>
          <w:rFonts w:ascii="Arial" w:cs="Arial" w:eastAsia="Arial" w:hAnsi="Arial"/>
          <w:sz w:val="14"/>
          <w:szCs w:val="14"/>
          <w:color w:val="auto"/>
        </w:rPr>
      </w:pPr>
      <w:r>
        <w:rPr>
          <w:rFonts w:ascii="Arial" w:cs="Arial" w:eastAsia="Arial" w:hAnsi="Arial"/>
          <w:sz w:val="14"/>
          <w:szCs w:val="14"/>
          <w:color w:val="auto"/>
        </w:rPr>
        <w:t>Due to the adoption of new accounting guidance in October 2018, the unrealized losses on certain investment securities directly impact earnings and are recorded within the net interest and other expense caption on the Statements of Consolidated Comprehensive Income (Loss). See Note E of the Notes to Condensed Consolidated Financial Statements for more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49" w:name="page50"/>
    <w:bookmarkEnd w:id="49"/>
    <w:p>
      <w:pPr>
        <w:ind w:left="400"/>
        <w:spacing w:after="0"/>
        <w:rPr>
          <w:sz w:val="20"/>
          <w:szCs w:val="20"/>
          <w:color w:val="auto"/>
        </w:rPr>
      </w:pPr>
      <w:r>
        <w:rPr>
          <w:rFonts w:ascii="Arial" w:cs="Arial" w:eastAsia="Arial" w:hAnsi="Arial"/>
          <w:sz w:val="20"/>
          <w:szCs w:val="20"/>
          <w:i w:val="1"/>
          <w:iCs w:val="1"/>
          <w:color w:val="auto"/>
        </w:rPr>
        <w:t>Diluted EPS and Adjusted Diluted EPS</w:t>
      </w:r>
    </w:p>
    <w:p>
      <w:pPr>
        <w:spacing w:after="0" w:line="108"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86"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7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7"/>
              <w:spacing w:after="0"/>
              <w:rPr>
                <w:sz w:val="20"/>
                <w:szCs w:val="20"/>
                <w:color w:val="auto"/>
              </w:rPr>
            </w:pPr>
            <w:r>
              <w:rPr>
                <w:rFonts w:ascii="Arial" w:cs="Arial" w:eastAsia="Arial" w:hAnsi="Arial"/>
                <w:sz w:val="18"/>
                <w:szCs w:val="18"/>
                <w:color w:val="auto"/>
              </w:rPr>
              <w:t>Three months ended</w:t>
            </w:r>
          </w:p>
        </w:tc>
        <w:tc>
          <w:tcPr>
            <w:tcW w:w="5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4"/>
          </w:tcPr>
          <w:p>
            <w:pPr>
              <w:jc w:val="right"/>
              <w:ind w:right="67"/>
              <w:spacing w:after="0"/>
              <w:rPr>
                <w:sz w:val="20"/>
                <w:szCs w:val="20"/>
                <w:color w:val="auto"/>
              </w:rPr>
            </w:pPr>
            <w:r>
              <w:rPr>
                <w:rFonts w:ascii="Arial" w:cs="Arial" w:eastAsia="Arial" w:hAnsi="Arial"/>
                <w:sz w:val="18"/>
                <w:szCs w:val="18"/>
                <w:color w:val="auto"/>
              </w:rPr>
              <w:t>Six months ended</w:t>
            </w:r>
          </w:p>
        </w:tc>
        <w:tc>
          <w:tcPr>
            <w:tcW w:w="64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8"/>
                <w:szCs w:val="18"/>
                <w:color w:val="auto"/>
              </w:rPr>
              <w:t>March 31</w:t>
            </w:r>
          </w:p>
        </w:tc>
        <w:tc>
          <w:tcPr>
            <w:tcW w:w="64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Diluted EPS from continuing operations (as reported)</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82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0.71</w:t>
            </w:r>
          </w:p>
        </w:tc>
        <w:tc>
          <w:tcPr>
            <w:tcW w:w="5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Key items, before tax:</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separation and other costs</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w:t>
            </w:r>
          </w:p>
        </w:tc>
      </w:tr>
      <w:tr>
        <w:trPr>
          <w:trHeight w:val="215"/>
        </w:trPr>
        <w:tc>
          <w:tcPr>
            <w:tcW w:w="20" w:type="dxa"/>
            <w:vAlign w:val="bottom"/>
          </w:tcPr>
          <w:p>
            <w:pPr>
              <w:spacing w:after="0"/>
              <w:rPr>
                <w:sz w:val="18"/>
                <w:szCs w:val="18"/>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Gain on pension and other postretirement plan</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remeasurements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0.08</w:t>
            </w:r>
          </w:p>
        </w:tc>
      </w:tr>
      <w:tr>
        <w:trPr>
          <w:trHeight w:val="229"/>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Legal settlement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Unrealized (gain) loss on securities</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0.05</w:t>
            </w:r>
          </w:p>
        </w:tc>
      </w:tr>
      <w:tr>
        <w:trPr>
          <w:trHeight w:val="229"/>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 impairment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Inventory adjustment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Accelerated amortization of debt issuance costs</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Debt refinancing costs</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0.97</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on divestitures</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0.05</w:t>
            </w: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Key items, before tax</w:t>
            </w: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Key items, after tax</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Tax specific key items:</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Deferred tax rate changes</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0.03</w:t>
            </w:r>
          </w:p>
        </w:tc>
      </w:tr>
      <w:tr>
        <w:trPr>
          <w:trHeight w:val="229"/>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One-time transition tax</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0.35</w:t>
            </w: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Restructuring and separation activity</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tax reform</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0.36</w:t>
            </w: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key items</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10.32</w:t>
            </w:r>
          </w:p>
        </w:tc>
        <w:tc>
          <w:tcPr>
            <w:tcW w:w="1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0.12</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1.38</w:t>
            </w:r>
          </w:p>
        </w:tc>
      </w:tr>
      <w:tr>
        <w:trPr>
          <w:trHeight w:val="263"/>
        </w:trPr>
        <w:tc>
          <w:tcPr>
            <w:tcW w:w="4740" w:type="dxa"/>
            <w:vAlign w:val="bottom"/>
            <w:gridSpan w:val="2"/>
          </w:tcPr>
          <w:p>
            <w:pPr>
              <w:spacing w:after="0"/>
              <w:rPr>
                <w:sz w:val="20"/>
                <w:szCs w:val="20"/>
                <w:color w:val="auto"/>
              </w:rPr>
            </w:pPr>
            <w:r>
              <w:rPr>
                <w:rFonts w:ascii="Arial" w:cs="Arial" w:eastAsia="Arial" w:hAnsi="Arial"/>
                <w:sz w:val="18"/>
                <w:szCs w:val="18"/>
                <w:color w:val="auto"/>
                <w:w w:val="96"/>
              </w:rPr>
              <w:t>Adjusted diluted EPS from continuing operations (non-GAAP)</w:t>
            </w:r>
          </w:p>
        </w:tc>
        <w:tc>
          <w:tcPr>
            <w:tcW w:w="18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0.84</w:t>
            </w:r>
          </w:p>
        </w:tc>
        <w:tc>
          <w:tcPr>
            <w:tcW w:w="140" w:type="dxa"/>
            <w:vAlign w:val="bottom"/>
          </w:tcPr>
          <w:p>
            <w:pPr>
              <w:spacing w:after="0"/>
              <w:rPr>
                <w:sz w:val="22"/>
                <w:szCs w:val="22"/>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0.83</w:t>
            </w:r>
          </w:p>
        </w:tc>
        <w:tc>
          <w:tcPr>
            <w:tcW w:w="140" w:type="dxa"/>
            <w:vAlign w:val="bottom"/>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0.97</w:t>
            </w:r>
          </w:p>
        </w:tc>
      </w:tr>
      <w:tr>
        <w:trPr>
          <w:trHeight w:val="210"/>
        </w:trPr>
        <w:tc>
          <w:tcPr>
            <w:tcW w:w="20" w:type="dxa"/>
            <w:vAlign w:val="bottom"/>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expense adjustment (net of tax) (c)</w:t>
            </w:r>
          </w:p>
        </w:tc>
        <w:tc>
          <w:tcPr>
            <w:tcW w:w="1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0.28</w:t>
            </w:r>
          </w:p>
        </w:tc>
        <w:tc>
          <w:tcPr>
            <w:tcW w:w="1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0.25</w:t>
            </w:r>
          </w:p>
        </w:tc>
        <w:tc>
          <w:tcPr>
            <w:tcW w:w="1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0.56</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0.51</w:t>
            </w:r>
          </w:p>
        </w:tc>
      </w:tr>
      <w:tr>
        <w:trPr>
          <w:trHeight w:val="209"/>
        </w:trPr>
        <w:tc>
          <w:tcPr>
            <w:tcW w:w="4740" w:type="dxa"/>
            <w:vAlign w:val="bottom"/>
            <w:gridSpan w:val="2"/>
          </w:tcPr>
          <w:p>
            <w:pPr>
              <w:spacing w:after="0"/>
              <w:rPr>
                <w:sz w:val="20"/>
                <w:szCs w:val="20"/>
                <w:color w:val="auto"/>
              </w:rPr>
            </w:pPr>
            <w:r>
              <w:rPr>
                <w:rFonts w:ascii="Arial" w:cs="Arial" w:eastAsia="Arial" w:hAnsi="Arial"/>
                <w:sz w:val="18"/>
                <w:szCs w:val="18"/>
                <w:color w:val="auto"/>
                <w:w w:val="96"/>
              </w:rPr>
              <w:t>Adjusted diluted EPS from continuing operations (non-GAAP)</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excluding intangibles amortization expense</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82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5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660" w:type="dxa"/>
            <w:vAlign w:val="bottom"/>
            <w:gridSpan w:val="2"/>
          </w:tcPr>
          <w:p>
            <w:pPr>
              <w:jc w:val="right"/>
              <w:ind w:right="48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1.48</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800" w:hanging="401"/>
        <w:spacing w:after="0"/>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identified above.</w:t>
      </w:r>
    </w:p>
    <w:p>
      <w:pPr>
        <w:ind w:left="800" w:hanging="401"/>
        <w:spacing w:after="0" w:line="221" w:lineRule="auto"/>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(benefit) discussion within the following caption review section.</w:t>
      </w:r>
    </w:p>
    <w:p>
      <w:pPr>
        <w:ind w:left="800" w:hanging="401"/>
        <w:spacing w:after="0" w:line="237" w:lineRule="auto"/>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Amortization expense adjustment (net of tax) tax rates were 20% for the three and six months ended March 31, 2020, and 25% for the three and six months ended March 31, 2019.</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REPORTABLE SEGMENT REVIEW</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During the second quarter of fiscal year 2020, Ashland changed the manner in which it manages the business moving from a functionally led to a business led organization. This change recognizes that Ashland has a diverse portfolio of businesses with different value propositions for the markets Ashland</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47" w:right="739" w:bottom="1440" w:gutter="0" w:footer="0" w:header="0"/>
        </w:sectPr>
      </w:pPr>
    </w:p>
    <w:bookmarkStart w:id="50" w:name="page51"/>
    <w:bookmarkEnd w:id="50"/>
    <w:p>
      <w:pPr>
        <w:jc w:val="both"/>
        <w:ind w:left="400" w:right="400"/>
        <w:spacing w:after="0" w:line="243" w:lineRule="auto"/>
        <w:rPr>
          <w:sz w:val="20"/>
          <w:szCs w:val="20"/>
          <w:color w:val="auto"/>
        </w:rPr>
      </w:pPr>
      <w:r>
        <w:rPr>
          <w:rFonts w:ascii="Arial" w:cs="Arial" w:eastAsia="Arial" w:hAnsi="Arial"/>
          <w:sz w:val="20"/>
          <w:szCs w:val="20"/>
          <w:color w:val="auto"/>
        </w:rPr>
        <w:t>serves. The organizational change allows Ashland to align its business models, resources and cost structure to the specific needs of each business and enable greater ownership and accountability for both short- and long-term performance. Ashland has realigned its segment reporting structure commensurate with this organizational change. As a result, Ashland’s five reportable segments include the consumer specialty businesses: Life Sciences and Personal Care &amp; Household; the industrial specialty businesses: Specialty Additives and Performance Adhesives; and Intermediates and Solvents. Corporate includes corporate governance activities and certain legacy matters. The historical segment information has been recast to conform to the current segment structure.</w:t>
      </w:r>
    </w:p>
    <w:p>
      <w:pPr>
        <w:spacing w:after="0" w:line="85" w:lineRule="exact"/>
        <w:rPr>
          <w:sz w:val="20"/>
          <w:szCs w:val="20"/>
          <w:color w:val="auto"/>
        </w:rPr>
      </w:pPr>
    </w:p>
    <w:p>
      <w:pPr>
        <w:jc w:val="both"/>
        <w:ind w:left="400" w:right="400"/>
        <w:spacing w:after="0" w:line="270"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charges in the current fiscal year for certain corporate governance costs, which were previously allocated. These costs are now reflected in Unallocated and Other for all periods presented.</w:t>
      </w:r>
    </w:p>
    <w:p>
      <w:pPr>
        <w:spacing w:after="0" w:line="68"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table discloses sales, operating income and depreciation and amortization by reportable segment for the three and six months ended March 31, 2020 and 2019.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3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3"/>
          </w:tcPr>
          <w:p>
            <w:pPr>
              <w:jc w:val="right"/>
              <w:ind w:right="147"/>
              <w:spacing w:after="0"/>
              <w:rPr>
                <w:sz w:val="20"/>
                <w:szCs w:val="20"/>
                <w:color w:val="auto"/>
              </w:rPr>
            </w:pPr>
            <w:r>
              <w:rPr>
                <w:rFonts w:ascii="Arial" w:cs="Arial" w:eastAsia="Arial" w:hAnsi="Arial"/>
                <w:sz w:val="18"/>
                <w:szCs w:val="18"/>
                <w:color w:val="auto"/>
              </w:rPr>
              <w:t>Three months ended</w:t>
            </w:r>
          </w:p>
        </w:tc>
        <w:tc>
          <w:tcPr>
            <w:tcW w:w="6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3"/>
          </w:tcPr>
          <w:p>
            <w:pPr>
              <w:jc w:val="right"/>
              <w:ind w:right="7"/>
              <w:spacing w:after="0"/>
              <w:rPr>
                <w:sz w:val="20"/>
                <w:szCs w:val="20"/>
                <w:color w:val="auto"/>
              </w:rPr>
            </w:pPr>
            <w:r>
              <w:rPr>
                <w:rFonts w:ascii="Arial" w:cs="Arial" w:eastAsia="Arial" w:hAnsi="Arial"/>
                <w:sz w:val="18"/>
                <w:szCs w:val="18"/>
                <w:color w:val="auto"/>
              </w:rPr>
              <w:t>Six months ended</w:t>
            </w:r>
          </w:p>
        </w:tc>
        <w:tc>
          <w:tcPr>
            <w:tcW w:w="6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547"/>
              <w:spacing w:after="0"/>
              <w:rPr>
                <w:sz w:val="20"/>
                <w:szCs w:val="20"/>
                <w:color w:val="auto"/>
              </w:rPr>
            </w:pPr>
            <w:r>
              <w:rPr>
                <w:rFonts w:ascii="Arial" w:cs="Arial" w:eastAsia="Arial" w:hAnsi="Arial"/>
                <w:sz w:val="18"/>
                <w:szCs w:val="18"/>
                <w:color w:val="auto"/>
              </w:rPr>
              <w:t>March 31</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8"/>
                <w:szCs w:val="18"/>
                <w:color w:val="auto"/>
              </w:rPr>
              <w:t>March 31</w:t>
            </w:r>
          </w:p>
        </w:tc>
        <w:tc>
          <w:tcPr>
            <w:tcW w:w="6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12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i w:val="1"/>
                <w:iCs w:val="1"/>
                <w:color w:val="auto"/>
              </w:rPr>
              <w:t>Life Sciences</w:t>
            </w:r>
          </w:p>
        </w:tc>
        <w:tc>
          <w:tcPr>
            <w:tcW w:w="15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96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72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Personal Care &amp; Household</w:t>
            </w:r>
          </w:p>
        </w:tc>
        <w:tc>
          <w:tcPr>
            <w:tcW w:w="1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337</w:t>
            </w:r>
          </w:p>
        </w:tc>
        <w:tc>
          <w:tcPr>
            <w:tcW w:w="400" w:type="dxa"/>
            <w:vAlign w:val="bottom"/>
          </w:tcPr>
          <w:p>
            <w:pPr>
              <w:spacing w:after="0"/>
              <w:rPr>
                <w:sz w:val="19"/>
                <w:szCs w:val="19"/>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color w:val="auto"/>
              </w:rPr>
              <w:t>Consumer Specialties</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Specialty Additives</w:t>
            </w:r>
          </w:p>
        </w:tc>
        <w:tc>
          <w:tcPr>
            <w:tcW w:w="1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169</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316</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Performance Adhesives</w:t>
            </w:r>
          </w:p>
        </w:tc>
        <w:tc>
          <w:tcPr>
            <w:tcW w:w="1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Industrial Specialties</w:t>
            </w:r>
          </w:p>
        </w:tc>
        <w:tc>
          <w:tcPr>
            <w:tcW w:w="1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487</w:t>
            </w:r>
          </w:p>
        </w:tc>
        <w:tc>
          <w:tcPr>
            <w:tcW w:w="400" w:type="dxa"/>
            <w:vAlign w:val="bottom"/>
          </w:tcPr>
          <w:p>
            <w:pPr>
              <w:spacing w:after="0"/>
              <w:rPr>
                <w:sz w:val="19"/>
                <w:szCs w:val="19"/>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i w:val="1"/>
                <w:iCs w:val="1"/>
                <w:color w:val="auto"/>
              </w:rPr>
              <w:t>Intermediates and Solvents</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Intersegment sales (a)</w:t>
            </w:r>
          </w:p>
        </w:tc>
        <w:tc>
          <w:tcPr>
            <w:tcW w:w="1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r>
      <w:tr>
        <w:trPr>
          <w:trHeight w:val="263"/>
        </w:trPr>
        <w:tc>
          <w:tcPr>
            <w:tcW w:w="420" w:type="dxa"/>
            <w:vAlign w:val="bottom"/>
          </w:tcPr>
          <w:p>
            <w:pPr>
              <w:spacing w:after="0"/>
              <w:rPr>
                <w:sz w:val="22"/>
                <w:szCs w:val="22"/>
                <w:color w:val="auto"/>
              </w:rPr>
            </w:pPr>
          </w:p>
        </w:tc>
        <w:tc>
          <w:tcPr>
            <w:tcW w:w="332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667</w:t>
            </w:r>
          </w:p>
        </w:tc>
        <w:tc>
          <w:tcPr>
            <w:tcW w:w="1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1,143</w:t>
            </w:r>
          </w:p>
        </w:tc>
        <w:tc>
          <w:tcPr>
            <w:tcW w:w="12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1,243</w:t>
            </w:r>
          </w:p>
        </w:tc>
        <w:tc>
          <w:tcPr>
            <w:tcW w:w="400" w:type="dxa"/>
            <w:vAlign w:val="bottom"/>
          </w:tcPr>
          <w:p>
            <w:pPr>
              <w:spacing w:after="0"/>
              <w:rPr>
                <w:sz w:val="22"/>
                <w:szCs w:val="22"/>
                <w:color w:val="auto"/>
              </w:rPr>
            </w:pPr>
          </w:p>
        </w:tc>
      </w:tr>
      <w:tr>
        <w:trPr>
          <w:trHeight w:val="210"/>
        </w:trPr>
        <w:tc>
          <w:tcPr>
            <w:tcW w:w="42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4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i w:val="1"/>
                <w:iCs w:val="1"/>
                <w:color w:val="auto"/>
              </w:rPr>
              <w:t>Life Sciences</w:t>
            </w:r>
          </w:p>
        </w:tc>
        <w:tc>
          <w:tcPr>
            <w:tcW w:w="15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96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72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Personal Care &amp; Household</w:t>
            </w:r>
          </w:p>
        </w:tc>
        <w:tc>
          <w:tcPr>
            <w:tcW w:w="1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color w:val="auto"/>
              </w:rPr>
              <w:t>Consumer Specialties</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Specialty Additives</w:t>
            </w:r>
          </w:p>
        </w:tc>
        <w:tc>
          <w:tcPr>
            <w:tcW w:w="1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Performance Adhesives</w:t>
            </w:r>
          </w:p>
        </w:tc>
        <w:tc>
          <w:tcPr>
            <w:tcW w:w="1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Industrial Specialties</w:t>
            </w:r>
          </w:p>
        </w:tc>
        <w:tc>
          <w:tcPr>
            <w:tcW w:w="1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i w:val="1"/>
                <w:iCs w:val="1"/>
                <w:color w:val="auto"/>
              </w:rPr>
              <w:t>Intermediates and Solvents</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Unallocated and other</w:t>
            </w:r>
          </w:p>
        </w:tc>
        <w:tc>
          <w:tcPr>
            <w:tcW w:w="1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7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1" w:name="page52"/>
    <w:bookmarkEnd w:id="51"/>
    <w:tbl>
      <w:tblPr>
        <w:tblLayout w:type="fixed"/>
        <w:tblInd w:w="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expense</w:t>
            </w:r>
          </w:p>
        </w:tc>
        <w:tc>
          <w:tcPr>
            <w:tcW w:w="1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i w:val="1"/>
                <w:iCs w:val="1"/>
                <w:color w:val="auto"/>
              </w:rPr>
              <w:t>Life Sciences</w:t>
            </w:r>
          </w:p>
        </w:tc>
        <w:tc>
          <w:tcPr>
            <w:tcW w:w="180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6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660" w:type="dxa"/>
            <w:vAlign w:val="bottom"/>
            <w:gridSpan w:val="3"/>
          </w:tcPr>
          <w:p>
            <w:pPr>
              <w:jc w:val="right"/>
              <w:ind w:right="38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Personal Care &amp; Household</w:t>
            </w:r>
          </w:p>
        </w:tc>
        <w:tc>
          <w:tcPr>
            <w:tcW w:w="1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Consumer Specialties</w:t>
            </w: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Specialty Additives</w:t>
            </w:r>
          </w:p>
        </w:tc>
        <w:tc>
          <w:tcPr>
            <w:tcW w:w="13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Performance Adhesives</w:t>
            </w:r>
          </w:p>
        </w:tc>
        <w:tc>
          <w:tcPr>
            <w:tcW w:w="13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Industrial Specialties</w:t>
            </w:r>
          </w:p>
        </w:tc>
        <w:tc>
          <w:tcPr>
            <w:tcW w:w="1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i w:val="1"/>
                <w:iCs w:val="1"/>
                <w:color w:val="auto"/>
              </w:rPr>
              <w:t>Intermediates and Solvents</w:t>
            </w: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Unallocated and other</w:t>
            </w:r>
          </w:p>
        </w:tc>
        <w:tc>
          <w:tcPr>
            <w:tcW w:w="1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40" w:type="dxa"/>
            <w:vAlign w:val="bottom"/>
            <w:tcBorders>
              <w:bottom w:val="single" w:sz="8" w:color="CFF0FC"/>
            </w:tcBorders>
          </w:tcPr>
          <w:p>
            <w:pPr>
              <w:spacing w:after="0"/>
              <w:rPr>
                <w:sz w:val="22"/>
                <w:szCs w:val="22"/>
                <w:color w:val="auto"/>
              </w:rPr>
            </w:pPr>
          </w:p>
        </w:tc>
        <w:tc>
          <w:tcPr>
            <w:tcW w:w="132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 expense</w:t>
            </w:r>
          </w:p>
        </w:tc>
        <w:tc>
          <w:tcPr>
            <w:tcW w:w="1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i w:val="1"/>
                <w:iCs w:val="1"/>
                <w:color w:val="auto"/>
              </w:rPr>
              <w:t>Life Sciences</w:t>
            </w:r>
          </w:p>
        </w:tc>
        <w:tc>
          <w:tcPr>
            <w:tcW w:w="180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6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660" w:type="dxa"/>
            <w:vAlign w:val="bottom"/>
            <w:gridSpan w:val="3"/>
          </w:tcPr>
          <w:p>
            <w:pPr>
              <w:jc w:val="right"/>
              <w:ind w:right="38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Personal Care &amp; Household</w:t>
            </w:r>
          </w:p>
        </w:tc>
        <w:tc>
          <w:tcPr>
            <w:tcW w:w="1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Consumer Specialties</w:t>
            </w: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Specialty Additives</w:t>
            </w:r>
          </w:p>
        </w:tc>
        <w:tc>
          <w:tcPr>
            <w:tcW w:w="13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Performance Adhesives</w:t>
            </w:r>
          </w:p>
        </w:tc>
        <w:tc>
          <w:tcPr>
            <w:tcW w:w="13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Industrial Specialties</w:t>
            </w:r>
          </w:p>
        </w:tc>
        <w:tc>
          <w:tcPr>
            <w:tcW w:w="1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i w:val="1"/>
                <w:iCs w:val="1"/>
                <w:color w:val="auto"/>
              </w:rPr>
              <w:t>Intermediates and Solvents</w:t>
            </w: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3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(b) (c)</w:t>
            </w:r>
          </w:p>
        </w:tc>
        <w:tc>
          <w:tcPr>
            <w:tcW w:w="1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i w:val="1"/>
                <w:iCs w:val="1"/>
                <w:color w:val="auto"/>
              </w:rPr>
              <w:t>Life Sciences</w:t>
            </w:r>
          </w:p>
        </w:tc>
        <w:tc>
          <w:tcPr>
            <w:tcW w:w="180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6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660" w:type="dxa"/>
            <w:vAlign w:val="bottom"/>
            <w:gridSpan w:val="3"/>
          </w:tcPr>
          <w:p>
            <w:pPr>
              <w:jc w:val="right"/>
              <w:ind w:right="38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Personal Care &amp; Household</w:t>
            </w:r>
          </w:p>
        </w:tc>
        <w:tc>
          <w:tcPr>
            <w:tcW w:w="1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Consumer Specialties</w:t>
            </w: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Specialty Additives</w:t>
            </w:r>
          </w:p>
        </w:tc>
        <w:tc>
          <w:tcPr>
            <w:tcW w:w="13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Performance Adhesives</w:t>
            </w:r>
          </w:p>
        </w:tc>
        <w:tc>
          <w:tcPr>
            <w:tcW w:w="13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Industrial Specialties</w:t>
            </w:r>
          </w:p>
        </w:tc>
        <w:tc>
          <w:tcPr>
            <w:tcW w:w="1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i w:val="1"/>
                <w:iCs w:val="1"/>
                <w:color w:val="auto"/>
              </w:rPr>
              <w:t>Intermediates and Solvents</w:t>
            </w: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Unallocated and other</w:t>
            </w:r>
          </w:p>
        </w:tc>
        <w:tc>
          <w:tcPr>
            <w:tcW w:w="1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(329)</w:t>
            </w:r>
          </w:p>
        </w:tc>
        <w:tc>
          <w:tcPr>
            <w:tcW w:w="160" w:type="dxa"/>
            <w:vAlign w:val="bottom"/>
            <w:gridSpan w:val="2"/>
          </w:tcPr>
          <w:p>
            <w:pPr>
              <w:spacing w:after="0"/>
              <w:rPr>
                <w:sz w:val="19"/>
                <w:szCs w:val="19"/>
                <w:color w:val="auto"/>
              </w:rPr>
            </w:pP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1" w:hanging="401"/>
        <w:spacing w:after="0"/>
        <w:tabs>
          <w:tab w:leader="none" w:pos="401"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Intersegment sales are accounted for at prices that approximate fair value.</w:t>
      </w:r>
    </w:p>
    <w:p>
      <w:pPr>
        <w:ind w:left="401" w:right="200" w:hanging="401"/>
        <w:spacing w:after="0" w:line="221" w:lineRule="auto"/>
        <w:tabs>
          <w:tab w:leader="none" w:pos="401"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ind w:left="401" w:hanging="401"/>
        <w:spacing w:after="0"/>
        <w:tabs>
          <w:tab w:leader="none" w:pos="401"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$20 million of accelerated depreciation for the three months ended March 31, 2019 and $39 million for the six months ended March 31, 2019.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77" w:right="73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Consumer Specialties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Consumer Specialties group is comprised of the following 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Life Sciences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provide custom formulation, toll processing and particle engineering solutions. Customers include pharmaceutical, food, beverage, nutraceuticals and supplements manufacturers, hospitals and radiologists and industrial manufacturers.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Personal Care &amp; Household</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Personal Care &amp; Household is comprised of biofunctionals, preservatives, skin care, sun care, oral care, hair care and household. These businesses have a broad range of nature-based, biodegradable, and 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March 2020 quarter compared to March 2019 quarter</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Consumer Specialties’ sales decreased $36 million to $343 million in the current quarter. Personal Care &amp; Household and Life Sciences represented $24 million and $12 million of the decrease, respectively. Lower volume, unfavorable currency exchange, plant realignment and lower pricing decreased sales by $23 million, $4 million, $6 million and $3 million, respectively.</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Operating income/loss decreased $358 million to a loss of $300 million for the current quarter. Personal Care &amp; Household recorded a $336 million loss, mostly due to a goodwill impairment, while Life Sciences recorded a $36 million operating income, up $3 million for the prior year quarter. Goodwill impairment, lower volume and unfavorable foreign exchange decreased operating income by $356 million, $8 million and $2 million, respectively. Those decreases were partially offset by favorable price/mix and favorable costs which increased operating income/loss by $6 million and $2 million, respectively. Current quarter EBITDA decreased $358 to a loss of $266 million, a $317 million loss in Personal Care &amp; Household and a $51 million income in Life Sciences, while Adjusted EBITDA decreased $1 million to $91 million, of which $52 million and $39 million originated from Life Sciences and Personal Care &amp; Household, respectively. Adjusted EBITDA margin increased 2.2 percentage points in the current quarter to 26.5%.</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2020 year-to-date compared to fiscal 2019 year-to-date</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Consumer Specialties’ sales decreased $67 million to $636 million in the current period. Personal Care &amp; Household and Life Sciences represented $26 million and $41 million of the decrease, respectively. Lower volume, unfavorable currency exchange, plant restructuring and lower pricing decreased sales by $48 million, $7 million, $10 million and $2 million, respectively.</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Operating income/loss decreased $366 million to a loss of $268 million for the current period. Personal Care &amp; Household recorded a $326 million loss, mostly due to a goodwill impairment, while Life Sciences recorded a $58 million operating income, up $2 million for the prior year quarter. Goodwill impairments, lower volume and unfavorable foreign exchange decreased operating income by $356 million, $17 million and $3 million, respectively. Those decreases were partially offset by lower costs and favorable price/mix which increased operating income/loss by $2 million and $8 million, respectively. Current year EBITDA decreased $367 to a loss of $200 million, a $288 million loss in Personal Care &amp; Household and a $88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576" w:right="739" w:bottom="1440" w:gutter="0" w:footer="0" w:header="0"/>
        </w:sectPr>
      </w:pPr>
    </w:p>
    <w:bookmarkStart w:id="53" w:name="page54"/>
    <w:bookmarkEnd w:id="53"/>
    <w:p>
      <w:pPr>
        <w:jc w:val="both"/>
        <w:ind w:left="400" w:right="400"/>
        <w:spacing w:after="0" w:line="250" w:lineRule="auto"/>
        <w:rPr>
          <w:sz w:val="20"/>
          <w:szCs w:val="20"/>
          <w:color w:val="auto"/>
        </w:rPr>
      </w:pPr>
      <w:r>
        <w:rPr>
          <w:rFonts w:ascii="Arial" w:cs="Arial" w:eastAsia="Arial" w:hAnsi="Arial"/>
          <w:sz w:val="20"/>
          <w:szCs w:val="20"/>
          <w:color w:val="auto"/>
        </w:rPr>
        <w:t>million income in Life Sciences, while Adjusted EBITDA decreased $10 million to $157 million, of which $89 million and $68 million originated from Life Sciences and Personal Care &amp; Household, respectively. Adjusted EBITDA margin increased 0.9 percentage points in the current period to 24.7%.</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400" w:right="400"/>
        <w:spacing w:after="0" w:line="256" w:lineRule="auto"/>
        <w:rPr>
          <w:sz w:val="20"/>
          <w:szCs w:val="20"/>
          <w:color w:val="auto"/>
        </w:rPr>
      </w:pPr>
      <w:r>
        <w:rPr>
          <w:rFonts w:ascii="Arial" w:cs="Arial" w:eastAsia="Arial" w:hAnsi="Arial"/>
          <w:sz w:val="19"/>
          <w:szCs w:val="19"/>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76" w:lineRule="exact"/>
        <w:rPr>
          <w:sz w:val="20"/>
          <w:szCs w:val="20"/>
          <w:color w:val="auto"/>
        </w:rPr>
      </w:pPr>
    </w:p>
    <w:p>
      <w:pPr>
        <w:jc w:val="both"/>
        <w:ind w:left="400" w:right="400"/>
        <w:spacing w:after="0" w:line="282" w:lineRule="auto"/>
        <w:rPr>
          <w:sz w:val="20"/>
          <w:szCs w:val="20"/>
          <w:color w:val="auto"/>
        </w:rPr>
      </w:pPr>
      <w:r>
        <w:rPr>
          <w:rFonts w:ascii="Arial" w:cs="Arial" w:eastAsia="Arial" w:hAnsi="Arial"/>
          <w:sz w:val="18"/>
          <w:szCs w:val="18"/>
          <w:color w:val="auto"/>
        </w:rPr>
        <w:t>The following EBITDA presentation for the three and six months ended March 31, 2020 and 2019 is provided as a means to enhance the understanding of financial measurements that Ashland has internally determined to be relevant measures of comparison for the results of Consumer Specialties. The key items during the three and six months ended March 31, 2020 related to a goodwill impairment of $356 million for Personal Care &amp; Household and $1 million in restructuring costs for Life Sciences.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29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Life Sciences</w:t>
            </w:r>
          </w:p>
        </w:tc>
        <w:tc>
          <w:tcPr>
            <w:tcW w:w="4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gridSpan w:val="5"/>
          </w:tcPr>
          <w:p>
            <w:pPr>
              <w:jc w:val="right"/>
              <w:ind w:right="70"/>
              <w:spacing w:after="0"/>
              <w:rPr>
                <w:sz w:val="20"/>
                <w:szCs w:val="20"/>
                <w:color w:val="auto"/>
              </w:rPr>
            </w:pPr>
            <w:r>
              <w:rPr>
                <w:rFonts w:ascii="Arial" w:cs="Arial" w:eastAsia="Arial" w:hAnsi="Arial"/>
                <w:sz w:val="18"/>
                <w:szCs w:val="18"/>
                <w:color w:val="auto"/>
                <w:w w:val="91"/>
              </w:rPr>
              <w:t>Personal Care &amp; Household</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1"/>
              </w:rPr>
              <w:t>Consumer Specialties</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color w:val="auto"/>
                <w:w w:val="90"/>
              </w:rPr>
              <w:t>Three months ended March 31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Borders>
              <w:top w:val="single" w:sz="8" w:color="auto"/>
            </w:tcBorders>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36</w:t>
            </w:r>
          </w:p>
        </w:tc>
        <w:tc>
          <w:tcPr>
            <w:tcW w:w="600" w:type="dxa"/>
            <w:vAlign w:val="bottom"/>
            <w:tcBorders>
              <w:top w:val="single" w:sz="8" w:color="auto"/>
            </w:tcBorders>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520" w:type="dxa"/>
            <w:vAlign w:val="bottom"/>
            <w:tcBorders>
              <w:top w:val="single" w:sz="8" w:color="auto"/>
            </w:tcBorders>
            <w:gridSpan w:val="3"/>
            <w:shd w:val="clear" w:color="auto" w:fill="CFF0FC"/>
          </w:tcPr>
          <w:p>
            <w:pPr>
              <w:jc w:val="right"/>
              <w:ind w:right="17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8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7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ind w:left="400"/>
              <w:spacing w:after="0"/>
              <w:rPr>
                <w:sz w:val="20"/>
                <w:szCs w:val="20"/>
                <w:color w:val="auto"/>
              </w:rPr>
            </w:pPr>
            <w:r>
              <w:rPr>
                <w:rFonts w:ascii="Arial" w:cs="Arial" w:eastAsia="Arial" w:hAnsi="Arial"/>
                <w:sz w:val="18"/>
                <w:szCs w:val="18"/>
                <w:color w:val="auto"/>
              </w:rPr>
              <w:t>Restructuring and other costs</w:t>
            </w: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7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ind w:left="400"/>
              <w:spacing w:after="0"/>
              <w:rPr>
                <w:sz w:val="20"/>
                <w:szCs w:val="20"/>
                <w:color w:val="auto"/>
              </w:rPr>
            </w:pPr>
            <w:r>
              <w:rPr>
                <w:rFonts w:ascii="Arial" w:cs="Arial" w:eastAsia="Arial" w:hAnsi="Arial"/>
                <w:sz w:val="18"/>
                <w:szCs w:val="18"/>
                <w:color w:val="auto"/>
              </w:rPr>
              <w:t>Adjusted EBITDA</w:t>
            </w:r>
          </w:p>
        </w:tc>
        <w:tc>
          <w:tcPr>
            <w:tcW w:w="78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Life Sciences</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color w:val="auto"/>
                <w:w w:val="91"/>
              </w:rPr>
              <w:t>Personal Care &amp; Household</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1"/>
              </w:rPr>
              <w:t>Consumer Specialties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w w:val="91"/>
              </w:rPr>
              <w:t>Six months ended March 31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Borders>
              <w:top w:val="single" w:sz="8" w:color="auto"/>
            </w:tcBorders>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58</w:t>
            </w:r>
          </w:p>
        </w:tc>
        <w:tc>
          <w:tcPr>
            <w:tcW w:w="600" w:type="dxa"/>
            <w:vAlign w:val="bottom"/>
            <w:tcBorders>
              <w:top w:val="single" w:sz="8" w:color="auto"/>
            </w:tcBorders>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520" w:type="dxa"/>
            <w:vAlign w:val="bottom"/>
            <w:tcBorders>
              <w:top w:val="single" w:sz="8" w:color="auto"/>
            </w:tcBorders>
            <w:gridSpan w:val="3"/>
            <w:shd w:val="clear" w:color="auto" w:fill="CFF0FC"/>
          </w:tcPr>
          <w:p>
            <w:pPr>
              <w:jc w:val="right"/>
              <w:ind w:right="17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42</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38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7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ind w:left="400"/>
              <w:spacing w:after="0"/>
              <w:rPr>
                <w:sz w:val="20"/>
                <w:szCs w:val="20"/>
                <w:color w:val="auto"/>
              </w:rPr>
            </w:pPr>
            <w:r>
              <w:rPr>
                <w:rFonts w:ascii="Arial" w:cs="Arial" w:eastAsia="Arial" w:hAnsi="Arial"/>
                <w:sz w:val="18"/>
                <w:szCs w:val="18"/>
                <w:color w:val="auto"/>
              </w:rPr>
              <w:t>Restructuring and other costs</w:t>
            </w: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7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ind w:left="400"/>
              <w:spacing w:after="0"/>
              <w:rPr>
                <w:sz w:val="20"/>
                <w:szCs w:val="20"/>
                <w:color w:val="auto"/>
              </w:rPr>
            </w:pPr>
            <w:r>
              <w:rPr>
                <w:rFonts w:ascii="Arial" w:cs="Arial" w:eastAsia="Arial" w:hAnsi="Arial"/>
                <w:sz w:val="18"/>
                <w:szCs w:val="18"/>
                <w:color w:val="auto"/>
              </w:rPr>
              <w:t>Adjusted EBITDA</w:t>
            </w:r>
          </w:p>
        </w:tc>
        <w:tc>
          <w:tcPr>
            <w:tcW w:w="78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8"/>
                <w:szCs w:val="18"/>
                <w:color w:val="auto"/>
              </w:rPr>
              <w:t>54</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Industrial Specialties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Industrial Specialties business group is comprised of the below 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Specialty Additives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Adhesives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Performance Adhesives is comprised of adhesives used in packaging, converting and structural applications. Packaging adhesives has an extensive line of pressure sensitive adhesives, functional coatings and primers combined with innovative technology solutions for narrow-, mid- and wide-web applications. Products meet stringent requirements in food and beverage safety, shipping, transportation, health and beauty, industrial, postage and security printing. Structural adhesives include light weighting vehicles and eliminating VOCs in buildings. Customers include converters of packaging materials, manufacturers of building materials and tier one suppliers to transportation industry.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March 2020 quarter compared to March 2019 quarter</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Industrial Specialties’ sales decreased $18 million to $240 million in the current quarter. Specialty Additives and Performance Adhesives represented $14 million and $4 million of the decrease, respectively. Lower volume, unfavorable currency exchange lower pricing, and plant restructuring decreased sales by $12 million, $2 million, $3 million and $1 million, respectively.</w:t>
      </w:r>
    </w:p>
    <w:p>
      <w:pPr>
        <w:spacing w:after="0" w:line="4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Operating income/loss decreased $160 million to a loss of $145 million for the current quarter. Specialty Additives recorded a $161 million loss, mostly due to a Goodwill impairment, while Performance Adhesives recorded a $16 million operating income, down $1 million from the prior year quarter. Goodwill impairment, lower volume and unfavorable costs decreased operating income by $174 million, $3 million and $5 million, respectively. Those decreases were partially offset by the prior year plant restructuring costs and improved price/mix of $20 million and $2 million, respectively. Current quarter EBITDA decreased $160 to a loss of $121 million, a $141 million loss in Specialty Additives and a $20 million income in Performance Adhesives, while Adjusted EBITDA decreased $6 million to $53 million, of which $33 million and $20 million originated from Specialty Additives and Performance Adhesives, respectively. Adjusted EBITDA margin decreased 0.8 percentage points in the current quarter to 22.1%.</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2020 year-to-date compared to fiscal 2019 year-to-date</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Industrial Specialties’ sales decreased $34 million to $453 million in the current period. Specialty Additives and Performance Adhesives represented $22 million and $12 million of the decrease, respectively. Lower volume, unfavorable currency exchange, plant restructuring and lower pricing decreased sales by $22 million, $4 million, $4 million and $4 million, respectively.</w:t>
      </w:r>
    </w:p>
    <w:p>
      <w:pPr>
        <w:spacing w:after="0" w:line="4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Operating income/loss decreased $127 million to a loss of $125 million for the current year. Specialty Additives recorded a $152 million loss, mostly due to a goodwill impairment, while Performance Adhesives recorded a $27 million operating income, up $1 million from the prior year period. Goodwill impairment and lower volume decreased operating income by $174 million and $6 million, respectively. Those decreases were partially offset by prior year plant restructuring costs and favorable price/mix of $47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333" w:right="739" w:bottom="1440" w:gutter="0" w:footer="0" w:header="0"/>
        </w:sectPr>
      </w:pPr>
    </w:p>
    <w:bookmarkStart w:id="55" w:name="page56"/>
    <w:bookmarkEnd w:id="55"/>
    <w:p>
      <w:pPr>
        <w:jc w:val="both"/>
        <w:ind w:left="1"/>
        <w:spacing w:after="0" w:line="246" w:lineRule="auto"/>
        <w:rPr>
          <w:sz w:val="20"/>
          <w:szCs w:val="20"/>
          <w:color w:val="auto"/>
        </w:rPr>
      </w:pPr>
      <w:r>
        <w:rPr>
          <w:rFonts w:ascii="Arial" w:cs="Arial" w:eastAsia="Arial" w:hAnsi="Arial"/>
          <w:sz w:val="20"/>
          <w:szCs w:val="20"/>
          <w:color w:val="auto"/>
        </w:rPr>
        <w:t>and $6 million, respectively. Current year EBITDA decreased $127 to a loss of $78 million, a $112 million loss in Specialty Additives and a $34 million income in Performance Adhesives, while Adjusted EBITDA decreased $1 million to $96 million, of which $62 million and $34 million originated from Specialty Additives and Performance Adhesives, respectively. Adjusted EBITDA margin increased 1.3 percentage points in the current year to 21.2%.</w:t>
      </w:r>
    </w:p>
    <w:p>
      <w:pPr>
        <w:spacing w:after="0" w:line="83"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1"/>
        <w:spacing w:after="0" w:line="257" w:lineRule="auto"/>
        <w:rPr>
          <w:sz w:val="20"/>
          <w:szCs w:val="20"/>
          <w:color w:val="auto"/>
        </w:rPr>
      </w:pPr>
      <w:r>
        <w:rPr>
          <w:rFonts w:ascii="Arial" w:cs="Arial" w:eastAsia="Arial" w:hAnsi="Arial"/>
          <w:sz w:val="19"/>
          <w:szCs w:val="19"/>
          <w:color w:val="auto"/>
        </w:rPr>
        <w:t>The following EBITDA and Adjusted EBITDA presentation (as defined and described in the section above) for the three and six months ended March 31, 2020 and 2019 below is provided as a means to enhance the understanding of financial measurements that Ashland has internally determined to be relevant measures of comparison for the results of Industrial Specialties. Adjusted EBITDA results have been prepared to illustrate the ongoing effects of Ashland’s operations, which exclude certain key items. The key items during the three and six months ended March 31, 2020 related to a Goodwill impairment for Specialty Additives. The key items during the prior year periods related to $20 million and $48 million of restructuring costs associated with the planned closure of a manufacturing facility within Specialty Additives (which included $19 million and $38 million of accelerated depreciation) for the three and six months ended March 31, 2019, respectively.</w:t>
      </w:r>
    </w:p>
    <w:p>
      <w:pPr>
        <w:spacing w:after="0" w:line="299" w:lineRule="exact"/>
        <w:rPr>
          <w:sz w:val="20"/>
          <w:szCs w:val="20"/>
          <w:color w:val="auto"/>
        </w:rPr>
      </w:pPr>
    </w:p>
    <w:tbl>
      <w:tblPr>
        <w:tblLayout w:type="fixed"/>
        <w:tblInd w:w="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2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Specialty Additives</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2"/>
              </w:rPr>
              <w:t>Performance Adhesives</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w w:val="94"/>
              </w:rPr>
              <w:t>Industrial Specialties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color w:val="auto"/>
              </w:rPr>
              <w:t>Three months ended March 31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80" w:type="dxa"/>
            <w:vAlign w:val="bottom"/>
            <w:tcBorders>
              <w:top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 (a)</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4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Accelerated depreciation</w:t>
            </w: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Severance and other restructuring costs</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4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Specialty Additives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2"/>
              </w:rPr>
              <w:t>Performance Adhesives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w w:val="94"/>
              </w:rPr>
              <w:t>Industrial Specialties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w w:val="91"/>
              </w:rPr>
              <w:t>Six months ended March 31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80" w:type="dxa"/>
            <w:vAlign w:val="bottom"/>
            <w:tcBorders>
              <w:top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27</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 (a)</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4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Accelerated depreciation</w:t>
            </w: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Severance and other restructuring costs</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4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1" w:right="220" w:hanging="401"/>
        <w:spacing w:after="0" w:line="253" w:lineRule="auto"/>
        <w:tabs>
          <w:tab w:leader="none" w:pos="401" w:val="left"/>
        </w:tabs>
        <w:numPr>
          <w:ilvl w:val="0"/>
          <w:numId w:val="39"/>
        </w:numPr>
        <w:rPr>
          <w:rFonts w:ascii="Arial" w:cs="Arial" w:eastAsia="Arial" w:hAnsi="Arial"/>
          <w:sz w:val="14"/>
          <w:szCs w:val="14"/>
          <w:color w:val="auto"/>
        </w:rPr>
      </w:pPr>
      <w:r>
        <w:rPr>
          <w:rFonts w:ascii="Arial" w:cs="Arial" w:eastAsia="Arial" w:hAnsi="Arial"/>
          <w:sz w:val="14"/>
          <w:szCs w:val="14"/>
          <w:color w:val="auto"/>
        </w:rPr>
        <w:t>Depreciation and amortization excludes accelerated depreciation of $19 million and $38 million for the three and six months ended March 31, 2019, which are included as key items.</w:t>
      </w:r>
    </w:p>
    <w:p>
      <w:pPr>
        <w:spacing w:after="0" w:line="6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Intermediates and Solvents</w:t>
      </w:r>
    </w:p>
    <w:p>
      <w:pPr>
        <w:spacing w:after="0" w:line="114"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as a feedstock to the supplied to Life Sciences, Personal Care, and Specialty Additives for use as a raw material.</w:t>
      </w:r>
    </w:p>
    <w:p>
      <w:pPr>
        <w:spacing w:after="0" w:line="86"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March 2020 quarter compared to March 2019 quarter</w:t>
      </w:r>
    </w:p>
    <w:p>
      <w:pPr>
        <w:spacing w:after="0" w:line="1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Intermediates and Solvents’ sales decreased $7 million to $37 million in the current quarter. Lower volume and lower pricing decreased sales by $3 million and $4 million,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56" w:name="page57"/>
    <w:bookmarkEnd w:id="56"/>
    <w:p>
      <w:pPr>
        <w:jc w:val="both"/>
        <w:ind w:left="1"/>
        <w:spacing w:after="0" w:line="246" w:lineRule="auto"/>
        <w:rPr>
          <w:sz w:val="20"/>
          <w:szCs w:val="20"/>
          <w:color w:val="auto"/>
        </w:rPr>
      </w:pPr>
      <w:r>
        <w:rPr>
          <w:rFonts w:ascii="Arial" w:cs="Arial" w:eastAsia="Arial" w:hAnsi="Arial"/>
          <w:sz w:val="20"/>
          <w:szCs w:val="20"/>
          <w:color w:val="auto"/>
        </w:rPr>
        <w:t>Operating income/loss decreased $11 million to a loss of $2 million for the current quarter. Unfavorable price/mix, unfavorable costs and inventory adjustments decreased operating income by $4 million, $3 million and $4 million, respectively. Current quarter EBITDA decreased $11 to $1 million, while Adjusted EBITDA decreased $7 million to $5 million. Adjusted EBITDA margin decreased 13.8 percentage points in the current quarter to 13.5%.</w:t>
      </w:r>
    </w:p>
    <w:p>
      <w:pPr>
        <w:spacing w:after="0" w:line="83"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Fiscal 2020 year-to-date compared to fiscal 2019 year-to-date</w:t>
      </w:r>
    </w:p>
    <w:p>
      <w:pPr>
        <w:spacing w:after="0" w:line="1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Intermediates and Solvents’ sales decreased $13 million to $64 million in the current period. Lower volume and lower pricing decreased sales by $7 million and $6 million, respectively.</w:t>
      </w:r>
    </w:p>
    <w:p>
      <w:pPr>
        <w:spacing w:after="0" w:line="69"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Operating income/loss decreased $25 million to a loss of $14 million for the current period. Lower volume, unfavorable price/mix, unfavorable costs and inventory adjustments decreased operating income by $1 million, $3 million, $17 million and $4 million, respectively. Current year EBITDA decreased $24 to a loss of $7 million, while Adjusted EBITDA decreased $20 million to a loss of $3 million. Adjusted EBITDA margin decreased 26.8 percentage points in the current year to -4.7%.</w:t>
      </w:r>
    </w:p>
    <w:p>
      <w:pPr>
        <w:spacing w:after="0" w:line="68"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The following EBITDA presentation (as defined and described in the section above) for the three and six months ended March 31, 2020 and 2019 is provided as a means to enhance the understanding of financial measurements that Ashland has internally determined to be relevant measures of comparison for the results of Intermediates and Solvents. Key items for the three and six months ended March 31, 2020 included an inventory adjustment of $4 million.</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Three months ended</w:t>
            </w:r>
          </w:p>
        </w:tc>
        <w:tc>
          <w:tcPr>
            <w:tcW w:w="6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4"/>
          </w:tcPr>
          <w:p>
            <w:pPr>
              <w:jc w:val="right"/>
              <w:ind w:right="129"/>
              <w:spacing w:after="0"/>
              <w:rPr>
                <w:sz w:val="20"/>
                <w:szCs w:val="20"/>
                <w:color w:val="auto"/>
              </w:rPr>
            </w:pPr>
            <w:r>
              <w:rPr>
                <w:rFonts w:ascii="Arial" w:cs="Arial" w:eastAsia="Arial" w:hAnsi="Arial"/>
                <w:sz w:val="18"/>
                <w:szCs w:val="18"/>
                <w:color w:val="auto"/>
              </w:rPr>
              <w:t>Six months ended</w:t>
            </w:r>
          </w:p>
        </w:tc>
        <w:tc>
          <w:tcPr>
            <w:tcW w:w="64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8"/>
                <w:szCs w:val="18"/>
                <w:color w:val="auto"/>
              </w:rPr>
              <w:t>March 31</w:t>
            </w: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429"/>
              <w:spacing w:after="0"/>
              <w:rPr>
                <w:sz w:val="20"/>
                <w:szCs w:val="20"/>
                <w:color w:val="auto"/>
              </w:rPr>
            </w:pPr>
            <w:r>
              <w:rPr>
                <w:rFonts w:ascii="Arial" w:cs="Arial" w:eastAsia="Arial" w:hAnsi="Arial"/>
                <w:sz w:val="18"/>
                <w:szCs w:val="18"/>
                <w:color w:val="auto"/>
              </w:rPr>
              <w:t>March 31</w:t>
            </w:r>
          </w:p>
        </w:tc>
        <w:tc>
          <w:tcPr>
            <w:tcW w:w="640" w:type="dxa"/>
            <w:vAlign w:val="bottom"/>
            <w:tcBorders>
              <w:bottom w:val="single" w:sz="8" w:color="auto"/>
            </w:tcBorders>
          </w:tcPr>
          <w:p>
            <w:pPr>
              <w:spacing w:after="0"/>
              <w:rPr>
                <w:sz w:val="20"/>
                <w:szCs w:val="20"/>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3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1600" w:type="dxa"/>
            <w:vAlign w:val="bottom"/>
            <w:tcBorders>
              <w:top w:val="single" w:sz="8" w:color="auto"/>
            </w:tcBorders>
            <w:gridSpan w:val="2"/>
          </w:tcPr>
          <w:p>
            <w:pPr>
              <w:jc w:val="right"/>
              <w:ind w:right="187"/>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540" w:type="dxa"/>
            <w:vAlign w:val="bottom"/>
            <w:tcBorders>
              <w:top w:val="single" w:sz="8" w:color="auto"/>
            </w:tcBorders>
            <w:gridSpan w:val="2"/>
          </w:tcPr>
          <w:p>
            <w:pPr>
              <w:jc w:val="right"/>
              <w:ind w:right="247"/>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ind w:right="56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r>
        <w:trPr>
          <w:trHeight w:val="263"/>
        </w:trPr>
        <w:tc>
          <w:tcPr>
            <w:tcW w:w="34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260" w:type="dxa"/>
            <w:vAlign w:val="bottom"/>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2"/>
                <w:szCs w:val="22"/>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Borders>
              <w:bottom w:val="single" w:sz="8" w:color="auto"/>
            </w:tcBorders>
          </w:tcPr>
          <w:p>
            <w:pPr>
              <w:jc w:val="right"/>
              <w:ind w:right="5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10"/>
        </w:trPr>
        <w:tc>
          <w:tcPr>
            <w:tcW w:w="20" w:type="dxa"/>
            <w:vAlign w:val="bottom"/>
          </w:tcPr>
          <w:p>
            <w:pPr>
              <w:spacing w:after="0"/>
              <w:rPr>
                <w:sz w:val="18"/>
                <w:szCs w:val="18"/>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 adjustment</w:t>
            </w:r>
          </w:p>
        </w:tc>
        <w:tc>
          <w:tcPr>
            <w:tcW w:w="1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26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Unallocated and other</w:t>
      </w:r>
    </w:p>
    <w:p>
      <w:pPr>
        <w:spacing w:after="0" w:line="114"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following table summarizes the key components of the Unallocated and other segment’s operating income (loss) for the three and six months ended March 31, 2020 and 2019.</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4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Three months ended</w:t>
            </w:r>
          </w:p>
        </w:tc>
        <w:tc>
          <w:tcPr>
            <w:tcW w:w="6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107"/>
              <w:spacing w:after="0"/>
              <w:rPr>
                <w:sz w:val="20"/>
                <w:szCs w:val="20"/>
                <w:color w:val="auto"/>
              </w:rPr>
            </w:pPr>
            <w:r>
              <w:rPr>
                <w:rFonts w:ascii="Arial" w:cs="Arial" w:eastAsia="Arial" w:hAnsi="Arial"/>
                <w:sz w:val="18"/>
                <w:szCs w:val="18"/>
                <w:color w:val="auto"/>
              </w:rPr>
              <w:t>Six months ended</w:t>
            </w:r>
          </w:p>
        </w:tc>
        <w:tc>
          <w:tcPr>
            <w:tcW w:w="64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8"/>
                <w:szCs w:val="18"/>
                <w:color w:val="auto"/>
              </w:rPr>
              <w:t>March 31</w:t>
            </w: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8"/>
                <w:szCs w:val="18"/>
                <w:color w:val="auto"/>
              </w:rPr>
              <w:t>March 31</w:t>
            </w:r>
          </w:p>
        </w:tc>
        <w:tc>
          <w:tcPr>
            <w:tcW w:w="640" w:type="dxa"/>
            <w:vAlign w:val="bottom"/>
            <w:tcBorders>
              <w:bottom w:val="single" w:sz="8" w:color="auto"/>
            </w:tcBorders>
          </w:tcPr>
          <w:p>
            <w:pPr>
              <w:spacing w:after="0"/>
              <w:rPr>
                <w:sz w:val="20"/>
                <w:szCs w:val="20"/>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4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Restructuring activities</w:t>
            </w:r>
          </w:p>
        </w:tc>
        <w:tc>
          <w:tcPr>
            <w:tcW w:w="52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540" w:type="dxa"/>
            <w:vAlign w:val="bottom"/>
            <w:tcBorders>
              <w:top w:val="single" w:sz="8" w:color="auto"/>
            </w:tcBorders>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40" w:type="dxa"/>
            <w:vAlign w:val="bottom"/>
            <w:tcBorders>
              <w:top w:val="single" w:sz="8" w:color="auto"/>
            </w:tcBorders>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Environmental expenses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Proxy costs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1"/>
              </w:rPr>
              <w:t>Other expenses (primarily governance and legacy expenses)</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expense</w:t>
            </w: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March 2020 quarter compared to March 2019 quarter</w:t>
      </w:r>
    </w:p>
    <w:p>
      <w:pPr>
        <w:spacing w:after="0" w:line="10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Unallocated and other recorded expense of $21 million and $38 million for the three months ended March 31, 2020 and 2019, respectively. The current and prior year quarters included charges for restructuring activities of $14 million and $24 million, respectively, which were comprised of the following items:</w:t>
      </w:r>
    </w:p>
    <w:p>
      <w:pPr>
        <w:spacing w:after="0" w:line="78" w:lineRule="exact"/>
        <w:rPr>
          <w:sz w:val="20"/>
          <w:szCs w:val="20"/>
          <w:color w:val="auto"/>
        </w:rPr>
      </w:pPr>
    </w:p>
    <w:p>
      <w:pPr>
        <w:ind w:left="401" w:hanging="401"/>
        <w:spacing w:after="0" w:line="260" w:lineRule="auto"/>
        <w:tabs>
          <w:tab w:leader="none" w:pos="401" w:val="left"/>
        </w:tabs>
        <w:numPr>
          <w:ilvl w:val="0"/>
          <w:numId w:val="40"/>
        </w:numPr>
        <w:rPr>
          <w:rFonts w:ascii="Arial" w:cs="Arial" w:eastAsia="Arial" w:hAnsi="Arial"/>
          <w:sz w:val="20"/>
          <w:szCs w:val="20"/>
          <w:color w:val="auto"/>
        </w:rPr>
      </w:pPr>
      <w:r>
        <w:rPr>
          <w:rFonts w:ascii="Arial" w:cs="Arial" w:eastAsia="Arial" w:hAnsi="Arial"/>
          <w:sz w:val="20"/>
          <w:szCs w:val="20"/>
          <w:color w:val="auto"/>
        </w:rPr>
        <w:t>$12 million of stranded divestiture costs during the prior year quarter, primarily related to the planned divestiture of the Composites segment and Marl facility;</w:t>
      </w:r>
    </w:p>
    <w:p>
      <w:pPr>
        <w:spacing w:after="0" w:line="68"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40"/>
        </w:numPr>
        <w:rPr>
          <w:rFonts w:ascii="Arial" w:cs="Arial" w:eastAsia="Arial" w:hAnsi="Arial"/>
          <w:sz w:val="20"/>
          <w:szCs w:val="20"/>
          <w:color w:val="auto"/>
        </w:rPr>
      </w:pPr>
      <w:r>
        <w:rPr>
          <w:rFonts w:ascii="Arial" w:cs="Arial" w:eastAsia="Arial" w:hAnsi="Arial"/>
          <w:sz w:val="20"/>
          <w:szCs w:val="20"/>
          <w:color w:val="auto"/>
        </w:rPr>
        <w:t>$14 million and $8 million of severance, lease abandonment and other restructuring costs related to company-wide cost reduction programs during the current and prior quarters, respectively;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57" w:name="page58"/>
    <w:bookmarkEnd w:id="57"/>
    <w:p>
      <w:pPr>
        <w:ind w:left="400" w:right="1940" w:hanging="1"/>
        <w:spacing w:after="0" w:line="352" w:lineRule="auto"/>
        <w:tabs>
          <w:tab w:leader="none" w:pos="789" w:val="left"/>
        </w:tabs>
        <w:numPr>
          <w:ilvl w:val="0"/>
          <w:numId w:val="41"/>
        </w:numPr>
        <w:rPr>
          <w:rFonts w:ascii="Arial" w:cs="Arial" w:eastAsia="Arial" w:hAnsi="Arial"/>
          <w:sz w:val="20"/>
          <w:szCs w:val="20"/>
          <w:color w:val="auto"/>
        </w:rPr>
      </w:pPr>
      <w:r>
        <w:rPr>
          <w:rFonts w:ascii="Arial" w:cs="Arial" w:eastAsia="Arial" w:hAnsi="Arial"/>
          <w:sz w:val="20"/>
          <w:szCs w:val="20"/>
          <w:color w:val="auto"/>
        </w:rPr>
        <w:t>$4 million of impairment related to the planned sale of an office building during the prior year quarter. The current quarter included $5 million for environmental expenses.</w:t>
      </w:r>
    </w:p>
    <w:p>
      <w:pPr>
        <w:jc w:val="both"/>
        <w:ind w:left="400"/>
        <w:spacing w:after="0" w:line="260" w:lineRule="auto"/>
        <w:rPr>
          <w:sz w:val="20"/>
          <w:szCs w:val="20"/>
          <w:color w:val="auto"/>
        </w:rPr>
      </w:pPr>
      <w:r>
        <w:rPr>
          <w:rFonts w:ascii="Arial" w:cs="Arial" w:eastAsia="Arial" w:hAnsi="Arial"/>
          <w:sz w:val="20"/>
          <w:szCs w:val="20"/>
          <w:color w:val="auto"/>
        </w:rPr>
        <w:t>The remaining items during the prior year quarter primarily included $4 million for environmental expenses and $5 million in proxy defense costs.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2020 year-to-date compared to fiscal 2019 year-to-date</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Unallocated and other recorded expense of $44 million and $74 million for the six months ended March 31, 2020 and 2019, respectively. The current and prior year periods included charges for restructuring activities of $22 million and $53 million, respectively, which were comprised of the following items:</w:t>
      </w:r>
    </w:p>
    <w:p>
      <w:pPr>
        <w:spacing w:after="0" w:line="78" w:lineRule="exact"/>
        <w:rPr>
          <w:sz w:val="20"/>
          <w:szCs w:val="20"/>
          <w:color w:val="auto"/>
        </w:rPr>
      </w:pPr>
    </w:p>
    <w:p>
      <w:pPr>
        <w:ind w:left="800" w:hanging="401"/>
        <w:spacing w:after="0"/>
        <w:tabs>
          <w:tab w:leader="none" w:pos="8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$24 million of stranded divestiture costs during the prior year period;</w:t>
      </w:r>
    </w:p>
    <w:p>
      <w:pPr>
        <w:spacing w:after="0" w:line="107" w:lineRule="exact"/>
        <w:rPr>
          <w:rFonts w:ascii="Arial" w:cs="Arial" w:eastAsia="Arial" w:hAnsi="Arial"/>
          <w:sz w:val="20"/>
          <w:szCs w:val="20"/>
          <w:color w:val="auto"/>
        </w:rPr>
      </w:pPr>
    </w:p>
    <w:p>
      <w:pPr>
        <w:ind w:left="800" w:hanging="401"/>
        <w:spacing w:after="0" w:line="260" w:lineRule="auto"/>
        <w:tabs>
          <w:tab w:leader="none" w:pos="8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$22 million and $25 million of severance, lease abandonment and other restructuring costs related to company-wide cost reduction programs during the current and prior year periods, respectively; and</w:t>
      </w:r>
    </w:p>
    <w:p>
      <w:pPr>
        <w:spacing w:after="0" w:line="68" w:lineRule="exact"/>
        <w:rPr>
          <w:rFonts w:ascii="Arial" w:cs="Arial" w:eastAsia="Arial" w:hAnsi="Arial"/>
          <w:sz w:val="20"/>
          <w:szCs w:val="20"/>
          <w:color w:val="auto"/>
        </w:rPr>
      </w:pPr>
    </w:p>
    <w:p>
      <w:pPr>
        <w:ind w:left="800" w:hanging="401"/>
        <w:spacing w:after="0"/>
        <w:tabs>
          <w:tab w:leader="none" w:pos="8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$4 million of impairment related to the planned sale of an office building during the prior year period.</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current year period also included $8 million for environmental expenses.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remaining items during the prior year period primarily included $6 million for environmental expenses and $5 million in proxy defense costs.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Liquidity</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Ashland had $353 million in cash and cash equivalents as of March 31, 2020, of which $160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w:t>
      </w:r>
    </w:p>
    <w:p>
      <w:pPr>
        <w:spacing w:after="0" w:line="86"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Ashland has taken actions and may continue to take actions intended to increase its cash position and preserve financial flexibility in light of current uncertainty in the global markets. In January 2020, Ashland renewed and extended its Revolving Credit Agreement through 2025 and issued new 2.00% senior notes in Europe for €500 million which mature in 2028. During the three months ended March 31, 2020, Ashland elected to access $240 million on its Revolving Credit Facility, with these amounts on deposit as cash and cash equivalents. As of March 31, 2020, Ashland has total remaining borrowing capacity of $339 million, comprised of amounts remaining available under the Revolving Credit Facility and two accounts receivable securitization facilities. Ashland has no major loan maturities until 2022.</w:t>
      </w:r>
    </w:p>
    <w:p>
      <w:pPr>
        <w:spacing w:after="0" w:line="77"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risk factors in this report.</w:t>
      </w:r>
    </w:p>
    <w:p>
      <w:pPr>
        <w:spacing w:after="0" w:line="19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47" w:right="739" w:bottom="1440" w:gutter="0" w:footer="0" w:header="0"/>
        </w:sectPr>
      </w:pPr>
    </w:p>
    <w:bookmarkStart w:id="58" w:name="page59"/>
    <w:bookmarkEnd w:id="58"/>
    <w:p>
      <w:pPr>
        <w:ind w:left="1"/>
        <w:spacing w:after="0" w:line="260" w:lineRule="auto"/>
        <w:rPr>
          <w:sz w:val="20"/>
          <w:szCs w:val="20"/>
          <w:color w:val="auto"/>
        </w:rPr>
      </w:pPr>
      <w:r>
        <w:rPr>
          <w:rFonts w:ascii="Arial" w:cs="Arial" w:eastAsia="Arial" w:hAnsi="Arial"/>
          <w:sz w:val="20"/>
          <w:szCs w:val="20"/>
          <w:color w:val="auto"/>
        </w:rPr>
        <w:t>Ashland’s cash flows from operating, investing and financing activities, as reflected in the Statements of Condensed Consolidated Cash Flows, are summarized as follows for the six months ended March 31, 2020 and 2019.</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7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3"/>
          </w:tcPr>
          <w:p>
            <w:pPr>
              <w:jc w:val="right"/>
              <w:ind w:right="467"/>
              <w:spacing w:after="0"/>
              <w:rPr>
                <w:sz w:val="20"/>
                <w:szCs w:val="20"/>
                <w:color w:val="auto"/>
              </w:rPr>
            </w:pPr>
            <w:r>
              <w:rPr>
                <w:rFonts w:ascii="Arial" w:cs="Arial" w:eastAsia="Arial" w:hAnsi="Arial"/>
                <w:sz w:val="18"/>
                <w:szCs w:val="18"/>
                <w:color w:val="auto"/>
              </w:rPr>
              <w:t>Six months ended</w:t>
            </w:r>
          </w:p>
        </w:tc>
        <w:tc>
          <w:tcPr>
            <w:tcW w:w="10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767"/>
              <w:spacing w:after="0"/>
              <w:rPr>
                <w:sz w:val="20"/>
                <w:szCs w:val="20"/>
                <w:color w:val="auto"/>
              </w:rPr>
            </w:pPr>
            <w:r>
              <w:rPr>
                <w:rFonts w:ascii="Arial" w:cs="Arial" w:eastAsia="Arial" w:hAnsi="Arial"/>
                <w:sz w:val="18"/>
                <w:szCs w:val="18"/>
                <w:color w:val="auto"/>
              </w:rPr>
              <w:t>March 31</w:t>
            </w:r>
          </w:p>
        </w:tc>
        <w:tc>
          <w:tcPr>
            <w:tcW w:w="1000" w:type="dxa"/>
            <w:vAlign w:val="bottom"/>
            <w:tcBorders>
              <w:bottom w:val="single" w:sz="8" w:color="auto"/>
            </w:tcBorders>
          </w:tcPr>
          <w:p>
            <w:pPr>
              <w:spacing w:after="0"/>
              <w:rPr>
                <w:sz w:val="20"/>
                <w:szCs w:val="20"/>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5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provided (used) by:</w:t>
            </w:r>
          </w:p>
        </w:tc>
        <w:tc>
          <w:tcPr>
            <w:tcW w:w="4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40" w:type="dxa"/>
            <w:vAlign w:val="bottom"/>
          </w:tcPr>
          <w:p>
            <w:pPr>
              <w:ind w:left="240"/>
              <w:spacing w:after="0"/>
              <w:rPr>
                <w:sz w:val="20"/>
                <w:szCs w:val="20"/>
                <w:color w:val="auto"/>
              </w:rPr>
            </w:pPr>
            <w:r>
              <w:rPr>
                <w:rFonts w:ascii="Arial" w:cs="Arial" w:eastAsia="Arial" w:hAnsi="Arial"/>
                <w:sz w:val="18"/>
                <w:szCs w:val="18"/>
                <w:color w:val="auto"/>
              </w:rPr>
              <w:t>Operating activities from continuing operations</w:t>
            </w:r>
          </w:p>
        </w:tc>
        <w:tc>
          <w:tcPr>
            <w:tcW w:w="1180" w:type="dxa"/>
            <w:vAlign w:val="bottom"/>
            <w:gridSpan w:val="2"/>
          </w:tcPr>
          <w:p>
            <w:pPr>
              <w:jc w:val="right"/>
              <w:ind w:right="607"/>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5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 from continuing operations</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20" w:type="dxa"/>
            <w:vAlign w:val="bottom"/>
          </w:tcPr>
          <w:p>
            <w:pPr>
              <w:spacing w:after="0"/>
              <w:rPr>
                <w:sz w:val="19"/>
                <w:szCs w:val="19"/>
                <w:color w:val="auto"/>
              </w:rPr>
            </w:pPr>
          </w:p>
        </w:tc>
        <w:tc>
          <w:tcPr>
            <w:tcW w:w="5740" w:type="dxa"/>
            <w:vAlign w:val="bottom"/>
          </w:tcPr>
          <w:p>
            <w:pPr>
              <w:ind w:left="240"/>
              <w:spacing w:after="0"/>
              <w:rPr>
                <w:sz w:val="20"/>
                <w:szCs w:val="20"/>
                <w:color w:val="auto"/>
              </w:rPr>
            </w:pPr>
            <w:r>
              <w:rPr>
                <w:rFonts w:ascii="Arial" w:cs="Arial" w:eastAsia="Arial" w:hAnsi="Arial"/>
                <w:sz w:val="18"/>
                <w:szCs w:val="18"/>
                <w:color w:val="auto"/>
              </w:rPr>
              <w:t>Financing activities from continuing operations</w:t>
            </w: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20" w:type="dxa"/>
            <w:vAlign w:val="bottom"/>
          </w:tcPr>
          <w:p>
            <w:pPr>
              <w:spacing w:after="0"/>
              <w:rPr>
                <w:sz w:val="19"/>
                <w:szCs w:val="19"/>
                <w:color w:val="auto"/>
              </w:rPr>
            </w:pPr>
          </w:p>
        </w:tc>
        <w:tc>
          <w:tcPr>
            <w:tcW w:w="5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20" w:type="dxa"/>
            <w:vAlign w:val="bottom"/>
          </w:tcPr>
          <w:p>
            <w:pPr>
              <w:spacing w:after="0"/>
              <w:rPr>
                <w:sz w:val="19"/>
                <w:szCs w:val="19"/>
                <w:color w:val="auto"/>
              </w:rPr>
            </w:pPr>
          </w:p>
        </w:tc>
        <w:tc>
          <w:tcPr>
            <w:tcW w:w="5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5"/>
              </w:rPr>
              <w:t>Effect of currency exchange rate changes on cash and cash equivalents</w:t>
            </w:r>
          </w:p>
        </w:tc>
        <w:tc>
          <w:tcPr>
            <w:tcW w:w="4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Operating activities</w:t>
      </w:r>
    </w:p>
    <w:p>
      <w:pPr>
        <w:spacing w:after="0" w:line="1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following discloses the cash flows associated with Ashland’s operating activities for the six months ended March 31, 2020 and 2019.</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4"/>
          </w:tcPr>
          <w:p>
            <w:pPr>
              <w:jc w:val="right"/>
              <w:ind w:right="467"/>
              <w:spacing w:after="0"/>
              <w:rPr>
                <w:sz w:val="20"/>
                <w:szCs w:val="20"/>
                <w:color w:val="auto"/>
              </w:rPr>
            </w:pPr>
            <w:r>
              <w:rPr>
                <w:rFonts w:ascii="Arial" w:cs="Arial" w:eastAsia="Arial" w:hAnsi="Arial"/>
                <w:sz w:val="18"/>
                <w:szCs w:val="18"/>
                <w:color w:val="auto"/>
              </w:rPr>
              <w:t>Six months ended</w:t>
            </w:r>
          </w:p>
        </w:tc>
        <w:tc>
          <w:tcPr>
            <w:tcW w:w="10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767"/>
              <w:spacing w:after="0"/>
              <w:rPr>
                <w:sz w:val="20"/>
                <w:szCs w:val="20"/>
                <w:color w:val="auto"/>
              </w:rPr>
            </w:pPr>
            <w:r>
              <w:rPr>
                <w:rFonts w:ascii="Arial" w:cs="Arial" w:eastAsia="Arial" w:hAnsi="Arial"/>
                <w:sz w:val="18"/>
                <w:szCs w:val="18"/>
                <w:color w:val="auto"/>
              </w:rPr>
              <w:t>March 31</w:t>
            </w:r>
          </w:p>
        </w:tc>
        <w:tc>
          <w:tcPr>
            <w:tcW w:w="1000" w:type="dxa"/>
            <w:vAlign w:val="bottom"/>
            <w:tcBorders>
              <w:bottom w:val="single" w:sz="8" w:color="auto"/>
            </w:tcBorders>
          </w:tcPr>
          <w:p>
            <w:pPr>
              <w:spacing w:after="0"/>
              <w:rPr>
                <w:sz w:val="20"/>
                <w:szCs w:val="20"/>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0"/>
              </w:rPr>
              <w:t>Cash flows provided (used) by operating activities from continuing operations</w:t>
            </w: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860" w:type="dxa"/>
            <w:vAlign w:val="bottom"/>
            <w:gridSpan w:val="2"/>
          </w:tcPr>
          <w:p>
            <w:pPr>
              <w:jc w:val="right"/>
              <w:ind w:right="60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9"/>
                <w:szCs w:val="19"/>
                <w:color w:val="auto"/>
              </w:rPr>
            </w:pPr>
          </w:p>
        </w:tc>
        <w:tc>
          <w:tcPr>
            <w:tcW w:w="1060" w:type="dxa"/>
            <w:vAlign w:val="bottom"/>
            <w:gridSpan w:val="2"/>
          </w:tcPr>
          <w:p>
            <w:pPr>
              <w:jc w:val="right"/>
              <w:ind w:right="88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29"/>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discontinued operations (net of income taxes)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Adjustments to reconcile income from continuing operations to</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Original issue discount and debt issuance costs amortization</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tcPr>
          <w:p>
            <w:pPr>
              <w:spacing w:after="0"/>
              <w:rPr>
                <w:sz w:val="19"/>
                <w:szCs w:val="19"/>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(Income) loss from restricted investments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Excess tax benefit on stock based compensation</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Loss on early retirement of debt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Net loss on divestitures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Pr>
          <w:p>
            <w:pPr>
              <w:spacing w:after="0"/>
              <w:rPr>
                <w:sz w:val="19"/>
                <w:szCs w:val="19"/>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Impairments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Pension contributions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Gain on pension and other postretirement plan remeasurements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1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Total cash flows provided by operating activities from continuing operations</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6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pacing w:after="0" w:line="89" w:lineRule="exact"/>
        <w:rPr>
          <w:sz w:val="20"/>
          <w:szCs w:val="20"/>
          <w:color w:val="auto"/>
        </w:rPr>
      </w:pPr>
    </w:p>
    <w:p>
      <w:pPr>
        <w:ind w:left="401" w:hanging="401"/>
        <w:spacing w:after="0"/>
        <w:tabs>
          <w:tab w:leader="none" w:pos="401"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Excludes changes resulting from operations acquired or sold.</w:t>
      </w:r>
    </w:p>
    <w:p>
      <w:pPr>
        <w:spacing w:after="0" w:line="111"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Cash flows used from operating activities from continuing operations amounted to inflows of $13 million and $6 million in the current and prior year periods,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59" w:name="page60"/>
    <w:bookmarkEnd w:id="59"/>
    <w:p>
      <w:pPr>
        <w:ind w:left="400"/>
        <w:spacing w:after="0"/>
        <w:rPr>
          <w:sz w:val="20"/>
          <w:szCs w:val="20"/>
          <w:color w:val="auto"/>
        </w:rPr>
      </w:pPr>
      <w:r>
        <w:rPr>
          <w:rFonts w:ascii="Arial" w:cs="Arial" w:eastAsia="Arial" w:hAnsi="Arial"/>
          <w:sz w:val="20"/>
          <w:szCs w:val="20"/>
          <w:i w:val="1"/>
          <w:iCs w:val="1"/>
          <w:color w:val="auto"/>
        </w:rPr>
        <w:t>Operating Activities – Operating Assets and Liabilities</w:t>
      </w:r>
    </w:p>
    <w:p>
      <w:pPr>
        <w:spacing w:after="0" w:line="108" w:lineRule="exact"/>
        <w:rPr>
          <w:sz w:val="20"/>
          <w:szCs w:val="20"/>
          <w:color w:val="auto"/>
        </w:rPr>
      </w:pPr>
    </w:p>
    <w:p>
      <w:pPr>
        <w:jc w:val="both"/>
        <w:ind w:left="400" w:right="400"/>
        <w:spacing w:after="0" w:line="282" w:lineRule="auto"/>
        <w:rPr>
          <w:sz w:val="20"/>
          <w:szCs w:val="20"/>
          <w:color w:val="auto"/>
        </w:rPr>
      </w:pPr>
      <w:r>
        <w:rPr>
          <w:rFonts w:ascii="Arial" w:cs="Arial" w:eastAsia="Arial" w:hAnsi="Arial"/>
          <w:sz w:val="18"/>
          <w:szCs w:val="18"/>
          <w:color w:val="auto"/>
        </w:rPr>
        <w:t>The cash results during each period are primarily driven by net income (loss), excluding discontinued operation results, adjusted for certain non-cash items including depreciation and amortization (including original issue discount and debt issuance cost amortization), as well as changes in working capital, which are fluctuations within accounts receivable, inventory, trade payables and accrued expenses. Ashland continues to emphasize working capital management as a high priority and focus.</w:t>
      </w:r>
    </w:p>
    <w:p>
      <w:pPr>
        <w:spacing w:after="0" w:line="53"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Changes in operating assets and liabilities for outflows of $163 million and $137 million for the six months ended March 31, 2020 and 2019, respectively, and were driven by the following net working capital accounts:</w:t>
      </w:r>
    </w:p>
    <w:p>
      <w:pPr>
        <w:spacing w:after="0" w:line="69" w:lineRule="exact"/>
        <w:rPr>
          <w:sz w:val="20"/>
          <w:szCs w:val="20"/>
          <w:color w:val="auto"/>
        </w:rPr>
      </w:pPr>
    </w:p>
    <w:p>
      <w:pPr>
        <w:ind w:left="800" w:right="400" w:hanging="401"/>
        <w:spacing w:after="0" w:line="260" w:lineRule="auto"/>
        <w:tabs>
          <w:tab w:leader="none" w:pos="8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Accounts receivable – There were cash outflows of $19 million and inflows of $2 million during the current and prior year periods, respectively.</w:t>
      </w:r>
    </w:p>
    <w:p>
      <w:pPr>
        <w:spacing w:after="0" w:line="68" w:lineRule="exact"/>
        <w:rPr>
          <w:rFonts w:ascii="Arial" w:cs="Arial" w:eastAsia="Arial" w:hAnsi="Arial"/>
          <w:sz w:val="20"/>
          <w:szCs w:val="20"/>
          <w:color w:val="auto"/>
        </w:rPr>
      </w:pPr>
    </w:p>
    <w:p>
      <w:pPr>
        <w:ind w:left="800" w:hanging="401"/>
        <w:spacing w:after="0"/>
        <w:tabs>
          <w:tab w:leader="none" w:pos="8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Inventory – There were cash outflows of $15 million and $1 million during the current and prior year periods, respectively.</w:t>
      </w:r>
    </w:p>
    <w:p>
      <w:pPr>
        <w:spacing w:after="0" w:line="119" w:lineRule="exact"/>
        <w:rPr>
          <w:rFonts w:ascii="Arial" w:cs="Arial" w:eastAsia="Arial" w:hAnsi="Arial"/>
          <w:sz w:val="19"/>
          <w:szCs w:val="19"/>
          <w:color w:val="auto"/>
        </w:rPr>
      </w:pPr>
    </w:p>
    <w:p>
      <w:pPr>
        <w:ind w:left="800" w:right="400" w:hanging="401"/>
        <w:spacing w:after="0" w:line="260" w:lineRule="auto"/>
        <w:tabs>
          <w:tab w:leader="none" w:pos="8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Trade and other payables – There were cash outflows of $83 million and $116 million during the current and prior year periods, respectively, and primarily related to the timing of certain payments.</w:t>
      </w:r>
    </w:p>
    <w:p>
      <w:pPr>
        <w:spacing w:after="0" w:line="69"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The remaining changes to operating assets and liabilities resulted in outflows of $46 million and $22 million in the current and prior year periods, respectively, and were primarily due to income taxes paid or income tax refunds, interest paid, and adjustments to certain accruals and other long-term assets and liabilities.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Operating Activities – Summary</w:t>
      </w:r>
    </w:p>
    <w:p>
      <w:pPr>
        <w:spacing w:after="0" w:line="108" w:lineRule="exact"/>
        <w:rPr>
          <w:sz w:val="20"/>
          <w:szCs w:val="20"/>
          <w:color w:val="auto"/>
        </w:rPr>
      </w:pPr>
    </w:p>
    <w:p>
      <w:pPr>
        <w:jc w:val="both"/>
        <w:ind w:left="400" w:right="400"/>
        <w:spacing w:after="0" w:line="263" w:lineRule="auto"/>
        <w:rPr>
          <w:sz w:val="20"/>
          <w:szCs w:val="20"/>
          <w:color w:val="auto"/>
        </w:rPr>
      </w:pPr>
      <w:r>
        <w:rPr>
          <w:rFonts w:ascii="Arial" w:cs="Arial" w:eastAsia="Arial" w:hAnsi="Arial"/>
          <w:sz w:val="19"/>
          <w:szCs w:val="19"/>
          <w:color w:val="auto"/>
        </w:rPr>
        <w:t>Operating cash flows for the current year period included a loss from continuing operations of $541 million. Additionally, the current period included non-cash adjustments of $530 million for a goodwill impairment charge, $122 million for depreciation and amortization, $59 million loss on early retirement of debt, $12 million original issue discounts and debt issuance cost amortization, $8 million for stock-based compensation expense and $16 million loss on restricted investments.</w:t>
      </w:r>
    </w:p>
    <w:p>
      <w:pPr>
        <w:spacing w:after="0" w:line="68"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Operating cash flows for the prior year period included a loss from continuing operations of $26 million. Additionally, the prior year period included a non-cash adjustment of $163 million for depreciation and amortization, $2 million for a gain on restricted investments, $5 million for an impairment of a held for sale facility, $13 million for stock-based compensation expense and $18 million for the gain on pension and other postretirement plan remeasurements.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Investing activities</w:t>
      </w:r>
    </w:p>
    <w:p>
      <w:pPr>
        <w:spacing w:after="0" w:line="108"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discloses the cash flows associated with Ashland’s investing activities for the six months ended March 31, 2020 and 2019.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60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3"/>
          </w:tcPr>
          <w:p>
            <w:pPr>
              <w:jc w:val="right"/>
              <w:ind w:right="467"/>
              <w:spacing w:after="0"/>
              <w:rPr>
                <w:sz w:val="20"/>
                <w:szCs w:val="20"/>
                <w:color w:val="auto"/>
              </w:rPr>
            </w:pPr>
            <w:r>
              <w:rPr>
                <w:rFonts w:ascii="Arial" w:cs="Arial" w:eastAsia="Arial" w:hAnsi="Arial"/>
                <w:sz w:val="18"/>
                <w:szCs w:val="18"/>
                <w:color w:val="auto"/>
              </w:rPr>
              <w:t>Six months ended</w:t>
            </w:r>
          </w:p>
        </w:tc>
        <w:tc>
          <w:tcPr>
            <w:tcW w:w="10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767"/>
              <w:spacing w:after="0"/>
              <w:rPr>
                <w:sz w:val="20"/>
                <w:szCs w:val="20"/>
                <w:color w:val="auto"/>
              </w:rPr>
            </w:pPr>
            <w:r>
              <w:rPr>
                <w:rFonts w:ascii="Arial" w:cs="Arial" w:eastAsia="Arial" w:hAnsi="Arial"/>
                <w:sz w:val="18"/>
                <w:szCs w:val="18"/>
                <w:color w:val="auto"/>
              </w:rPr>
              <w:t>March 31</w:t>
            </w:r>
          </w:p>
        </w:tc>
        <w:tc>
          <w:tcPr>
            <w:tcW w:w="10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6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0"/>
              </w:rPr>
              <w:t>Cash flows provided (used) by investing activities from continuing operations</w:t>
            </w: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900" w:type="dxa"/>
            <w:vAlign w:val="bottom"/>
            <w:gridSpan w:val="2"/>
          </w:tcPr>
          <w:p>
            <w:pPr>
              <w:jc w:val="right"/>
              <w:ind w:right="60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122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Purchase of operations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purchase of funds restricted for specific transactions</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Reimbursement from restricted investments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sales of securities</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Purchase of securities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the settlement of derivative instruments</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Payments for the settlement of derivative instruments</w:t>
            </w:r>
          </w:p>
        </w:tc>
        <w:tc>
          <w:tcPr>
            <w:tcW w:w="1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jc w:val="right"/>
              <w:ind w:right="63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6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60" w:name="page61"/>
    <w:bookmarkEnd w:id="60"/>
    <w:p>
      <w:pPr>
        <w:jc w:val="both"/>
        <w:ind w:left="400" w:right="400"/>
        <w:spacing w:after="0" w:line="263" w:lineRule="auto"/>
        <w:rPr>
          <w:sz w:val="20"/>
          <w:szCs w:val="20"/>
          <w:color w:val="auto"/>
        </w:rPr>
      </w:pPr>
      <w:r>
        <w:rPr>
          <w:rFonts w:ascii="Arial" w:cs="Arial" w:eastAsia="Arial" w:hAnsi="Arial"/>
          <w:sz w:val="19"/>
          <w:szCs w:val="19"/>
          <w:color w:val="auto"/>
        </w:rPr>
        <w:t>Cash used by investing activities was $49 million for both the current and prior year periods, respectively. The significant cash investing activities for the current period primarily related to cash outflows of $66 million for property additions compared to $70 million in the prior year period. Additionally, there were reimbursements from the restricted renewable annual asbestos trust of $19 million during the current period compared to $20 million in the prior year period.</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Financing activities</w:t>
      </w:r>
    </w:p>
    <w:p>
      <w:pPr>
        <w:spacing w:after="0" w:line="108"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discloses the cash flows associated with Ashland’s financing activities for the six months ended March 31, 2020 and 2019.</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8"/>
              </w:rPr>
              <w:t>Six months ended</w:t>
            </w:r>
          </w:p>
        </w:tc>
        <w:tc>
          <w:tcPr>
            <w:tcW w:w="10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March 31</w:t>
            </w:r>
          </w:p>
        </w:tc>
        <w:tc>
          <w:tcPr>
            <w:tcW w:w="1000" w:type="dxa"/>
            <w:vAlign w:val="bottom"/>
            <w:tcBorders>
              <w:bottom w:val="single" w:sz="8" w:color="auto"/>
            </w:tcBorders>
          </w:tcPr>
          <w:p>
            <w:pPr>
              <w:spacing w:after="0"/>
              <w:rPr>
                <w:sz w:val="20"/>
                <w:szCs w:val="20"/>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69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financing activities from continuing operations</w:t>
            </w:r>
          </w:p>
        </w:tc>
        <w:tc>
          <w:tcPr>
            <w:tcW w:w="13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ind w:left="240"/>
              <w:spacing w:after="0"/>
              <w:rPr>
                <w:sz w:val="20"/>
                <w:szCs w:val="20"/>
                <w:color w:val="auto"/>
              </w:rPr>
            </w:pPr>
            <w:r>
              <w:rPr>
                <w:rFonts w:ascii="Arial" w:cs="Arial" w:eastAsia="Arial" w:hAnsi="Arial"/>
                <w:sz w:val="18"/>
                <w:szCs w:val="18"/>
                <w:color w:val="auto"/>
              </w:rPr>
              <w:t>Proceeds from issuance of long-term debt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Repayment of long-term debt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20" w:type="dxa"/>
            <w:vAlign w:val="bottom"/>
          </w:tcPr>
          <w:p>
            <w:pPr>
              <w:spacing w:after="0"/>
              <w:rPr>
                <w:sz w:val="19"/>
                <w:szCs w:val="19"/>
                <w:color w:val="auto"/>
              </w:rPr>
            </w:pPr>
          </w:p>
        </w:tc>
        <w:tc>
          <w:tcPr>
            <w:tcW w:w="6920" w:type="dxa"/>
            <w:vAlign w:val="bottom"/>
            <w:gridSpan w:val="2"/>
          </w:tcPr>
          <w:p>
            <w:pPr>
              <w:ind w:left="240"/>
              <w:spacing w:after="0"/>
              <w:rPr>
                <w:sz w:val="20"/>
                <w:szCs w:val="20"/>
                <w:color w:val="auto"/>
              </w:rPr>
            </w:pPr>
            <w:r>
              <w:rPr>
                <w:rFonts w:ascii="Arial" w:cs="Arial" w:eastAsia="Arial" w:hAnsi="Arial"/>
                <w:sz w:val="18"/>
                <w:szCs w:val="18"/>
                <w:color w:val="auto"/>
              </w:rPr>
              <w:t>Premium on long-term debt repayment</w:t>
            </w: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Proceeds from (repayment of) short-term debt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r>
      <w:tr>
        <w:trPr>
          <w:trHeight w:val="229"/>
        </w:trPr>
        <w:tc>
          <w:tcPr>
            <w:tcW w:w="20" w:type="dxa"/>
            <w:vAlign w:val="bottom"/>
          </w:tcPr>
          <w:p>
            <w:pPr>
              <w:spacing w:after="0"/>
              <w:rPr>
                <w:sz w:val="19"/>
                <w:szCs w:val="19"/>
                <w:color w:val="auto"/>
              </w:rPr>
            </w:pPr>
          </w:p>
        </w:tc>
        <w:tc>
          <w:tcPr>
            <w:tcW w:w="6920" w:type="dxa"/>
            <w:vAlign w:val="bottom"/>
            <w:gridSpan w:val="2"/>
          </w:tcPr>
          <w:p>
            <w:pPr>
              <w:ind w:left="240"/>
              <w:spacing w:after="0"/>
              <w:rPr>
                <w:sz w:val="20"/>
                <w:szCs w:val="20"/>
                <w:color w:val="auto"/>
              </w:rPr>
            </w:pPr>
            <w:r>
              <w:rPr>
                <w:rFonts w:ascii="Arial" w:cs="Arial" w:eastAsia="Arial" w:hAnsi="Arial"/>
                <w:sz w:val="18"/>
                <w:szCs w:val="18"/>
                <w:color w:val="auto"/>
              </w:rPr>
              <w:t>Debt issuance costs</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Cash dividends paid</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240"/>
              <w:spacing w:after="0"/>
              <w:rPr>
                <w:sz w:val="20"/>
                <w:szCs w:val="20"/>
                <w:color w:val="auto"/>
              </w:rPr>
            </w:pPr>
            <w:r>
              <w:rPr>
                <w:rFonts w:ascii="Arial" w:cs="Arial" w:eastAsia="Arial" w:hAnsi="Arial"/>
                <w:sz w:val="18"/>
                <w:szCs w:val="18"/>
                <w:color w:val="auto"/>
              </w:rPr>
              <w:t>Stock based compensation employee withholding taxes paid in cash</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Total cash flows provided (used) by financing activities from continuing operations</w:t>
            </w: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Cash flows (used) provided by financing activities resulted in an inflow of $234 million for the current period as compared to an outflow of $36 million for the prior year period.</w:t>
      </w:r>
    </w:p>
    <w:p>
      <w:pPr>
        <w:spacing w:after="0" w:line="69"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19"/>
          <w:szCs w:val="19"/>
          <w:color w:val="auto"/>
        </w:rPr>
        <w:t>Significant cash financing activities for the current period included proceeds from issuance of long-term debt, repayment of long-term debt, premiums on retirement of long-term debt, and debt issuance costs paid of $804 million, $767 million, $59 million and $11 million, respectively, all related to debt refinancing activity. See note H for additional information. The current year period also included short-term cash inflows of $306 million, primarily related to draws on the 2020 Revolving Credit Facility. The current period included cash dividends paid of $0.550 per share, for a total of $33 million.</w:t>
      </w:r>
    </w:p>
    <w:p>
      <w:pPr>
        <w:spacing w:after="0" w:line="72"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Significant cash financing activities for the prior year period included long-term cash outflows of $8 million, primarily related to repayments of term loans and debentures. The prior period included cash dividends paid of $0.50 per share, for a total of $31 million. Additionally, $11 million of inflows were drawn out the 2017 Revolving Credit Facility.</w:t>
      </w:r>
    </w:p>
    <w:p>
      <w:pPr>
        <w:spacing w:after="0" w:line="78"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discloses the cash flows associated with Ashland’s discontinued operations for the six months ended March 31, 2020 and 2019.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42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3"/>
          </w:tcPr>
          <w:p>
            <w:pPr>
              <w:jc w:val="right"/>
              <w:ind w:right="467"/>
              <w:spacing w:after="0"/>
              <w:rPr>
                <w:sz w:val="20"/>
                <w:szCs w:val="20"/>
                <w:color w:val="auto"/>
              </w:rPr>
            </w:pPr>
            <w:r>
              <w:rPr>
                <w:rFonts w:ascii="Arial" w:cs="Arial" w:eastAsia="Arial" w:hAnsi="Arial"/>
                <w:sz w:val="18"/>
                <w:szCs w:val="18"/>
                <w:color w:val="auto"/>
              </w:rPr>
              <w:t>Six months ended</w:t>
            </w:r>
          </w:p>
        </w:tc>
        <w:tc>
          <w:tcPr>
            <w:tcW w:w="10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767"/>
              <w:spacing w:after="0"/>
              <w:rPr>
                <w:sz w:val="20"/>
                <w:szCs w:val="20"/>
                <w:color w:val="auto"/>
              </w:rPr>
            </w:pPr>
            <w:r>
              <w:rPr>
                <w:rFonts w:ascii="Arial" w:cs="Arial" w:eastAsia="Arial" w:hAnsi="Arial"/>
                <w:sz w:val="18"/>
                <w:szCs w:val="18"/>
                <w:color w:val="auto"/>
              </w:rPr>
              <w:t>March 31</w:t>
            </w:r>
          </w:p>
        </w:tc>
        <w:tc>
          <w:tcPr>
            <w:tcW w:w="10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1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provided (used) by discontinued operations</w:t>
            </w:r>
          </w:p>
        </w:tc>
        <w:tc>
          <w:tcPr>
            <w:tcW w:w="17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Operating cash flows</w:t>
            </w:r>
          </w:p>
        </w:tc>
        <w:tc>
          <w:tcPr>
            <w:tcW w:w="2500" w:type="dxa"/>
            <w:vAlign w:val="bottom"/>
            <w:gridSpan w:val="2"/>
          </w:tcPr>
          <w:p>
            <w:pPr>
              <w:jc w:val="right"/>
              <w:ind w:right="60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c>
          <w:tcPr>
            <w:tcW w:w="122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cash flows</w:t>
            </w:r>
          </w:p>
        </w:tc>
        <w:tc>
          <w:tcPr>
            <w:tcW w:w="17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400"/>
              <w:spacing w:after="0"/>
              <w:rPr>
                <w:sz w:val="20"/>
                <w:szCs w:val="20"/>
                <w:color w:val="auto"/>
              </w:rPr>
            </w:pPr>
            <w:r>
              <w:rPr>
                <w:rFonts w:ascii="Arial" w:cs="Arial" w:eastAsia="Arial" w:hAnsi="Arial"/>
                <w:sz w:val="18"/>
                <w:szCs w:val="18"/>
                <w:color w:val="auto"/>
              </w:rPr>
              <w:t>Total cash used by discontinued operations</w:t>
            </w:r>
          </w:p>
        </w:tc>
        <w:tc>
          <w:tcPr>
            <w:tcW w:w="1740" w:type="dxa"/>
            <w:vAlign w:val="bottom"/>
          </w:tcPr>
          <w:p>
            <w:pPr>
              <w:spacing w:after="0"/>
              <w:rPr>
                <w:sz w:val="19"/>
                <w:szCs w:val="19"/>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40" w:type="dxa"/>
            <w:vAlign w:val="bottom"/>
            <w:vMerge w:val="restart"/>
          </w:tcPr>
          <w:p>
            <w:pPr>
              <w:jc w:val="right"/>
              <w:ind w:right="770"/>
              <w:spacing w:after="0"/>
              <w:rPr>
                <w:sz w:val="20"/>
                <w:szCs w:val="20"/>
                <w:color w:val="auto"/>
              </w:rPr>
            </w:pPr>
            <w:r>
              <w:rPr>
                <w:rFonts w:ascii="Arial" w:cs="Arial" w:eastAsia="Arial" w:hAnsi="Arial"/>
                <w:sz w:val="18"/>
                <w:szCs w:val="18"/>
                <w:color w:val="auto"/>
              </w:rPr>
              <w:t>61</w:t>
            </w: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61" w:name="page62"/>
    <w:bookmarkEnd w:id="61"/>
    <w:p>
      <w:pPr>
        <w:jc w:val="both"/>
        <w:ind w:left="400" w:right="400"/>
        <w:spacing w:after="0" w:line="250" w:lineRule="auto"/>
        <w:rPr>
          <w:sz w:val="20"/>
          <w:szCs w:val="20"/>
          <w:color w:val="auto"/>
        </w:rPr>
      </w:pPr>
      <w:r>
        <w:rPr>
          <w:rFonts w:ascii="Arial" w:cs="Arial" w:eastAsia="Arial" w:hAnsi="Arial"/>
          <w:sz w:val="20"/>
          <w:szCs w:val="20"/>
          <w:color w:val="auto"/>
        </w:rPr>
        <w:t>Cash flows for discontinued operations in the current period primarily related to previously divested businesses, including net payments of asbestos, environmental liabilities and tax payments associated with the Composites divestiture, which was a $59 million cash outflow.</w:t>
      </w:r>
    </w:p>
    <w:p>
      <w:pPr>
        <w:spacing w:after="0" w:line="78"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Cash flows for discontinued operations in the prior year period included cash outflows of $25 million related to the activity of Composites and the Marl facility. The remaining cash flows for discontinued operations related to other previously divested businesses, including net payments of asbestos and environmental liabilities.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Free cash flow and other liquidity resources</w:t>
      </w:r>
    </w:p>
    <w:p>
      <w:pPr>
        <w:spacing w:after="0" w:line="108"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represents Ashland’s calculation of free cash flow for the disclosed quarters. Free cash flow does not reflect adjustments for certain non-discretionary cash flows such as mandatory debt repayments.</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8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4"/>
          </w:tcPr>
          <w:p>
            <w:pPr>
              <w:jc w:val="right"/>
              <w:ind w:right="467"/>
              <w:spacing w:after="0"/>
              <w:rPr>
                <w:sz w:val="20"/>
                <w:szCs w:val="20"/>
                <w:color w:val="auto"/>
              </w:rPr>
            </w:pPr>
            <w:r>
              <w:rPr>
                <w:rFonts w:ascii="Arial" w:cs="Arial" w:eastAsia="Arial" w:hAnsi="Arial"/>
                <w:sz w:val="18"/>
                <w:szCs w:val="18"/>
                <w:color w:val="auto"/>
              </w:rPr>
              <w:t>Six months ended</w:t>
            </w:r>
          </w:p>
        </w:tc>
        <w:tc>
          <w:tcPr>
            <w:tcW w:w="10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767"/>
              <w:spacing w:after="0"/>
              <w:rPr>
                <w:sz w:val="20"/>
                <w:szCs w:val="20"/>
                <w:color w:val="auto"/>
              </w:rPr>
            </w:pPr>
            <w:r>
              <w:rPr>
                <w:rFonts w:ascii="Arial" w:cs="Arial" w:eastAsia="Arial" w:hAnsi="Arial"/>
                <w:sz w:val="18"/>
                <w:szCs w:val="18"/>
                <w:color w:val="auto"/>
              </w:rPr>
              <w:t>March 31</w:t>
            </w:r>
          </w:p>
        </w:tc>
        <w:tc>
          <w:tcPr>
            <w:tcW w:w="1000" w:type="dxa"/>
            <w:vAlign w:val="bottom"/>
            <w:tcBorders>
              <w:bottom w:val="single" w:sz="8" w:color="auto"/>
            </w:tcBorders>
          </w:tcPr>
          <w:p>
            <w:pPr>
              <w:spacing w:after="0"/>
              <w:rPr>
                <w:sz w:val="20"/>
                <w:szCs w:val="20"/>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6"/>
              </w:rPr>
              <w:t>Total cash flows provided by operating activities from continuing operations</w:t>
            </w:r>
          </w:p>
        </w:tc>
        <w:tc>
          <w:tcPr>
            <w:tcW w:w="1100" w:type="dxa"/>
            <w:vAlign w:val="bottom"/>
            <w:tcBorders>
              <w:top w:val="single" w:sz="8" w:color="auto"/>
            </w:tcBorders>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ind w:right="887"/>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 xml:space="preserve">Free cash flows </w:t>
            </w:r>
            <w:r>
              <w:rPr>
                <w:rFonts w:ascii="Arial" w:cs="Arial" w:eastAsia="Arial" w:hAnsi="Arial"/>
                <w:sz w:val="14"/>
                <w:szCs w:val="14"/>
                <w:color w:val="auto"/>
              </w:rPr>
              <w:t>(a)</w:t>
            </w:r>
          </w:p>
        </w:tc>
        <w:tc>
          <w:tcPr>
            <w:tcW w:w="340" w:type="dxa"/>
            <w:vAlign w:val="bottom"/>
          </w:tcPr>
          <w:p>
            <w:pPr>
              <w:spacing w:after="0"/>
              <w:rPr>
                <w:sz w:val="19"/>
                <w:szCs w:val="19"/>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58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pacing w:after="0" w:line="89" w:lineRule="exact"/>
        <w:rPr>
          <w:sz w:val="20"/>
          <w:szCs w:val="20"/>
          <w:color w:val="auto"/>
        </w:rPr>
      </w:pPr>
    </w:p>
    <w:p>
      <w:pPr>
        <w:ind w:left="800" w:hanging="401"/>
        <w:spacing w:after="0"/>
        <w:tabs>
          <w:tab w:leader="none" w:pos="8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$13 million and $33 million of restructuring payments for the six months ended March 31, 2020 and 2019, respectively.</w:t>
      </w:r>
    </w:p>
    <w:p>
      <w:pPr>
        <w:spacing w:after="0" w:line="97"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Working capital (current assets minus current liabilities, excluding long-term debt due within one year) amounted to $673 million and $676 million as of March 31, 2020 and September 30, 2019, respectively. Liquid assets (cash, cash equivalents and accounts receivable) amounted to 88% and 94% of current liabilities (excluding current liabilities held for sale) as of March 31, 2020 and September 30, 2019, respectively.</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summary reflects Ashland’s cash and unused borrowing capacity as of March 31, 2020 and September 30, 2019.</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March 31</w:t>
            </w:r>
          </w:p>
        </w:tc>
        <w:tc>
          <w:tcPr>
            <w:tcW w:w="5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September 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3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81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and investment securities</w:t>
            </w:r>
          </w:p>
        </w:tc>
        <w:tc>
          <w:tcPr>
            <w:tcW w:w="38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20" w:type="dxa"/>
            <w:vAlign w:val="bottom"/>
          </w:tcPr>
          <w:p>
            <w:pPr>
              <w:jc w:val="right"/>
              <w:ind w:right="13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353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spacing w:after="0"/>
              <w:rPr>
                <w:sz w:val="19"/>
                <w:szCs w:val="19"/>
                <w:color w:val="auto"/>
              </w:rPr>
            </w:pPr>
          </w:p>
        </w:tc>
        <w:tc>
          <w:tcPr>
            <w:tcW w:w="3820" w:type="dxa"/>
            <w:vAlign w:val="bottom"/>
            <w:shd w:val="clear" w:color="auto" w:fill="CFF0FC"/>
          </w:tcPr>
          <w:p>
            <w:pPr>
              <w:spacing w:after="0"/>
              <w:rPr>
                <w:sz w:val="19"/>
                <w:szCs w:val="19"/>
                <w:color w:val="auto"/>
              </w:rPr>
            </w:pPr>
          </w:p>
        </w:tc>
        <w:tc>
          <w:tcPr>
            <w:tcW w:w="38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Unused borrowing capacity</w:t>
            </w:r>
          </w:p>
        </w:tc>
        <w:tc>
          <w:tcPr>
            <w:tcW w:w="3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3820" w:type="dxa"/>
            <w:vAlign w:val="bottom"/>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338</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752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Accounts receivable securitizations</w:t>
            </w:r>
          </w:p>
        </w:tc>
        <w:tc>
          <w:tcPr>
            <w:tcW w:w="382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8"/>
        </w:trPr>
        <w:tc>
          <w:tcPr>
            <w:tcW w:w="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820" w:type="dxa"/>
            <w:vAlign w:val="bottom"/>
          </w:tcPr>
          <w:p>
            <w:pPr>
              <w:jc w:val="right"/>
              <w:ind w:right="2250"/>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62" w:name="page63"/>
    <w:bookmarkEnd w:id="62"/>
    <w:p>
      <w:pPr>
        <w:jc w:val="both"/>
        <w:spacing w:after="0" w:line="244" w:lineRule="auto"/>
        <w:rPr>
          <w:sz w:val="20"/>
          <w:szCs w:val="20"/>
          <w:color w:val="auto"/>
        </w:rPr>
      </w:pPr>
      <w:r>
        <w:rPr>
          <w:rFonts w:ascii="Arial" w:cs="Arial" w:eastAsia="Arial" w:hAnsi="Arial"/>
          <w:sz w:val="20"/>
          <w:szCs w:val="20"/>
          <w:color w:val="auto"/>
        </w:rPr>
        <w:t>During the current year period, Ashland entered into a new revolving credit facility. The borrowing capacity remaining under the new $600 million revolving credit facility was $338 million due to an outstanding balance of $240 million and a reduction of $22 million for letters of credit outstanding at March 31, 2020. In total, Ashland’s available liquidity position, which includes cash, the revolving credit facility and the accounts receivable securitization facilities, was $692 million at March 31, 2020, compared to $1,032 million at September 30, 2019.</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summary reflects Ashland’s debt as of March 31, 2020 and September 30,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7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March 31</w:t>
            </w:r>
          </w:p>
        </w:tc>
        <w:tc>
          <w:tcPr>
            <w:tcW w:w="6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September 30</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860" w:type="dxa"/>
            <w:vAlign w:val="bottom"/>
            <w:gridSpan w:val="2"/>
          </w:tcPr>
          <w:p>
            <w:pPr>
              <w:jc w:val="right"/>
              <w:ind w:right="198"/>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8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1860" w:type="dxa"/>
            <w:vAlign w:val="bottom"/>
            <w:tcBorders>
              <w:top w:val="single" w:sz="8" w:color="auto"/>
            </w:tcBorders>
            <w:gridSpan w:val="2"/>
            <w:shd w:val="clear" w:color="auto" w:fill="CFF0FC"/>
          </w:tcPr>
          <w:p>
            <w:pPr>
              <w:jc w:val="right"/>
              <w:ind w:right="1258"/>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471</w:t>
            </w:r>
          </w:p>
        </w:tc>
        <w:tc>
          <w:tcPr>
            <w:tcW w:w="46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166</w:t>
            </w:r>
          </w:p>
        </w:tc>
      </w:tr>
      <w:tr>
        <w:trPr>
          <w:trHeight w:val="230"/>
        </w:trPr>
        <w:tc>
          <w:tcPr>
            <w:tcW w:w="20" w:type="dxa"/>
            <w:vAlign w:val="bottom"/>
          </w:tcPr>
          <w:p>
            <w:pPr>
              <w:spacing w:after="0"/>
              <w:rPr>
                <w:sz w:val="19"/>
                <w:szCs w:val="19"/>
                <w:color w:val="auto"/>
              </w:rPr>
            </w:pPr>
          </w:p>
        </w:tc>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6"/>
              </w:rPr>
              <w:t>Long-term debt (less current portion and debt issuance cost discounts) (a)</w:t>
            </w:r>
          </w:p>
        </w:tc>
        <w:tc>
          <w:tcPr>
            <w:tcW w:w="44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1,535</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1,501</w:t>
            </w: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4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5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2,006</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1,667</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pacing w:after="0" w:line="89" w:lineRule="exact"/>
        <w:rPr>
          <w:sz w:val="20"/>
          <w:szCs w:val="20"/>
          <w:color w:val="auto"/>
        </w:rPr>
      </w:pPr>
    </w:p>
    <w:p>
      <w:pPr>
        <w:ind w:left="780" w:hanging="389"/>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$15 million and $12 million of debt issuance cost discounts as of March 31, 2020 and September 30, 2019, respectively.</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current year, Ashland entered into a new credit facility, the 2020 Credit Agreement, which was comprised of a $600 million, 5-year credit facility and a $250 million 5-year term loan. Additionally, Ashland issued new 8-year Senior notes in Europe, for approximately $554 million. The proceeds of these debt issuances were primarily used to tender on current Senior notes for a total of $767 million. See Note H for more information.</w:t>
      </w:r>
    </w:p>
    <w:p>
      <w:pPr>
        <w:spacing w:after="0" w:line="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Debt as a percent of capital employed was 40% and 32% at March 31, 2020 and at September 30, 2019, respectively. At March 31, 2020, Ashland’s total debt had an outstanding principal balance of $2,066 million, discounts of $45 million, and debt issuance costs of $15 million. The scheduled aggregate maturities of long-term debt by year (including the current portion and excluding debt issuance costs) are as follows: zero remaining in 2020, zero in 2021, $421 million in 2022, $22 million in 2023 and $44 million in 2024.</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credit ratings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Ashland’s corporate credit rating with Standard &amp; Poor’s is BB+, while Moody’s Investor Services is Ba1. Moody’s Investor Services and Standard &amp; Poor's outlooks both remained at stable. Subsequent changes to these ratings may have an effect on Ashland’s borrowing rate or ability to access capital markets in the future.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debt covenant restrictions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Ashland's most recent credit agreement (the 2020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2020, Ashland is in compliance with all debt agreement covenant restrictions under the 2020 Credit Agreement.</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maximum consolidated net leverage ratio permitted under the 2020 Credit Agreement is 4.0. The 2020 Credit Agreement defines the consolidated net leverage ratio as the ratio of consolidated indebtedness minus unrestricted cash and cash equivalents to consolidated EBITDA (Covenant Adjusted EBITDA) for any measurement period. In general, the 2020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above in the “consolidated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339" w:right="739" w:bottom="1440" w:gutter="0" w:footer="0" w:header="0"/>
        </w:sectPr>
      </w:pPr>
    </w:p>
    <w:bookmarkStart w:id="63" w:name="page64"/>
    <w:bookmarkEnd w:id="63"/>
    <w:p>
      <w:pPr>
        <w:jc w:val="both"/>
        <w:ind w:left="400"/>
        <w:spacing w:after="0" w:line="250" w:lineRule="auto"/>
        <w:rPr>
          <w:sz w:val="20"/>
          <w:szCs w:val="20"/>
          <w:color w:val="auto"/>
        </w:rPr>
      </w:pPr>
      <w:r>
        <w:rPr>
          <w:rFonts w:ascii="Arial" w:cs="Arial" w:eastAsia="Arial" w:hAnsi="Arial"/>
          <w:sz w:val="20"/>
          <w:szCs w:val="20"/>
          <w:color w:val="auto"/>
        </w:rPr>
        <w:t>review” section. In general, consolidated indebtedness includes debt plus all purchase money indebtedness, banker’s acceptances and bank guaranties, deferred purchase price of property or services, attributable indebtedness and guarantees. At March 31, 2020, Ashland’s calculation of the consolidated net leverage ratio was 3.1.</w:t>
      </w:r>
    </w:p>
    <w:p>
      <w:pPr>
        <w:spacing w:after="0" w:line="78"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The minimum required consolidated interest coverage ratio under the 2020 Credit Agreement is 3.0. The 2020 Credit Agreement defines the consolidated interest coverage ratio as the ratio of Covenant Adjusted EBITDA to consolidated interest charges for any measurement period. At March 31, 2020, Ashland’s calculation of the consolidated interest coverage ratio was 7.7.</w:t>
      </w:r>
    </w:p>
    <w:p>
      <w:pPr>
        <w:spacing w:after="0" w:line="4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Any change in Covenant Adjusted EBITDA of $100 million would have an approximate 0.6x effect on the consolidated net leverage ratio and a 1.4x effect on the consolidated interest coverage ratio. The average change in consolidated indebtedness of $100 million would affect the consolidated leverage ratio by approximately 0.2x.</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Additional capital resources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Cash projection</w:t>
      </w:r>
    </w:p>
    <w:p>
      <w:pPr>
        <w:spacing w:after="0" w:line="108"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Ashland believes that cash flow from operations, availability under existing credit facilities and arrangements, current cash and investment balances and the ability to obtain other financing, if necessary, will provide adequate cash funds for the Company’s foreseeable working capital needs, capital expenditures at existing facilities, pending acquisitions, dividend payments and debt service obligations. The Company’s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risk factors in this report.</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Total equity</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Total equity decreased $588 million since September 30, 2019 to $2,983 million at March 31, 2020. The decrease of $588 million was due to net loss of $550 million, deferred translation loss of $14 million, and dividends of $33 million, offset by $9 million of common shares issued under stock incentive and other plans.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Stockholder dividends</w:t>
      </w:r>
    </w:p>
    <w:p>
      <w:pPr>
        <w:spacing w:after="0" w:line="108"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In May 2019, the Board of Directors of Ashland announced a quarterly cash dividend of 27.5 cents per share to eligible stockholders at record, which represented an increase from previous quarterly cash dividend of 25.0 cents per share. This dividend was paid in the third and fourth quarter of fiscal 2019 and the first and second quarters of fiscal 2020.</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Capital expenditures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Capital expenditures were $66 million for the six months ended March 31, 2020 compared to $70 million for the six months ended March 31, 2019.</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14"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2019.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six months ended March 31, 2020.</w:t>
      </w:r>
    </w:p>
    <w:p>
      <w:pPr>
        <w:spacing w:after="0" w:line="17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47" w:right="739" w:bottom="1440" w:gutter="0" w:footer="0" w:header="0"/>
        </w:sectPr>
      </w:pPr>
    </w:p>
    <w:bookmarkStart w:id="64" w:name="page65"/>
    <w:bookmarkEnd w:id="64"/>
    <w:p>
      <w:pPr>
        <w:ind w:left="400"/>
        <w:spacing w:after="0"/>
        <w:rPr>
          <w:sz w:val="20"/>
          <w:szCs w:val="20"/>
          <w:color w:val="auto"/>
        </w:rPr>
      </w:pPr>
      <w:r>
        <w:rPr>
          <w:rFonts w:ascii="Arial" w:cs="Arial" w:eastAsia="Arial" w:hAnsi="Arial"/>
          <w:sz w:val="20"/>
          <w:szCs w:val="20"/>
          <w:i w:val="1"/>
          <w:iCs w:val="1"/>
          <w:color w:val="auto"/>
        </w:rPr>
        <w:t>Goodwill and other indefinite-lived intangible assets</w:t>
      </w:r>
    </w:p>
    <w:p>
      <w:pPr>
        <w:spacing w:after="0" w:line="108" w:lineRule="exact"/>
        <w:rPr>
          <w:sz w:val="20"/>
          <w:szCs w:val="20"/>
          <w:color w:val="auto"/>
        </w:rPr>
      </w:pPr>
    </w:p>
    <w:p>
      <w:pPr>
        <w:jc w:val="both"/>
        <w:ind w:left="400" w:right="400"/>
        <w:spacing w:after="0" w:line="259" w:lineRule="auto"/>
        <w:rPr>
          <w:sz w:val="20"/>
          <w:szCs w:val="20"/>
          <w:color w:val="auto"/>
        </w:rPr>
      </w:pPr>
      <w:r>
        <w:rPr>
          <w:rFonts w:ascii="Arial" w:cs="Arial" w:eastAsia="Arial" w:hAnsi="Arial"/>
          <w:sz w:val="19"/>
          <w:szCs w:val="19"/>
          <w:color w:val="auto"/>
        </w:rPr>
        <w:t>Ashland tests goodwill and other indefinite-lived intangible assets for impairment annually as of July 1 and when events and circumstances indicate an impairment may have occurred. Ashland tests goodwill and other indefinite-lived intangible assets for impairment by comparing the estimated fair value of the reporting units (for goodwill) or other indefinite-lived intangible assets to the related carrying value. If the carrying amount of a reporting unit or other indefinite-lived intangible asset exceeds its estimated fair value, Ashland records an impairment loss based on the difference between fair value and carrying amount, in the case of reporting units, not to exceed to the associated carrying amount of goodwill.</w:t>
      </w:r>
    </w:p>
    <w:p>
      <w:pPr>
        <w:spacing w:after="0" w:line="70" w:lineRule="exact"/>
        <w:rPr>
          <w:sz w:val="20"/>
          <w:szCs w:val="20"/>
          <w:color w:val="auto"/>
        </w:rPr>
      </w:pPr>
    </w:p>
    <w:p>
      <w:pPr>
        <w:jc w:val="both"/>
        <w:ind w:left="400" w:right="400"/>
        <w:spacing w:after="0" w:line="274" w:lineRule="auto"/>
        <w:rPr>
          <w:sz w:val="20"/>
          <w:szCs w:val="20"/>
          <w:color w:val="auto"/>
        </w:rPr>
      </w:pPr>
      <w:r>
        <w:rPr>
          <w:rFonts w:ascii="Arial" w:cs="Arial" w:eastAsia="Arial" w:hAnsi="Arial"/>
          <w:sz w:val="18"/>
          <w:szCs w:val="18"/>
          <w:color w:val="auto"/>
        </w:rPr>
        <w:t>Reporting units are defined as either operating segments or one level below the operating segments for which discrete financial information is available and reviewed by the business management. During the second quarter of fiscal 2020, Ashland realigned its operations into five reportable segments which resulted in a reassessment of the Company’s reporting units used to evaluate goodwill impairment. The Company’s reporting units align with its reportable segments. Ashland determined that its reporting units are Life Sciences, Personal Care &amp; Household, Specialty Additives, Performance Adhesives, and Intermediates and Solvents. Prior to the business realignment, the reporting units consisted of Ashland Specialty Ingredients and Intermediates and Solvents. The Ashland Specialty Ingredients reporting unit contained all of Ashland’s reported goodwill at September 30, 2019.</w:t>
      </w:r>
    </w:p>
    <w:p>
      <w:pPr>
        <w:spacing w:after="0" w:line="60"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In conjunction with the realignment, Ashland tested goodwill for impairment for each reporting unit both immediately before and immediately after the business realignment. The fair values of the reporting units were determined using a combination of discounted cash flow models and valuations based on earnings multiples for guideline public companies in each reporting unit’s industry peer group.</w:t>
      </w:r>
    </w:p>
    <w:p>
      <w:pPr>
        <w:spacing w:after="0" w:line="83" w:lineRule="exact"/>
        <w:rPr>
          <w:sz w:val="20"/>
          <w:szCs w:val="20"/>
          <w:color w:val="auto"/>
        </w:rPr>
      </w:pPr>
    </w:p>
    <w:p>
      <w:pPr>
        <w:jc w:val="both"/>
        <w:ind w:left="400" w:right="400"/>
        <w:spacing w:after="0" w:line="270" w:lineRule="auto"/>
        <w:rPr>
          <w:sz w:val="20"/>
          <w:szCs w:val="20"/>
          <w:color w:val="auto"/>
        </w:rPr>
      </w:pPr>
      <w:r>
        <w:rPr>
          <w:rFonts w:ascii="Arial" w:cs="Arial" w:eastAsia="Arial" w:hAnsi="Arial"/>
          <w:sz w:val="18"/>
          <w:szCs w:val="18"/>
          <w:color w:val="auto"/>
        </w:rPr>
        <w:t>The goodwill impairment test under the former reporting unit structure concluded that no impairment existed during the second quarter of fiscal 2020. Ashland then allocated goodwill to the new reporting unit structure using a relative fair value approach and re-assessed goodwill for impairment for each of its new reporting units. The impairment test under the new reporting unit structure concluded that Life Sciences and Performance Adhesives fair value were in excess of the carrying amounts by more than 10%. The carrying value of the Personal Care &amp; Household reporting unit and the Specialty Additives reporting unit exceeded its respective fair value, resulting in a non-cash goodwill impairment charge of $530 million, which was recorded within the Goodwill impairment caption within the Statement of Consolidated Comprehensive Income (Loss) for the three and six months ended March 31, 2020. Remaining goodwill after impairment was zero for Personal Care &amp; Household and $435 million for Specialty Additives. The Personal Care &amp; Household goodwill impairment charge was due in large part to lower growth and lower margins since the acquisitions of the Oral Care and Avoca businesses, which collectively have resulted in reduced cash flow projections. The Specialty Additives goodwill impairment charge was also due in large part to lower growth and lower margins within the global construction and energy end markets, which collectively have resulted in reduced cash flow projections.</w:t>
      </w:r>
    </w:p>
    <w:p>
      <w:pPr>
        <w:spacing w:after="0" w:line="68" w:lineRule="exact"/>
        <w:rPr>
          <w:sz w:val="20"/>
          <w:szCs w:val="20"/>
          <w:color w:val="auto"/>
        </w:rPr>
      </w:pPr>
    </w:p>
    <w:p>
      <w:pPr>
        <w:jc w:val="both"/>
        <w:ind w:left="400" w:right="400"/>
        <w:spacing w:after="0" w:line="244" w:lineRule="auto"/>
        <w:rPr>
          <w:sz w:val="20"/>
          <w:szCs w:val="20"/>
          <w:color w:val="auto"/>
        </w:rPr>
      </w:pPr>
      <w:r>
        <w:rPr>
          <w:rFonts w:ascii="Arial" w:cs="Arial" w:eastAsia="Arial" w:hAnsi="Arial"/>
          <w:sz w:val="20"/>
          <w:szCs w:val="20"/>
          <w:color w:val="auto"/>
        </w:rPr>
        <w:t>The table below provides a sensitivity analysis for Specialty Additives goodwill, utilizing reasonably possible changes in the assumptions for the shorter term and residual growth rates and the discount rate, to demonstrate the potential impacts to the estimated fair values. The table below provides, in isolation, the estimated fair value impacts related to a 25-basis point increase to discount rate or a 25-basis point decrease to residual growth rates, both of which would result in incremental impairment charges to Specialty Additives reporting unit.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Approximate Percent Change in Estimated Fair Value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3260" w:type="dxa"/>
            <w:vAlign w:val="bottom"/>
            <w:tcBorders>
              <w:top w:val="single" w:sz="8" w:color="auto"/>
              <w:bottom w:val="single" w:sz="8" w:color="auto"/>
            </w:tcBorders>
          </w:tcPr>
          <w:p>
            <w:pPr>
              <w:spacing w:after="0"/>
              <w:rPr>
                <w:sz w:val="19"/>
                <w:szCs w:val="19"/>
                <w:color w:val="auto"/>
              </w:rPr>
            </w:pPr>
          </w:p>
        </w:tc>
        <w:tc>
          <w:tcPr>
            <w:tcW w:w="25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9"/>
              </w:rPr>
              <w:t>+25 bps</w:t>
            </w:r>
          </w:p>
        </w:tc>
        <w:tc>
          <w:tcPr>
            <w:tcW w:w="200" w:type="dxa"/>
            <w:vAlign w:val="bottom"/>
            <w:tcBorders>
              <w:top w:val="single" w:sz="8" w:color="auto"/>
              <w:bottom w:val="single" w:sz="8" w:color="auto"/>
            </w:tcBorders>
          </w:tcPr>
          <w:p>
            <w:pPr>
              <w:spacing w:after="0"/>
              <w:rPr>
                <w:sz w:val="19"/>
                <w:szCs w:val="19"/>
                <w:color w:val="auto"/>
              </w:rPr>
            </w:pPr>
          </w:p>
        </w:tc>
        <w:tc>
          <w:tcPr>
            <w:tcW w:w="25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89"/>
              </w:rPr>
              <w:t>-25 bps</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Discount Rate</w:t>
            </w:r>
          </w:p>
        </w:tc>
        <w:tc>
          <w:tcPr>
            <w:tcW w:w="2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Growth Rate</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Specialty Additives</w:t>
            </w:r>
          </w:p>
        </w:tc>
        <w:tc>
          <w:tcPr>
            <w:tcW w:w="4380" w:type="dxa"/>
            <w:vAlign w:val="bottom"/>
            <w:gridSpan w:val="2"/>
            <w:shd w:val="clear" w:color="auto" w:fill="CCEEFF"/>
          </w:tcPr>
          <w:p>
            <w:pPr>
              <w:jc w:val="center"/>
              <w:ind w:left="2330"/>
              <w:spacing w:after="0"/>
              <w:rPr>
                <w:sz w:val="20"/>
                <w:szCs w:val="20"/>
                <w:color w:val="auto"/>
              </w:rPr>
            </w:pPr>
            <w:r>
              <w:rPr>
                <w:rFonts w:ascii="Arial" w:cs="Arial" w:eastAsia="Arial" w:hAnsi="Arial"/>
                <w:sz w:val="18"/>
                <w:szCs w:val="18"/>
                <w:color w:val="auto"/>
                <w:w w:val="93"/>
              </w:rPr>
              <w:t>-2.9%</w:t>
            </w:r>
          </w:p>
        </w:tc>
        <w:tc>
          <w:tcPr>
            <w:tcW w:w="2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-2.1%</w:t>
            </w:r>
          </w:p>
        </w:tc>
        <w:tc>
          <w:tcPr>
            <w:tcW w:w="400" w:type="dxa"/>
            <w:vAlign w:val="bottom"/>
          </w:tcPr>
          <w:p>
            <w:pPr>
              <w:spacing w:after="0"/>
              <w:rPr>
                <w:sz w:val="19"/>
                <w:szCs w:val="19"/>
                <w:color w:val="auto"/>
              </w:rPr>
            </w:pPr>
          </w:p>
        </w:tc>
      </w:tr>
      <w:tr>
        <w:trPr>
          <w:trHeight w:val="662"/>
        </w:trPr>
        <w:tc>
          <w:tcPr>
            <w:tcW w:w="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40" w:type="dxa"/>
            <w:vAlign w:val="bottom"/>
          </w:tcPr>
          <w:p>
            <w:pPr>
              <w:jc w:val="right"/>
              <w:ind w:right="410"/>
              <w:spacing w:after="0"/>
              <w:rPr>
                <w:sz w:val="20"/>
                <w:szCs w:val="20"/>
                <w:color w:val="auto"/>
              </w:rPr>
            </w:pPr>
            <w:r>
              <w:rPr>
                <w:rFonts w:ascii="Arial" w:cs="Arial" w:eastAsia="Arial" w:hAnsi="Arial"/>
                <w:sz w:val="18"/>
                <w:szCs w:val="18"/>
                <w:color w:val="auto"/>
              </w:rPr>
              <w:t>65</w:t>
            </w: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65" w:name="page66"/>
    <w:bookmarkEnd w:id="65"/>
    <w:p>
      <w:pPr>
        <w:jc w:val="both"/>
        <w:spacing w:after="0" w:line="273" w:lineRule="auto"/>
        <w:rPr>
          <w:sz w:val="20"/>
          <w:szCs w:val="20"/>
          <w:color w:val="auto"/>
        </w:rPr>
      </w:pPr>
      <w:r>
        <w:rPr>
          <w:rFonts w:ascii="Arial" w:cs="Arial" w:eastAsia="Arial" w:hAnsi="Arial"/>
          <w:sz w:val="18"/>
          <w:szCs w:val="18"/>
          <w:color w:val="auto"/>
        </w:rPr>
        <w:t>Significant assumptions inherent in the valuation methodologies include estimates of future projected business results (principally revenue and EBITDA), long-term growth rates, and the weighted-average cost of capital. Ashland performed sensitivity analyses by using a range of inputs to confirm reasonableness of these estimates. Additionally, Ashland compares the indicated equity value to Ashland’s market capitalization, and implied control premium/discount, to determine if the estimated enterprise value is reasonable compared to external market indicators. Ashland believes the data and assumptions used are appropriate in the circumstances and consistent with internal projections. Significant assumptions utilized in the impairment analysis performed during the second quarter of 2020 included the weighted average cost of capital, ranging between 9.0% and 10.5%, and terminal growth rate, ranging between 2.0% and 4.0% depending on the reporting unit.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393" w:right="739" w:bottom="1440"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Ashland’s market risk exposure at March 31, 2020 is generally consistent with the types of market risk exposures presented in Ashland’s Annual Report on Form 10-K for the fiscal year ended September 30, 2019.</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 As of the end of the period covered by this quarterly report, Ashland, under the supervision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March 31, 2020.</w:t>
      </w:r>
    </w:p>
    <w:p>
      <w:pPr>
        <w:spacing w:after="0" w:line="57"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During the three months ended March 31, 2020, there were no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33" w:right="739" w:bottom="1440" w:gutter="0" w:footer="0" w:header="0"/>
        </w:sectPr>
      </w:pPr>
    </w:p>
    <w:bookmarkStart w:id="67" w:name="page68"/>
    <w:bookmarkEnd w:id="67"/>
    <w:p>
      <w:pPr>
        <w:jc w:val="center"/>
        <w:ind w:right="-399"/>
        <w:spacing w:after="0"/>
        <w:rPr>
          <w:sz w:val="20"/>
          <w:szCs w:val="20"/>
          <w:color w:val="auto"/>
        </w:rPr>
      </w:pPr>
      <w:r>
        <w:rPr>
          <w:rFonts w:ascii="Arial" w:cs="Arial" w:eastAsia="Arial" w:hAnsi="Arial"/>
          <w:sz w:val="20"/>
          <w:szCs w:val="20"/>
          <w:b w:val="1"/>
          <w:bCs w:val="1"/>
          <w:color w:val="auto"/>
        </w:rPr>
        <w:t>PART II –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description of Ashland’s material legal proceedings.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Asbestos-Related Litigation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83"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4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and Hercules are also defendants in lawsuits alleging exposure to asbestos at facilities formerly or presently owned or operated by Ashland or Hercules.</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For additional detailed information regarding liabilities arising from asbestos-related litigation, see Note L of Notes to Condensed Consolidated Financial Statements in this quarterly report on Form 10-Q.</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Environmental Proceedings</w:t>
      </w:r>
    </w:p>
    <w:p>
      <w:pPr>
        <w:spacing w:after="0" w:line="108" w:lineRule="exact"/>
        <w:rPr>
          <w:sz w:val="20"/>
          <w:szCs w:val="20"/>
          <w:color w:val="auto"/>
        </w:rPr>
      </w:pPr>
    </w:p>
    <w:p>
      <w:pPr>
        <w:jc w:val="both"/>
        <w:ind w:left="400" w:firstLine="2"/>
        <w:spacing w:after="0" w:line="271" w:lineRule="auto"/>
        <w:tabs>
          <w:tab w:leader="none" w:pos="682"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CERCLA and Similar State Law Sites - </w:t>
      </w:r>
      <w:r>
        <w:rPr>
          <w:rFonts w:ascii="Arial" w:cs="Arial" w:eastAsia="Arial" w:hAnsi="Arial"/>
          <w:sz w:val="18"/>
          <w:szCs w:val="18"/>
          <w:color w:val="auto"/>
        </w:rPr>
        <w:t>Under the Comprehensive Environmental Response, Compensation and Liability Act of</w:t>
      </w:r>
      <w:r>
        <w:rPr>
          <w:rFonts w:ascii="Arial" w:cs="Arial" w:eastAsia="Arial" w:hAnsi="Arial"/>
          <w:sz w:val="18"/>
          <w:szCs w:val="18"/>
          <w:i w:val="1"/>
          <w:iCs w:val="1"/>
          <w:color w:val="auto"/>
        </w:rPr>
        <w:t xml:space="preserve"> </w:t>
      </w:r>
      <w:r>
        <w:rPr>
          <w:rFonts w:ascii="Arial" w:cs="Arial" w:eastAsia="Arial" w:hAnsi="Arial"/>
          <w:sz w:val="18"/>
          <w:szCs w:val="18"/>
          <w:color w:val="auto"/>
        </w:rPr>
        <w:t>1980 and similar state laws, Ashland and its subsidiaries may be subject to joint and several liability for cleanup costs in connection with alleged releases of hazardous substances at sites where it has been identified as a “potentially responsible party” (PRP). As of March 31, 2020, Ashland and its subsidiaries have been identified as a PRP by U.S. federal and state authorities, or by private parties seeking contribution, for the cost of environmental investigation and/or cleanup at 79 waste treatment or disposal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65" w:lineRule="exact"/>
        <w:rPr>
          <w:rFonts w:ascii="Arial" w:cs="Arial" w:eastAsia="Arial" w:hAnsi="Arial"/>
          <w:sz w:val="18"/>
          <w:szCs w:val="18"/>
          <w:i w:val="1"/>
          <w:iCs w:val="1"/>
          <w:color w:val="auto"/>
        </w:rPr>
      </w:pPr>
    </w:p>
    <w:p>
      <w:pPr>
        <w:jc w:val="both"/>
        <w:ind w:left="400" w:firstLine="2"/>
        <w:spacing w:after="0" w:line="272" w:lineRule="auto"/>
        <w:tabs>
          <w:tab w:leader="none" w:pos="689"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Hattiesburg, Mississippi Resource Conservation and Recovery Act Matter - </w:t>
      </w:r>
      <w:r>
        <w:rPr>
          <w:rFonts w:ascii="Arial" w:cs="Arial" w:eastAsia="Arial" w:hAnsi="Arial"/>
          <w:sz w:val="18"/>
          <w:szCs w:val="18"/>
          <w:color w:val="auto"/>
        </w:rPr>
        <w:t>In November 2008, the Mississippi Department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Quality (MDEQ) issued a Notice of Violation to Hercules’ now-closed Hattiesburg, Mississippi manufacturing facility alleging that a process water impoundment basin at the facility had been operated as a hazardous waste storage and treatment facility without a permit in violation of the Resource Conservation and Recovery Act. In May 2011, the USEPA issued an inspection report from a September 2010 inspection with allegations similar to those of the MDEQ and promulgated an information request. Ashland has been working with the MDEQ and USEPA to settle this matter in the context of the shutdown and ongoing remediation of the Hattiesburg facility. The USEPA proposed a settlement penalty in excess of $100,000. While it is reasonable to believe that this matter will involve a penalty from the MDEQ and/or the USEPA exceeding $100,000, the potential penalty with respect to this enforcement matter should not be material to Ashland.</w:t>
      </w:r>
    </w:p>
    <w:p>
      <w:pPr>
        <w:spacing w:after="0" w:line="62" w:lineRule="exact"/>
        <w:rPr>
          <w:rFonts w:ascii="Arial" w:cs="Arial" w:eastAsia="Arial" w:hAnsi="Arial"/>
          <w:sz w:val="18"/>
          <w:szCs w:val="18"/>
          <w:i w:val="1"/>
          <w:iCs w:val="1"/>
          <w:color w:val="auto"/>
        </w:rPr>
      </w:pPr>
    </w:p>
    <w:p>
      <w:pPr>
        <w:jc w:val="both"/>
        <w:ind w:left="400" w:firstLine="2"/>
        <w:spacing w:after="0" w:line="241" w:lineRule="auto"/>
        <w:tabs>
          <w:tab w:leader="none" w:pos="692"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Lower Passaic River, New Jersey Matters - </w:t>
      </w:r>
      <w:r>
        <w:rPr>
          <w:rFonts w:ascii="Arial" w:cs="Arial" w:eastAsia="Arial" w:hAnsi="Arial"/>
          <w:sz w:val="20"/>
          <w:szCs w:val="20"/>
          <w:color w:val="auto"/>
        </w:rPr>
        <w:t>Ashland, through two formerly owned facilities, and ISP, through a now-closed</w:t>
      </w:r>
      <w:r>
        <w:rPr>
          <w:rFonts w:ascii="Arial" w:cs="Arial" w:eastAsia="Arial" w:hAnsi="Arial"/>
          <w:sz w:val="20"/>
          <w:szCs w:val="20"/>
          <w:i w:val="1"/>
          <w:iCs w:val="1"/>
          <w:color w:val="auto"/>
        </w:rPr>
        <w:t xml:space="preserve"> </w:t>
      </w:r>
      <w:r>
        <w:rPr>
          <w:rFonts w:ascii="Arial" w:cs="Arial" w:eastAsia="Arial" w:hAnsi="Arial"/>
          <w:sz w:val="20"/>
          <w:szCs w:val="20"/>
          <w:color w:val="auto"/>
        </w:rPr>
        <w:t>facility, 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w:t>
      </w: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33" w:right="739" w:bottom="1440" w:gutter="0" w:footer="0" w:header="0"/>
        </w:sectPr>
      </w:pPr>
    </w:p>
    <w:bookmarkStart w:id="68" w:name="page69"/>
    <w:bookmarkEnd w:id="68"/>
    <w:p>
      <w:pPr>
        <w:jc w:val="both"/>
        <w:spacing w:after="0" w:line="246" w:lineRule="auto"/>
        <w:rPr>
          <w:sz w:val="20"/>
          <w:szCs w:val="20"/>
          <w:color w:val="auto"/>
        </w:rPr>
      </w:pPr>
      <w:r>
        <w:rPr>
          <w:rFonts w:ascii="Arial" w:cs="Arial" w:eastAsia="Arial" w:hAnsi="Arial"/>
          <w:sz w:val="20"/>
          <w:szCs w:val="20"/>
          <w:color w:val="auto"/>
        </w:rPr>
        <w:t>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83" w:lineRule="exact"/>
        <w:rPr>
          <w:sz w:val="20"/>
          <w:szCs w:val="20"/>
          <w:color w:val="auto"/>
        </w:rPr>
      </w:pPr>
    </w:p>
    <w:p>
      <w:pPr>
        <w:jc w:val="both"/>
        <w:ind w:firstLine="2"/>
        <w:spacing w:after="0" w:line="278" w:lineRule="auto"/>
        <w:tabs>
          <w:tab w:leader="none" w:pos="303"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Freetown, MA Resource Conservation and Recovery Act (RCRA) Matter - </w:t>
      </w:r>
      <w:r>
        <w:rPr>
          <w:rFonts w:ascii="Arial" w:cs="Arial" w:eastAsia="Arial" w:hAnsi="Arial"/>
          <w:sz w:val="18"/>
          <w:szCs w:val="18"/>
          <w:color w:val="auto"/>
        </w:rPr>
        <w:t>On September 27, 2018, the USEPA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Complaint, Compliance Order and Opportunity for Hearing to ISP Freetown Fine Chemicals, Inc.’s facility in Assonet, Massachusetts alleging various violations of the RCRA relating to certain distillation tanks at the facility and seeking a penalty of $203,792. Ashland disputes USEPA’s stated interpretation of the RCRA regulations and their applicability to these tanks. While this matter could result in a penalty from USEPA in excess of $100,000, the potential penalty is not expected to be material to Ashland.</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additional information regarding environmental matters and reserves, see Note L of Notes to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Pending Legal Proceedings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March 31, 2020. There is a reasonable possibility that a loss exceeding amounts already recognized may be incurred related to these actions; however, Ashland believes that such potential losses were immaterial as of March 31,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47" w:right="739"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ITEM 1A. RISK FACTORS</w:t>
      </w:r>
    </w:p>
    <w:p>
      <w:pPr>
        <w:spacing w:after="0" w:line="114"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During the period covered by this report, there were no material changes from the risk factors previously disclosed in Ashland’s Annual Report on Form 10-K for the fiscal year ended September 30, 2019.</w:t>
      </w:r>
    </w:p>
    <w:p>
      <w:pPr>
        <w:spacing w:after="0" w:line="63" w:lineRule="exact"/>
        <w:rPr>
          <w:sz w:val="20"/>
          <w:szCs w:val="20"/>
          <w:color w:val="auto"/>
        </w:rPr>
      </w:pPr>
    </w:p>
    <w:p>
      <w:pPr>
        <w:jc w:val="both"/>
        <w:ind w:left="400" w:right="400"/>
        <w:spacing w:after="0" w:line="267" w:lineRule="auto"/>
        <w:rPr>
          <w:sz w:val="20"/>
          <w:szCs w:val="20"/>
          <w:color w:val="auto"/>
        </w:rPr>
      </w:pPr>
      <w:r>
        <w:rPr>
          <w:rFonts w:ascii="Arial" w:cs="Arial" w:eastAsia="Arial" w:hAnsi="Arial"/>
          <w:sz w:val="20"/>
          <w:szCs w:val="20"/>
          <w:b w:val="1"/>
          <w:bCs w:val="1"/>
          <w:color w:val="auto"/>
        </w:rPr>
        <w:t>The COVID-19 pandemic could have a material adverse effect on Ashland’s business operations, results of operations, cash flows and financial position</w:t>
      </w:r>
    </w:p>
    <w:p>
      <w:pPr>
        <w:spacing w:after="0" w:line="61" w:lineRule="exact"/>
        <w:rPr>
          <w:sz w:val="20"/>
          <w:szCs w:val="20"/>
          <w:color w:val="auto"/>
        </w:rPr>
      </w:pPr>
    </w:p>
    <w:p>
      <w:pPr>
        <w:jc w:val="both"/>
        <w:ind w:left="400" w:right="400"/>
        <w:spacing w:after="0" w:line="268" w:lineRule="auto"/>
        <w:rPr>
          <w:sz w:val="20"/>
          <w:szCs w:val="20"/>
          <w:color w:val="auto"/>
        </w:rPr>
      </w:pPr>
      <w:r>
        <w:rPr>
          <w:rFonts w:ascii="Arial" w:cs="Arial" w:eastAsia="Arial" w:hAnsi="Arial"/>
          <w:sz w:val="18"/>
          <w:szCs w:val="18"/>
          <w:color w:val="auto"/>
        </w:rPr>
        <w:t>Ashland is closely monitoring the impact of the COVID-19 pandemic on all aspects of its business and geographies, including how the pandemic will impact customers, employees, suppliers, vendors, business partners and distribution channels. The COVID-19 pandemic has created significant volatility, uncertainty and economic disruption, which may materially and adversely affect Ashland’s business operations, cash flows, liquidity and financial position. The extent to which the COVID-19 pandemic impacts Ashland will depend on numerous evolving factors and future developments that are difficult to predict, including: the severity of the virus; the duration of the outbreak; governmental, business and other actions in response to the pandemic (which could include limitations on Ashland’s operations or mandates to provide products or services); the impact of the pandemic on Ashland’s supply chain; the impact of the pandemic on economic activity; the extent and duration of the effect on consumer confidence and spending, customer demand and buying patterns including spending on discretionary categories; the health of and the effect on Ashland’s workforce and its ability to meet staffing needs through the operations and other critical functions, particularly if employees are quarantined as a result of exposure; any impairment in value of tangible or intangible assets which could be recorded as a result of weaker economic conditions; the impact on Ashland’s business and the global economy from governmental actions related to international trade; and the potential effects on internal controls including those over financial reporting as a result of changes in working environments such as shelter-in-place and similar orders that are applicable to employees and business partners, among others. In addition, if the pandemic continues to create disruptions or turmoil in the credit or financial markets, or impacts Ashland’s credit ratings, it could adversely affect Ashland’s ability to access capital on favorable terms and continue to meet its liquidity needs, all of which are highly uncertain and cannot be predicted. In addition, Ashland cannot predict the impact that the COVID-19 pandemic will have on its customers, suppliers, vendors, and other business partners, and each of their financial conditions; however, any material effect on these parties could adversely impact Ashland. The impact of the COVID-19 pandemic may also exacerbate other risks discussed in Item 1A. Risk Factors in Ashland’s Annual Report on Form 10-K for fiscal year ended September 30, 2019, any of which could have a material effect on Ashland. This situation is changing rapidly and additional impacts may arise that Ashland is not aware of currently.</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There was no share repurchase activity during the three months ended March 31, 2020.</w:t>
      </w:r>
    </w:p>
    <w:p>
      <w:pPr>
        <w:spacing w:after="0" w:line="137"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80" w:type="dxa"/>
            <w:vAlign w:val="bottom"/>
            <w:gridSpan w:val="3"/>
          </w:tcPr>
          <w:p>
            <w:pPr>
              <w:ind w:left="120"/>
              <w:spacing w:after="0"/>
              <w:rPr>
                <w:sz w:val="20"/>
                <w:szCs w:val="20"/>
                <w:color w:val="auto"/>
              </w:rPr>
            </w:pPr>
            <w:r>
              <w:rPr>
                <w:rFonts w:ascii="Arial" w:cs="Arial" w:eastAsia="Arial" w:hAnsi="Arial"/>
                <w:sz w:val="18"/>
                <w:szCs w:val="18"/>
                <w:color w:val="auto"/>
              </w:rPr>
              <w:t>Issuer Purchases of Equity Securities</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vMerge w:val="restart"/>
          </w:tcPr>
          <w:p>
            <w:pPr>
              <w:jc w:val="center"/>
              <w:ind w:right="130"/>
              <w:spacing w:after="0"/>
              <w:rPr>
                <w:sz w:val="20"/>
                <w:szCs w:val="20"/>
                <w:color w:val="auto"/>
              </w:rPr>
            </w:pPr>
            <w:r>
              <w:rPr>
                <w:rFonts w:ascii="Arial" w:cs="Arial" w:eastAsia="Arial" w:hAnsi="Arial"/>
                <w:sz w:val="18"/>
                <w:szCs w:val="18"/>
                <w:color w:val="auto"/>
                <w:w w:val="94"/>
              </w:rPr>
              <w:t>Dollar Value 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Total 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8"/>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center"/>
              <w:ind w:right="310"/>
              <w:spacing w:after="0"/>
              <w:rPr>
                <w:sz w:val="20"/>
                <w:szCs w:val="20"/>
                <w:color w:val="auto"/>
              </w:rPr>
            </w:pPr>
            <w:r>
              <w:rPr>
                <w:rFonts w:ascii="Arial" w:cs="Arial" w:eastAsia="Arial" w:hAnsi="Arial"/>
                <w:sz w:val="18"/>
                <w:szCs w:val="18"/>
                <w:color w:val="auto"/>
                <w:w w:val="88"/>
              </w:rPr>
              <w:t>Average Price</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Shares Purchased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8"/>
              </w:rPr>
              <w:t>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color w:val="auto"/>
                <w:w w:val="86"/>
              </w:rPr>
              <w:t>Paid Per Share,</w:t>
            </w: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as Part of Publicly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9"/>
              </w:rPr>
              <w:t>Under the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ind w:left="140"/>
              <w:spacing w:after="0"/>
              <w:rPr>
                <w:sz w:val="20"/>
                <w:szCs w:val="20"/>
                <w:color w:val="auto"/>
              </w:rPr>
            </w:pPr>
            <w:r>
              <w:rPr>
                <w:rFonts w:ascii="Arial" w:cs="Arial" w:eastAsia="Arial" w:hAnsi="Arial"/>
                <w:sz w:val="18"/>
                <w:szCs w:val="18"/>
                <w:color w:val="auto"/>
              </w:rPr>
              <w:t>Total Number of</w:t>
            </w:r>
          </w:p>
        </w:tc>
        <w:tc>
          <w:tcPr>
            <w:tcW w:w="440" w:type="dxa"/>
            <w:vAlign w:val="bottom"/>
          </w:tcPr>
          <w:p>
            <w:pPr>
              <w:spacing w:after="0"/>
              <w:rPr>
                <w:sz w:val="18"/>
                <w:szCs w:val="18"/>
                <w:color w:val="auto"/>
              </w:rPr>
            </w:pPr>
          </w:p>
        </w:tc>
        <w:tc>
          <w:tcPr>
            <w:tcW w:w="1440" w:type="dxa"/>
            <w:vAlign w:val="bottom"/>
          </w:tcPr>
          <w:p>
            <w:pPr>
              <w:jc w:val="center"/>
              <w:ind w:right="310"/>
              <w:spacing w:after="0"/>
              <w:rPr>
                <w:sz w:val="20"/>
                <w:szCs w:val="20"/>
                <w:color w:val="auto"/>
              </w:rPr>
            </w:pPr>
            <w:r>
              <w:rPr>
                <w:rFonts w:ascii="Arial" w:cs="Arial" w:eastAsia="Arial" w:hAnsi="Arial"/>
                <w:sz w:val="18"/>
                <w:szCs w:val="18"/>
                <w:color w:val="auto"/>
                <w:w w:val="95"/>
              </w:rPr>
              <w:t>including</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Announced Plans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8"/>
              </w:rPr>
              <w:t>or Programs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Borders>
              <w:bottom w:val="single" w:sz="8" w:color="CFF0FC"/>
            </w:tcBorders>
          </w:tcPr>
          <w:p>
            <w:pPr>
              <w:ind w:left="1100"/>
              <w:spacing w:after="0"/>
              <w:rPr>
                <w:sz w:val="20"/>
                <w:szCs w:val="20"/>
                <w:color w:val="auto"/>
              </w:rPr>
            </w:pPr>
            <w:r>
              <w:rPr>
                <w:rFonts w:ascii="Arial" w:cs="Arial" w:eastAsia="Arial" w:hAnsi="Arial"/>
                <w:sz w:val="18"/>
                <w:szCs w:val="18"/>
                <w:color w:val="auto"/>
              </w:rPr>
              <w:t>Q2 Fiscal Periods</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Shares Purchased</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2"/>
              </w:rPr>
              <w:t>commission</w:t>
            </w:r>
          </w:p>
        </w:tc>
        <w:tc>
          <w:tcPr>
            <w:tcW w:w="17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8"/>
              </w:rPr>
              <w:t>or Programs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6"/>
              </w:rPr>
              <w:t>(in millions) (a)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January 1, 2020 to January 31, 2020</w:t>
            </w:r>
          </w:p>
        </w:tc>
        <w:tc>
          <w:tcPr>
            <w:tcW w:w="1600" w:type="dxa"/>
            <w:vAlign w:val="bottom"/>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February 1, 2020 to February 29, 2020</w:t>
            </w:r>
          </w:p>
        </w:tc>
        <w:tc>
          <w:tcPr>
            <w:tcW w:w="1600" w:type="dxa"/>
            <w:vAlign w:val="bottom"/>
          </w:tcPr>
          <w:p>
            <w:pPr>
              <w:ind w:left="1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March 1, 2020 to March 31, 2020</w:t>
            </w:r>
          </w:p>
        </w:tc>
        <w:tc>
          <w:tcPr>
            <w:tcW w:w="1600" w:type="dxa"/>
            <w:vAlign w:val="bottom"/>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800" w:hanging="401"/>
        <w:spacing w:after="0" w:line="264" w:lineRule="auto"/>
        <w:tabs>
          <w:tab w:leader="none" w:pos="8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During March 2018, Ashland’s Board of Directors approved a new $1 billion stock repurchase program, which replaced the previous stock repurchase program. Ashland’s stock repurchase program does not obligate it to acquire any specific number of shares. Under the program, shares may be repurchased in privately negotiated and/or open market transactions, including under plans complying with Rule 10b5-1 of the Exchange Act. As of March 31, 2020, $800 million remains available for repurchase under this authorization.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40" w:type="dxa"/>
            <w:vAlign w:val="bottom"/>
          </w:tcPr>
          <w:p>
            <w:pPr>
              <w:spacing w:after="0"/>
              <w:rPr>
                <w:sz w:val="20"/>
                <w:szCs w:val="20"/>
                <w:color w:val="auto"/>
              </w:rPr>
            </w:pPr>
            <w:r>
              <w:rPr>
                <w:rFonts w:ascii="Arial" w:cs="Arial" w:eastAsia="Arial" w:hAnsi="Arial"/>
                <w:sz w:val="20"/>
                <w:szCs w:val="20"/>
                <w:color w:val="auto"/>
              </w:rPr>
              <w:t>(a) Exhibits</w:t>
            </w:r>
          </w:p>
        </w:tc>
        <w:tc>
          <w:tcPr>
            <w:tcW w:w="4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06"/>
        </w:trPr>
        <w:tc>
          <w:tcPr>
            <w:tcW w:w="1340" w:type="dxa"/>
            <w:vAlign w:val="bottom"/>
          </w:tcPr>
          <w:p>
            <w:pPr>
              <w:spacing w:after="0"/>
              <w:rPr>
                <w:sz w:val="20"/>
                <w:szCs w:val="20"/>
                <w:color w:val="auto"/>
              </w:rPr>
            </w:pPr>
            <w:r>
              <w:rPr>
                <w:rFonts w:ascii="Arial" w:cs="Arial" w:eastAsia="Arial" w:hAnsi="Arial"/>
                <w:sz w:val="20"/>
                <w:szCs w:val="20"/>
                <w:color w:val="auto"/>
              </w:rPr>
              <w:t>10.1*</w:t>
            </w:r>
          </w:p>
        </w:tc>
        <w:tc>
          <w:tcPr>
            <w:tcW w:w="9880" w:type="dxa"/>
            <w:vAlign w:val="bottom"/>
            <w:gridSpan w:val="5"/>
          </w:tcPr>
          <w:p>
            <w:pPr>
              <w:spacing w:after="0"/>
              <w:rPr>
                <w:sz w:val="20"/>
                <w:szCs w:val="20"/>
                <w:color w:val="auto"/>
              </w:rPr>
            </w:pPr>
            <w:r>
              <w:rPr>
                <w:rFonts w:ascii="Arial" w:cs="Arial" w:eastAsia="Arial" w:hAnsi="Arial"/>
                <w:sz w:val="20"/>
                <w:szCs w:val="20"/>
                <w:color w:val="0000EE"/>
              </w:rPr>
              <w:t>Amendment to Ashland Severance Pay Plan dated January 29, 2020.</w:t>
            </w: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40" w:type="dxa"/>
            <w:vAlign w:val="bottom"/>
          </w:tcPr>
          <w:p>
            <w:pPr>
              <w:spacing w:after="0"/>
              <w:rPr>
                <w:sz w:val="20"/>
                <w:szCs w:val="20"/>
                <w:color w:val="auto"/>
              </w:rPr>
            </w:pPr>
            <w:r>
              <w:rPr>
                <w:rFonts w:ascii="Arial" w:cs="Arial" w:eastAsia="Arial" w:hAnsi="Arial"/>
                <w:sz w:val="20"/>
                <w:szCs w:val="20"/>
                <w:color w:val="auto"/>
              </w:rPr>
              <w:t>31.1*</w:t>
            </w:r>
          </w:p>
        </w:tc>
        <w:tc>
          <w:tcPr>
            <w:tcW w:w="9880" w:type="dxa"/>
            <w:vAlign w:val="bottom"/>
            <w:gridSpan w:val="5"/>
          </w:tcPr>
          <w:p>
            <w:pPr>
              <w:spacing w:after="0"/>
              <w:rPr>
                <w:rFonts w:ascii="Arial" w:cs="Arial" w:eastAsia="Arial" w:hAnsi="Arial"/>
                <w:sz w:val="20"/>
                <w:szCs w:val="20"/>
                <w:color w:val="0000EE"/>
                <w:w w:val="94"/>
              </w:rPr>
            </w:pPr>
            <w:hyperlink w:anchor="page75">
              <w:r>
                <w:rPr>
                  <w:rFonts w:ascii="Arial" w:cs="Arial" w:eastAsia="Arial" w:hAnsi="Arial"/>
                  <w:sz w:val="20"/>
                  <w:szCs w:val="20"/>
                  <w:color w:val="0000EE"/>
                  <w:w w:val="94"/>
                </w:rPr>
                <w:t>Certificate of Guillermo Novo, Chief Executive Officer of Ashland pursuant to Section 302 of the Sarbanes-Oxley Act of</w:t>
              </w:r>
            </w:hyperlink>
          </w:p>
        </w:tc>
      </w:tr>
      <w:tr>
        <w:trPr>
          <w:trHeight w:val="210"/>
        </w:trPr>
        <w:tc>
          <w:tcPr>
            <w:tcW w:w="1340" w:type="dxa"/>
            <w:vAlign w:val="bottom"/>
          </w:tcPr>
          <w:p>
            <w:pPr>
              <w:spacing w:after="0"/>
              <w:rPr>
                <w:sz w:val="18"/>
                <w:szCs w:val="18"/>
                <w:color w:val="auto"/>
              </w:rPr>
            </w:pPr>
          </w:p>
        </w:tc>
        <w:tc>
          <w:tcPr>
            <w:tcW w:w="44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3"/>
              </w:rPr>
            </w:pPr>
            <w:hyperlink w:anchor="page75">
              <w:r>
                <w:rPr>
                  <w:rFonts w:ascii="Arial" w:cs="Arial" w:eastAsia="Arial" w:hAnsi="Arial"/>
                  <w:sz w:val="20"/>
                  <w:szCs w:val="20"/>
                  <w:color w:val="0000EE"/>
                  <w:w w:val="83"/>
                </w:rPr>
                <w:t>2002.</w:t>
              </w:r>
            </w:hyperlink>
          </w:p>
        </w:tc>
        <w:tc>
          <w:tcPr>
            <w:tcW w:w="42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1340" w:type="dxa"/>
            <w:vAlign w:val="bottom"/>
          </w:tcPr>
          <w:p>
            <w:pPr>
              <w:ind w:left="60"/>
              <w:spacing w:after="0"/>
              <w:rPr>
                <w:sz w:val="20"/>
                <w:szCs w:val="20"/>
                <w:color w:val="auto"/>
              </w:rPr>
            </w:pPr>
            <w:r>
              <w:rPr>
                <w:rFonts w:ascii="Arial" w:cs="Arial" w:eastAsia="Arial" w:hAnsi="Arial"/>
                <w:sz w:val="20"/>
                <w:szCs w:val="20"/>
                <w:color w:val="auto"/>
              </w:rPr>
              <w:t>31.2*</w:t>
            </w:r>
          </w:p>
        </w:tc>
        <w:tc>
          <w:tcPr>
            <w:tcW w:w="9880" w:type="dxa"/>
            <w:vAlign w:val="bottom"/>
            <w:tcBorders>
              <w:bottom w:val="single" w:sz="8" w:color="0000EE"/>
            </w:tcBorders>
            <w:gridSpan w:val="5"/>
          </w:tcPr>
          <w:p>
            <w:pPr>
              <w:spacing w:after="0"/>
              <w:rPr>
                <w:rFonts w:ascii="Arial" w:cs="Arial" w:eastAsia="Arial" w:hAnsi="Arial"/>
                <w:sz w:val="20"/>
                <w:szCs w:val="20"/>
                <w:color w:val="0000EE"/>
                <w:w w:val="95"/>
              </w:rPr>
            </w:pPr>
            <w:hyperlink w:anchor="page76">
              <w:r>
                <w:rPr>
                  <w:rFonts w:ascii="Arial" w:cs="Arial" w:eastAsia="Arial" w:hAnsi="Arial"/>
                  <w:sz w:val="20"/>
                  <w:szCs w:val="20"/>
                  <w:color w:val="0000EE"/>
                  <w:w w:val="95"/>
                </w:rPr>
                <w:t>Certificate of J. Kevin Willis, Chief Financial Officer of Ashland pursuant to Section 302 of the Sarbanes-Oxley Act of</w:t>
              </w:r>
            </w:hyperlink>
          </w:p>
        </w:tc>
      </w:tr>
      <w:tr>
        <w:trPr>
          <w:trHeight w:val="210"/>
        </w:trPr>
        <w:tc>
          <w:tcPr>
            <w:tcW w:w="1340" w:type="dxa"/>
            <w:vAlign w:val="bottom"/>
          </w:tcPr>
          <w:p>
            <w:pPr>
              <w:spacing w:after="0"/>
              <w:rPr>
                <w:sz w:val="18"/>
                <w:szCs w:val="18"/>
                <w:color w:val="auto"/>
              </w:rPr>
            </w:pPr>
          </w:p>
        </w:tc>
        <w:tc>
          <w:tcPr>
            <w:tcW w:w="440" w:type="dxa"/>
            <w:vAlign w:val="bottom"/>
            <w:tcBorders>
              <w:bottom w:val="single" w:sz="8" w:color="0000EE"/>
            </w:tcBorders>
          </w:tcPr>
          <w:p>
            <w:pPr>
              <w:spacing w:after="0" w:line="209" w:lineRule="exact"/>
              <w:rPr>
                <w:rFonts w:ascii="Arial" w:cs="Arial" w:eastAsia="Arial" w:hAnsi="Arial"/>
                <w:sz w:val="20"/>
                <w:szCs w:val="20"/>
                <w:color w:val="0000EE"/>
                <w:w w:val="83"/>
              </w:rPr>
            </w:pPr>
            <w:hyperlink w:anchor="page76">
              <w:r>
                <w:rPr>
                  <w:rFonts w:ascii="Arial" w:cs="Arial" w:eastAsia="Arial" w:hAnsi="Arial"/>
                  <w:sz w:val="20"/>
                  <w:szCs w:val="20"/>
                  <w:color w:val="0000EE"/>
                  <w:w w:val="83"/>
                </w:rPr>
                <w:t>2002.</w:t>
              </w:r>
            </w:hyperlink>
          </w:p>
        </w:tc>
        <w:tc>
          <w:tcPr>
            <w:tcW w:w="4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1340" w:type="dxa"/>
            <w:vAlign w:val="bottom"/>
          </w:tcPr>
          <w:p>
            <w:pPr>
              <w:ind w:left="60"/>
              <w:spacing w:after="0"/>
              <w:rPr>
                <w:sz w:val="20"/>
                <w:szCs w:val="20"/>
                <w:color w:val="auto"/>
              </w:rPr>
            </w:pPr>
            <w:r>
              <w:rPr>
                <w:rFonts w:ascii="Arial" w:cs="Arial" w:eastAsia="Arial" w:hAnsi="Arial"/>
                <w:sz w:val="20"/>
                <w:szCs w:val="20"/>
                <w:color w:val="auto"/>
              </w:rPr>
              <w:t>32*</w:t>
            </w:r>
          </w:p>
        </w:tc>
        <w:tc>
          <w:tcPr>
            <w:tcW w:w="9880" w:type="dxa"/>
            <w:vAlign w:val="bottom"/>
            <w:tcBorders>
              <w:bottom w:val="single" w:sz="8" w:color="0000EE"/>
            </w:tcBorders>
            <w:gridSpan w:val="5"/>
          </w:tcPr>
          <w:p>
            <w:pPr>
              <w:spacing w:after="0"/>
              <w:rPr>
                <w:rFonts w:ascii="Arial" w:cs="Arial" w:eastAsia="Arial" w:hAnsi="Arial"/>
                <w:sz w:val="20"/>
                <w:szCs w:val="20"/>
                <w:color w:val="0000EE"/>
                <w:w w:val="93"/>
              </w:rPr>
            </w:pPr>
            <w:hyperlink w:anchor="page77">
              <w:r>
                <w:rPr>
                  <w:rFonts w:ascii="Arial" w:cs="Arial" w:eastAsia="Arial" w:hAnsi="Arial"/>
                  <w:sz w:val="20"/>
                  <w:szCs w:val="20"/>
                  <w:color w:val="0000EE"/>
                  <w:w w:val="93"/>
                </w:rPr>
                <w:t>Certificate of Guillermo Novo, Chief Executive Officer of Ashland, and J. Kevin Willis, Chief Financial Officer of Ashland</w:t>
              </w:r>
            </w:hyperlink>
          </w:p>
        </w:tc>
      </w:tr>
      <w:tr>
        <w:trPr>
          <w:trHeight w:val="209"/>
        </w:trPr>
        <w:tc>
          <w:tcPr>
            <w:tcW w:w="1340" w:type="dxa"/>
            <w:vAlign w:val="bottom"/>
          </w:tcPr>
          <w:p>
            <w:pPr>
              <w:spacing w:after="0"/>
              <w:rPr>
                <w:sz w:val="18"/>
                <w:szCs w:val="18"/>
                <w:color w:val="auto"/>
              </w:rPr>
            </w:pPr>
          </w:p>
        </w:tc>
        <w:tc>
          <w:tcPr>
            <w:tcW w:w="9880" w:type="dxa"/>
            <w:vAlign w:val="bottom"/>
            <w:gridSpan w:val="5"/>
          </w:tcPr>
          <w:p>
            <w:pPr>
              <w:spacing w:after="0" w:line="209" w:lineRule="exact"/>
              <w:rPr>
                <w:rFonts w:ascii="Arial" w:cs="Arial" w:eastAsia="Arial" w:hAnsi="Arial"/>
                <w:sz w:val="20"/>
                <w:szCs w:val="20"/>
                <w:color w:val="0000EE"/>
              </w:rPr>
            </w:pPr>
            <w:hyperlink w:anchor="page77">
              <w:r>
                <w:rPr>
                  <w:rFonts w:ascii="Arial" w:cs="Arial" w:eastAsia="Arial" w:hAnsi="Arial"/>
                  <w:sz w:val="20"/>
                  <w:szCs w:val="20"/>
                  <w:color w:val="0000EE"/>
                </w:rPr>
                <w:t>pursuant to Section 906 of the Sarbanes-Oxley Act of 2002.</w:t>
              </w:r>
            </w:hyperlink>
          </w:p>
        </w:tc>
      </w:tr>
      <w:tr>
        <w:trPr>
          <w:trHeight w:val="484"/>
        </w:trPr>
        <w:tc>
          <w:tcPr>
            <w:tcW w:w="1340" w:type="dxa"/>
            <w:vAlign w:val="bottom"/>
          </w:tcPr>
          <w:p>
            <w:pPr>
              <w:spacing w:after="0"/>
              <w:rPr>
                <w:sz w:val="20"/>
                <w:szCs w:val="20"/>
                <w:color w:val="auto"/>
              </w:rPr>
            </w:pPr>
            <w:r>
              <w:rPr>
                <w:rFonts w:ascii="Arial" w:cs="Arial" w:eastAsia="Arial" w:hAnsi="Arial"/>
                <w:sz w:val="20"/>
                <w:szCs w:val="20"/>
                <w:color w:val="auto"/>
              </w:rPr>
              <w:t>101.INS**</w:t>
            </w:r>
          </w:p>
        </w:tc>
        <w:tc>
          <w:tcPr>
            <w:tcW w:w="4720" w:type="dxa"/>
            <w:vAlign w:val="bottom"/>
            <w:tcBorders>
              <w:top w:val="single" w:sz="8" w:color="0000EE"/>
            </w:tcBorders>
            <w:gridSpan w:val="2"/>
          </w:tcPr>
          <w:p>
            <w:pPr>
              <w:spacing w:after="0"/>
              <w:rPr>
                <w:sz w:val="20"/>
                <w:szCs w:val="20"/>
                <w:color w:val="auto"/>
              </w:rPr>
            </w:pPr>
            <w:r>
              <w:rPr>
                <w:rFonts w:ascii="Arial" w:cs="Arial" w:eastAsia="Arial" w:hAnsi="Arial"/>
                <w:sz w:val="20"/>
                <w:szCs w:val="20"/>
                <w:color w:val="auto"/>
              </w:rPr>
              <w:t>Inline XBRL Instance Document.</w:t>
            </w:r>
          </w:p>
        </w:tc>
        <w:tc>
          <w:tcPr>
            <w:tcW w:w="5160" w:type="dxa"/>
            <w:vAlign w:val="bottom"/>
            <w:gridSpan w:val="3"/>
          </w:tcPr>
          <w:p>
            <w:pPr>
              <w:spacing w:after="0"/>
              <w:rPr>
                <w:sz w:val="24"/>
                <w:szCs w:val="24"/>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101.SCH**</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101.CAL**</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101.DEF**</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101.LAB**</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Label Linkbase Document.</w:t>
            </w: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101.PRE**</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Presentation Linkbase Document.</w:t>
            </w:r>
          </w:p>
        </w:tc>
      </w:tr>
    </w:tbl>
    <w:p>
      <w:pPr>
        <w:spacing w:after="0" w:line="209" w:lineRule="exact"/>
        <w:rPr>
          <w:sz w:val="20"/>
          <w:szCs w:val="20"/>
          <w:color w:val="auto"/>
        </w:rPr>
      </w:pPr>
    </w:p>
    <w:p>
      <w:pPr>
        <w:ind w:left="1340" w:hanging="1332"/>
        <w:spacing w:after="0"/>
        <w:tabs>
          <w:tab w:leader="none" w:pos="13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324"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14"/>
          <w:szCs w:val="14"/>
          <w:color w:val="auto"/>
        </w:rPr>
        <w:t>*</w:t>
      </w:r>
      <w:r>
        <w:rPr>
          <w:rFonts w:ascii="Arial" w:cs="Arial" w:eastAsia="Arial" w:hAnsi="Arial"/>
          <w:sz w:val="13"/>
          <w:szCs w:val="13"/>
          <w:color w:val="auto"/>
        </w:rPr>
        <w:t>Filed herewith.</w:t>
      </w:r>
    </w:p>
    <w:p>
      <w:pPr>
        <w:spacing w:after="0" w:line="95" w:lineRule="exact"/>
        <w:rPr>
          <w:rFonts w:ascii="Arial" w:cs="Arial" w:eastAsia="Arial" w:hAnsi="Arial"/>
          <w:sz w:val="20"/>
          <w:szCs w:val="20"/>
          <w:color w:val="auto"/>
        </w:rPr>
      </w:pPr>
    </w:p>
    <w:p>
      <w:pPr>
        <w:jc w:val="both"/>
        <w:ind w:left="800" w:hanging="401"/>
        <w:spacing w:after="0" w:line="244" w:lineRule="auto"/>
        <w:tabs>
          <w:tab w:leader="none" w:pos="800" w:val="left"/>
        </w:tabs>
        <w:numPr>
          <w:ilvl w:val="1"/>
          <w:numId w:val="51"/>
        </w:numPr>
        <w:rPr>
          <w:rFonts w:ascii="Arial" w:cs="Arial" w:eastAsia="Arial" w:hAnsi="Arial"/>
          <w:sz w:val="13"/>
          <w:szCs w:val="13"/>
          <w:color w:val="auto"/>
        </w:rPr>
      </w:pPr>
      <w:r>
        <w:rPr>
          <w:rFonts w:ascii="Arial" w:cs="Arial" w:eastAsia="Arial" w:hAnsi="Arial"/>
          <w:sz w:val="13"/>
          <w:szCs w:val="13"/>
          <w:color w:val="auto"/>
        </w:rPr>
        <w:t>Attached as Exhibit 101 to this report are the following documents formatted in XBRL (Extensible Business Reporting Language): (i) Statements of Consolidated Comprehensive Income (Loss) for the three months ended March 31, 2020 and March 31, 2019; (ii) Condensed Consolidated Balance Sheets at March 31, 2020 and September 30, 2019; (iii) Statements of Consolidated Equity at March 31, 2020; (iv) Statements of Condensed Consolidated Cash Flows for the six months ended March 31, 2020 and March 31, 2019; and</w:t>
      </w:r>
    </w:p>
    <w:p>
      <w:pPr>
        <w:spacing w:after="0" w:line="1"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4"/>
          <w:szCs w:val="14"/>
          <w:color w:val="auto"/>
        </w:rPr>
        <w:t>(v) Notes to Condensed Consolidated Financial Statements.</w:t>
      </w:r>
    </w:p>
    <w:p>
      <w:pPr>
        <w:spacing w:after="0" w:line="84"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color w:val="auto"/>
        </w:rPr>
        <w:t>SM</w:t>
      </w:r>
      <w:r>
        <w:rPr>
          <w:sz w:val="20"/>
          <w:szCs w:val="20"/>
          <w:color w:val="auto"/>
        </w:rPr>
        <w:tab/>
      </w:r>
      <w:r>
        <w:rPr>
          <w:rFonts w:ascii="Arial" w:cs="Arial" w:eastAsia="Arial" w:hAnsi="Arial"/>
          <w:sz w:val="14"/>
          <w:szCs w:val="14"/>
          <w:color w:val="auto"/>
        </w:rPr>
        <w:t>Service mark, Ashland or its subsidiaries, registered in various countries.</w:t>
      </w:r>
    </w:p>
    <w:p>
      <w:pPr>
        <w:spacing w:after="0" w:line="96" w:lineRule="exact"/>
        <w:rPr>
          <w:sz w:val="20"/>
          <w:szCs w:val="20"/>
          <w:color w:val="auto"/>
        </w:rPr>
      </w:pPr>
    </w:p>
    <w:p>
      <w:pPr>
        <w:ind w:left="800" w:hanging="401"/>
        <w:spacing w:after="0"/>
        <w:tabs>
          <w:tab w:leader="none" w:pos="8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Trademark, Ashland or its subsidiaries, registered in various countries.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14"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Ashland Global Holdings Inc.</w:t>
            </w:r>
          </w:p>
        </w:tc>
      </w:tr>
      <w:tr>
        <w:trPr>
          <w:trHeight w:val="195"/>
        </w:trPr>
        <w:tc>
          <w:tcPr>
            <w:tcW w:w="5400" w:type="dxa"/>
            <w:vAlign w:val="bottom"/>
          </w:tcPr>
          <w:p>
            <w:pPr>
              <w:spacing w:after="0"/>
              <w:rPr>
                <w:sz w:val="16"/>
                <w:szCs w:val="16"/>
                <w:color w:val="auto"/>
              </w:rPr>
            </w:pPr>
          </w:p>
        </w:tc>
        <w:tc>
          <w:tcPr>
            <w:tcW w:w="5380" w:type="dxa"/>
            <w:vAlign w:val="bottom"/>
          </w:tcPr>
          <w:p>
            <w:pPr>
              <w:jc w:val="center"/>
              <w:spacing w:after="0" w:line="195" w:lineRule="exact"/>
              <w:rPr>
                <w:sz w:val="20"/>
                <w:szCs w:val="20"/>
                <w:color w:val="auto"/>
              </w:rPr>
            </w:pPr>
            <w:r>
              <w:rPr>
                <w:rFonts w:ascii="Arial" w:cs="Arial" w:eastAsia="Arial" w:hAnsi="Arial"/>
                <w:sz w:val="18"/>
                <w:szCs w:val="18"/>
                <w:color w:val="auto"/>
                <w:w w:val="91"/>
              </w:rPr>
              <w:t>(Registrant)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May 6, 2020</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Kevin Willis</w:t>
            </w:r>
          </w:p>
        </w:tc>
      </w:tr>
      <w:tr>
        <w:trPr>
          <w:trHeight w:val="195"/>
        </w:trPr>
        <w:tc>
          <w:tcPr>
            <w:tcW w:w="5400" w:type="dxa"/>
            <w:vAlign w:val="bottom"/>
          </w:tcPr>
          <w:p>
            <w:pPr>
              <w:spacing w:after="0"/>
              <w:rPr>
                <w:sz w:val="16"/>
                <w:szCs w:val="16"/>
                <w:color w:val="auto"/>
              </w:rPr>
            </w:pPr>
          </w:p>
        </w:tc>
        <w:tc>
          <w:tcPr>
            <w:tcW w:w="5380" w:type="dxa"/>
            <w:vAlign w:val="bottom"/>
          </w:tcPr>
          <w:p>
            <w:pPr>
              <w:spacing w:after="0" w:line="195" w:lineRule="exact"/>
              <w:rPr>
                <w:sz w:val="20"/>
                <w:szCs w:val="20"/>
                <w:color w:val="auto"/>
              </w:rPr>
            </w:pPr>
            <w:r>
              <w:rPr>
                <w:rFonts w:ascii="Arial" w:cs="Arial" w:eastAsia="Arial" w:hAnsi="Arial"/>
                <w:sz w:val="18"/>
                <w:szCs w:val="18"/>
                <w:color w:val="auto"/>
              </w:rPr>
              <w:t>J. Kevin Willis</w:t>
            </w:r>
          </w:p>
        </w:tc>
      </w:tr>
      <w:tr>
        <w:trPr>
          <w:trHeight w:val="230"/>
        </w:trPr>
        <w:tc>
          <w:tcPr>
            <w:tcW w:w="54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ind w:left="540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333" w:right="35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u w:val="single" w:color="auto"/>
          <w:color w:val="auto"/>
        </w:rPr>
        <w:t>ASHLAND SEVERANCE PAY PLAN</w:t>
      </w:r>
    </w:p>
    <w:p>
      <w:pPr>
        <w:spacing w:after="0" w:line="200" w:lineRule="exact"/>
        <w:rPr>
          <w:sz w:val="20"/>
          <w:szCs w:val="20"/>
          <w:color w:val="auto"/>
        </w:rPr>
      </w:pPr>
    </w:p>
    <w:p>
      <w:pPr>
        <w:spacing w:after="0" w:line="252" w:lineRule="exact"/>
        <w:rPr>
          <w:sz w:val="20"/>
          <w:szCs w:val="20"/>
          <w:color w:val="auto"/>
        </w:rPr>
      </w:pPr>
    </w:p>
    <w:p>
      <w:pPr>
        <w:ind w:right="20" w:firstLine="86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Ashland Severance Pay Plan, as amended (the “Severance Plan”) is maintained to provide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severance benefits to employees; and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Ashland Salary Continuation Plan is part of the Severance Plan; and</w:t>
      </w:r>
    </w:p>
    <w:p>
      <w:pPr>
        <w:spacing w:after="0" w:line="206"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Compensation Committee of the Ashland Board of Directors exercised its right to amend the Salary</w:t>
      </w:r>
      <w:r>
        <w:rPr>
          <w:rFonts w:ascii="Arial" w:cs="Arial" w:eastAsia="Arial" w:hAnsi="Arial"/>
          <w:sz w:val="22"/>
          <w:szCs w:val="22"/>
          <w:b w:val="1"/>
          <w:bCs w:val="1"/>
          <w:color w:val="auto"/>
        </w:rPr>
        <w:t xml:space="preserve"> </w:t>
      </w:r>
      <w:r>
        <w:rPr>
          <w:rFonts w:ascii="Arial" w:cs="Arial" w:eastAsia="Arial" w:hAnsi="Arial"/>
          <w:sz w:val="22"/>
          <w:szCs w:val="22"/>
          <w:color w:val="auto"/>
        </w:rPr>
        <w:t>Continuation Plan on January 29, 2020 (the “Amendment Date”).</w:t>
      </w:r>
    </w:p>
    <w:p>
      <w:pPr>
        <w:spacing w:after="0" w:line="162" w:lineRule="exact"/>
        <w:rPr>
          <w:sz w:val="20"/>
          <w:szCs w:val="20"/>
          <w:color w:val="auto"/>
        </w:rPr>
      </w:pPr>
    </w:p>
    <w:p>
      <w:pPr>
        <w:ind w:firstLine="864"/>
        <w:spacing w:after="0" w:line="334" w:lineRule="auto"/>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pursuant to such action of the Compensation Committee, as approved by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the Salary Continuation Plan within the Severance Plan is amended as follows effective as of the Amendment Date.</w:t>
      </w:r>
    </w:p>
    <w:p>
      <w:pPr>
        <w:spacing w:after="0" w:line="100" w:lineRule="exact"/>
        <w:rPr>
          <w:sz w:val="20"/>
          <w:szCs w:val="20"/>
          <w:color w:val="auto"/>
        </w:rPr>
      </w:pPr>
    </w:p>
    <w:p>
      <w:pPr>
        <w:ind w:left="1680" w:hanging="808"/>
        <w:spacing w:after="0"/>
        <w:tabs>
          <w:tab w:leader="none" w:pos="16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Section 5(a) of the Salary Continuation Plan is amended and restated in its entirety as follows:</w:t>
      </w:r>
    </w:p>
    <w:p>
      <w:pPr>
        <w:spacing w:after="0" w:line="206" w:lineRule="exact"/>
        <w:rPr>
          <w:sz w:val="20"/>
          <w:szCs w:val="20"/>
          <w:color w:val="auto"/>
        </w:rPr>
      </w:pPr>
    </w:p>
    <w:p>
      <w:pPr>
        <w:jc w:val="both"/>
        <w:ind w:left="1740" w:right="1180"/>
        <w:spacing w:after="0" w:line="270" w:lineRule="auto"/>
        <w:rPr>
          <w:sz w:val="20"/>
          <w:szCs w:val="20"/>
          <w:color w:val="auto"/>
        </w:rPr>
      </w:pPr>
      <w:r>
        <w:rPr>
          <w:rFonts w:ascii="Arial" w:cs="Arial" w:eastAsia="Arial" w:hAnsi="Arial"/>
          <w:sz w:val="19"/>
          <w:szCs w:val="19"/>
          <w:color w:val="auto"/>
        </w:rPr>
        <w:t>“The applicable amount described in this paragraph (a) shall be paid to a participant in an undiscounted lump sum within ten (10) business days after such participant's termination of employment without Cause. A participant (i) who was in band 22, 23, 24 or UNG on the day before the Change in Control or on the date of his or her termination from employment without cause shall be paid an amount equal to 52 weeks of his or her base pay plus the highest target annual incentive compensation (expressed as a percentage of base compensation for all applicable incentive compensation plans) payable for the determination period in which the participant's termination from employment occurs and (ii) who was [a member of the Executive Leadership Team (“ELT”)] on the day before the Change in Control or on the date of his or her termination from employment without cause shall be paid an amount equal to 104 weeks of his or her base pay plus the highest target annual incentive compensation (expressed as a percentage of base compensation for all applicable incentive compensation plans) payable for the determination period in which the participant's termination from employment occurs. The “determination period” is the period for which target annual incentive compensation is calculated and paid. All other participants will receive two (2) weeks of base pay for each completed 12 months of service, with a minimum benefit of 13 weeks of base pay and a maximum benefit of 52 weeks of base pay. For this purpose, a participant's "service” is his or her total aggregate years and months of service (whether or not continuous), rounded up to the next highest whole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3" w:name="page74"/>
    <w:bookmarkEnd w:id="73"/>
    <w:p>
      <w:pPr>
        <w:jc w:val="both"/>
        <w:ind w:left="868" w:right="79"/>
        <w:spacing w:after="0" w:line="275" w:lineRule="auto"/>
        <w:rPr>
          <w:sz w:val="20"/>
          <w:szCs w:val="20"/>
          <w:color w:val="auto"/>
        </w:rPr>
      </w:pPr>
      <w:r>
        <w:rPr>
          <w:rFonts w:ascii="Arial" w:cs="Arial" w:eastAsia="Arial" w:hAnsi="Arial"/>
          <w:sz w:val="19"/>
          <w:szCs w:val="19"/>
          <w:color w:val="auto"/>
        </w:rPr>
        <w:t>For purposes of the Plan, “base pay” for eligible salaried employees (exempt and non-exempt), is determined by dividing the participant’s annual base salary by 52 weeks. It will also include any lump sum payments made to the participant in lieu of a percentage merit salary increase during the 12-month period immediately preceding the termination of employment. Base pay does not include special pay such as severance pay, discretionary and non-discretionary bonus, income from vested equity awards, payments under an incentive pay plan, special allowances or any other forms of compensation a participant receives from the company. The company determines the items constituting a participant’s base pay.</w:t>
      </w:r>
    </w:p>
    <w:p>
      <w:pPr>
        <w:spacing w:after="0" w:line="157" w:lineRule="exact"/>
        <w:rPr>
          <w:sz w:val="20"/>
          <w:szCs w:val="20"/>
          <w:color w:val="auto"/>
        </w:rPr>
      </w:pPr>
    </w:p>
    <w:p>
      <w:pPr>
        <w:ind w:left="808" w:hanging="808"/>
        <w:spacing w:after="0"/>
        <w:tabs>
          <w:tab w:leader="none" w:pos="808"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all other respects the Plan shall remain unchanged.</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IN WITNESS WHEREOF, this Amendment is executed effective as of the Amendment Date.</w:t>
      </w:r>
    </w:p>
    <w:p>
      <w:pPr>
        <w:spacing w:after="0" w:line="227" w:lineRule="exact"/>
        <w:rPr>
          <w:sz w:val="20"/>
          <w:szCs w:val="20"/>
          <w:color w:val="auto"/>
        </w:rPr>
      </w:pPr>
    </w:p>
    <w:p>
      <w:pPr>
        <w:ind w:left="4748"/>
        <w:spacing w:after="0"/>
        <w:rPr>
          <w:sz w:val="20"/>
          <w:szCs w:val="20"/>
          <w:color w:val="auto"/>
        </w:rPr>
      </w:pPr>
      <w:r>
        <w:rPr>
          <w:rFonts w:ascii="Arial" w:cs="Arial" w:eastAsia="Arial" w:hAnsi="Arial"/>
          <w:sz w:val="22"/>
          <w:szCs w:val="22"/>
          <w:b w:val="1"/>
          <w:bCs w:val="1"/>
          <w:color w:val="auto"/>
        </w:rPr>
        <w:t>ASHLAND GLOBAL HOLDINGS INC.</w:t>
      </w:r>
    </w:p>
    <w:p>
      <w:pPr>
        <w:spacing w:after="0" w:line="200" w:lineRule="exact"/>
        <w:rPr>
          <w:sz w:val="20"/>
          <w:szCs w:val="20"/>
          <w:color w:val="auto"/>
        </w:rPr>
      </w:pPr>
    </w:p>
    <w:p>
      <w:pPr>
        <w:spacing w:after="0" w:line="282" w:lineRule="exact"/>
        <w:rPr>
          <w:sz w:val="20"/>
          <w:szCs w:val="20"/>
          <w:color w:val="auto"/>
        </w:rPr>
      </w:pPr>
    </w:p>
    <w:p>
      <w:pPr>
        <w:ind w:left="4748"/>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6985</wp:posOffset>
            </wp:positionV>
            <wp:extent cx="30429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 w:lineRule="exact"/>
        <w:rPr>
          <w:sz w:val="20"/>
          <w:szCs w:val="20"/>
          <w:color w:val="auto"/>
        </w:rPr>
      </w:pPr>
    </w:p>
    <w:p>
      <w:pPr>
        <w:ind w:left="4748"/>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-3175</wp:posOffset>
            </wp:positionV>
            <wp:extent cx="30429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4748"/>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-3175</wp:posOffset>
            </wp:positionV>
            <wp:extent cx="30429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228"/>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9268"/>
          </w:cols>
          <w:pgMar w:left="1192" w:top="604"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color w:val="auto"/>
        </w:rPr>
        <w:t>EXHIBIT 31.1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Guillermo Novo, certify that:</w:t>
      </w:r>
    </w:p>
    <w:p>
      <w:pPr>
        <w:spacing w:after="0" w:line="108" w:lineRule="exact"/>
        <w:rPr>
          <w:sz w:val="20"/>
          <w:szCs w:val="20"/>
          <w:color w:val="auto"/>
        </w:rPr>
      </w:pPr>
    </w:p>
    <w:p>
      <w:pPr>
        <w:ind w:left="800" w:hanging="401"/>
        <w:spacing w:after="0"/>
        <w:tabs>
          <w:tab w:leader="none" w:pos="8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20"/>
          <w:szCs w:val="20"/>
          <w:color w:val="auto"/>
        </w:rPr>
      </w:pPr>
    </w:p>
    <w:p>
      <w:pPr>
        <w:jc w:val="both"/>
        <w:ind w:left="1580" w:hanging="398"/>
        <w:spacing w:after="0" w:line="291" w:lineRule="auto"/>
        <w:tabs>
          <w:tab w:leader="none" w:pos="15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580" w:hanging="398"/>
        <w:spacing w:after="0" w:line="250" w:lineRule="auto"/>
        <w:tabs>
          <w:tab w:leader="none" w:pos="15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20"/>
          <w:szCs w:val="20"/>
          <w:color w:val="auto"/>
        </w:rPr>
      </w:pPr>
    </w:p>
    <w:p>
      <w:pPr>
        <w:jc w:val="both"/>
        <w:ind w:left="800" w:right="20" w:hanging="401"/>
        <w:spacing w:after="0" w:line="250" w:lineRule="auto"/>
        <w:tabs>
          <w:tab w:leader="none" w:pos="8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580" w:hanging="398"/>
        <w:spacing w:after="0" w:line="250" w:lineRule="auto"/>
        <w:tabs>
          <w:tab w:leader="none" w:pos="15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580" w:hanging="398"/>
        <w:spacing w:after="0" w:line="260" w:lineRule="auto"/>
        <w:tabs>
          <w:tab w:leader="none" w:pos="15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May 6, 2020</w:t>
      </w:r>
    </w:p>
    <w:p>
      <w:pPr>
        <w:spacing w:after="0" w:line="21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2061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0"/>
          <w:szCs w:val="20"/>
          <w:color w:val="auto"/>
        </w:rPr>
        <w:t>Guillermo Novo</w:t>
      </w:r>
    </w:p>
    <w:p>
      <w:pPr>
        <w:spacing w:after="0" w:line="8"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Chairman and Chief Executive Officer</w:t>
      </w:r>
    </w:p>
    <w:p>
      <w:pPr>
        <w:ind w:left="624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240"/>
          </w:cols>
          <w:pgMar w:left="320" w:top="339"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color w:val="auto"/>
        </w:rPr>
        <w:t>EXHIBIT 31.2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08" w:lineRule="exact"/>
        <w:rPr>
          <w:sz w:val="20"/>
          <w:szCs w:val="20"/>
          <w:color w:val="auto"/>
        </w:rPr>
      </w:pPr>
    </w:p>
    <w:p>
      <w:pPr>
        <w:ind w:left="800" w:hanging="401"/>
        <w:spacing w:after="0"/>
        <w:tabs>
          <w:tab w:leader="none" w:pos="8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20"/>
          <w:szCs w:val="20"/>
          <w:color w:val="auto"/>
        </w:rPr>
      </w:pPr>
    </w:p>
    <w:p>
      <w:pPr>
        <w:jc w:val="both"/>
        <w:ind w:left="1580" w:hanging="398"/>
        <w:spacing w:after="0" w:line="291" w:lineRule="auto"/>
        <w:tabs>
          <w:tab w:leader="none" w:pos="15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580" w:hanging="398"/>
        <w:spacing w:after="0" w:line="250" w:lineRule="auto"/>
        <w:tabs>
          <w:tab w:leader="none" w:pos="15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20"/>
          <w:szCs w:val="20"/>
          <w:color w:val="auto"/>
        </w:rPr>
      </w:pPr>
    </w:p>
    <w:p>
      <w:pPr>
        <w:jc w:val="both"/>
        <w:ind w:left="800" w:right="20" w:hanging="401"/>
        <w:spacing w:after="0" w:line="250" w:lineRule="auto"/>
        <w:tabs>
          <w:tab w:leader="none" w:pos="8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580" w:hanging="398"/>
        <w:spacing w:after="0" w:line="250" w:lineRule="auto"/>
        <w:tabs>
          <w:tab w:leader="none" w:pos="15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580" w:hanging="398"/>
        <w:spacing w:after="0" w:line="260" w:lineRule="auto"/>
        <w:tabs>
          <w:tab w:leader="none" w:pos="15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May 6, 2020</w:t>
      </w:r>
    </w:p>
    <w:p>
      <w:pPr>
        <w:spacing w:after="0" w:line="21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2061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Chief Financial Officer</w:t>
      </w:r>
    </w:p>
    <w:p>
      <w:pPr>
        <w:ind w:left="624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240"/>
          </w:cols>
          <w:pgMar w:left="320" w:top="339"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ASHLAND GLOBAL HOLDINGS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Ashland Global Holdings Inc. (the “Company”) on Form 10-Q for the period ended March 31, 2020,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190" w:lineRule="exact"/>
        <w:rPr>
          <w:sz w:val="20"/>
          <w:szCs w:val="20"/>
          <w:color w:val="auto"/>
        </w:rPr>
      </w:pPr>
    </w:p>
    <w:p>
      <w:pPr>
        <w:ind w:left="800" w:hanging="401"/>
        <w:spacing w:after="0"/>
        <w:tabs>
          <w:tab w:leader="none" w:pos="8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 w:lineRule="exact"/>
        <w:rPr>
          <w:rFonts w:ascii="Arial" w:cs="Arial" w:eastAsia="Arial" w:hAnsi="Arial"/>
          <w:sz w:val="20"/>
          <w:szCs w:val="20"/>
          <w:color w:val="auto"/>
        </w:rPr>
      </w:pPr>
    </w:p>
    <w:p>
      <w:pPr>
        <w:ind w:left="800" w:hanging="401"/>
        <w:spacing w:after="0" w:line="244" w:lineRule="auto"/>
        <w:tabs>
          <w:tab w:leader="none" w:pos="8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Guillermo Novo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May 6, 2020</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May 6, 2020</w:t>
      </w:r>
    </w:p>
    <w:sectPr>
      <w:pgSz w:w="11900" w:h="16838" w:orient="portrait"/>
      <w:cols w:equalWidth="0" w:num="1">
        <w:col w:w="11240"/>
      </w:cols>
      <w:pgMar w:left="320" w:top="3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lowerLetter"/>
      <w:start w:val="1"/>
    </w:lvl>
  </w:abstractNum>
  <w:abstractNum w:abstractNumId="3">
    <w:nsid w:val="1E7FF521"/>
    <w:multiLevelType w:val="hybridMultilevel"/>
    <w:lvl w:ilvl="0">
      <w:lvlJc w:val="left"/>
      <w:lvlText w:val="(%1)"/>
      <w:numFmt w:val="lowerLetter"/>
      <w:start w:val="1"/>
    </w:lvl>
  </w:abstractNum>
  <w:abstractNum w:abstractNumId="4">
    <w:nsid w:val="7C3DBD3D"/>
    <w:multiLevelType w:val="hybridMultilevel"/>
    <w:lvl w:ilvl="0">
      <w:lvlJc w:val="left"/>
      <w:lvlText w:val="(%1)"/>
      <w:numFmt w:val="lowerLetter"/>
      <w:start w:val="1"/>
    </w:lvl>
  </w:abstractNum>
  <w:abstractNum w:abstractNumId="5">
    <w:nsid w:val="737B8DDC"/>
    <w:multiLevelType w:val="hybridMultilevel"/>
    <w:lvl w:ilvl="0">
      <w:lvlJc w:val="left"/>
      <w:lvlText w:val="(%1)"/>
      <w:numFmt w:val="lowerLetter"/>
      <w:start w:val="1"/>
    </w:lvl>
  </w:abstractNum>
  <w:abstractNum w:abstractNumId="6">
    <w:nsid w:val="6CEAF087"/>
    <w:multiLevelType w:val="hybridMultilevel"/>
    <w:lvl w:ilvl="0">
      <w:lvlJc w:val="left"/>
      <w:lvlText w:val="(%1)"/>
      <w:numFmt w:val="lowerLetter"/>
      <w:start w:val="1"/>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lowerLetter"/>
      <w:start w:val="1"/>
    </w:lvl>
  </w:abstractNum>
  <w:abstractNum w:abstractNumId="10">
    <w:nsid w:val="614FD4A1"/>
    <w:multiLevelType w:val="hybridMultilevel"/>
    <w:lvl w:ilvl="0">
      <w:lvlJc w:val="left"/>
      <w:lvlText w:val="(%1)"/>
      <w:numFmt w:val="lowerLetter"/>
      <w:start w:val="1"/>
    </w:lvl>
  </w:abstractNum>
  <w:abstractNum w:abstractNumId="11">
    <w:nsid w:val="419AC241"/>
    <w:multiLevelType w:val="hybridMultilevel"/>
    <w:lvl w:ilvl="0">
      <w:lvlJc w:val="left"/>
      <w:lvlText w:val="(%1)"/>
      <w:numFmt w:val="lowerLetter"/>
      <w:start w:val="1"/>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lowerLetter"/>
      <w:start w:val="1"/>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4"/>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decimal"/>
      <w:start w:val="104"/>
    </w:lvl>
    <w:lvl w:ilvl="1">
      <w:lvlJc w:val="left"/>
      <w:lvlText w:val="*"/>
      <w:numFmt w:val="bullet"/>
      <w:start w:val="1"/>
    </w:lvl>
  </w:abstractNum>
  <w:abstractNum w:abstractNumId="50">
    <w:nsid w:val="374A3FE6"/>
    <w:multiLevelType w:val="hybridMultilevel"/>
    <w:lvl w:ilvl="0">
      <w:lvlJc w:val="left"/>
      <w:lvlText w:val="%1"/>
      <w:numFmt w:val="decimal"/>
      <w:start w:val="1"/>
    </w:lvl>
    <w:lvl w:ilvl="1">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2"/>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2020-05-06T15:01:01Z</dcterms:created>
  <dcterms:modified xsi:type="dcterms:W3CDTF">2020-05-06T15:01:01Z</dcterms:modified>
</cp:coreProperties>
</file>