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3" w:lineRule="exact"/>
        <w:rPr>
          <w:sz w:val="24"/>
          <w:szCs w:val="24"/>
          <w:color w:val="auto"/>
        </w:rPr>
      </w:pPr>
    </w:p>
    <w:p>
      <w:pPr>
        <w:ind w:left="480" w:right="260" w:hanging="459"/>
        <w:spacing w:after="0" w:line="249"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480" w:right="260" w:hanging="459"/>
        <w:spacing w:after="0" w:line="249"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720" w:type="dxa"/>
            <w:vAlign w:val="bottom"/>
            <w:tcBorders>
              <w:bottom w:val="single" w:sz="8" w:color="auto"/>
            </w:tcBorders>
            <w:gridSpan w:val="2"/>
          </w:tcPr>
          <w:p>
            <w:pPr>
              <w:spacing w:after="0"/>
              <w:rPr>
                <w:sz w:val="17"/>
                <w:szCs w:val="17"/>
                <w:color w:val="auto"/>
              </w:rPr>
            </w:pPr>
          </w:p>
        </w:tc>
        <w:tc>
          <w:tcPr>
            <w:tcW w:w="4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w:t>
            </w:r>
          </w:p>
        </w:tc>
      </w:tr>
      <w:tr>
        <w:trPr>
          <w:trHeight w:val="345"/>
        </w:trPr>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20" w:type="dxa"/>
            <w:vAlign w:val="bottom"/>
            <w:gridSpan w:val="6"/>
          </w:tcPr>
          <w:p>
            <w:pPr>
              <w:jc w:val="center"/>
              <w:ind w:right="2819"/>
              <w:spacing w:after="0"/>
              <w:rPr>
                <w:sz w:val="20"/>
                <w:szCs w:val="20"/>
                <w:color w:val="auto"/>
              </w:rPr>
            </w:pPr>
            <w:r>
              <w:rPr>
                <w:rFonts w:ascii="Times New Roman" w:cs="Times New Roman" w:eastAsia="Times New Roman" w:hAnsi="Times New Roman"/>
                <w:sz w:val="18"/>
                <w:szCs w:val="18"/>
                <w:color w:val="auto"/>
                <w:w w:val="99"/>
              </w:rPr>
              <w:t>Commission file number 333-211719</w:t>
            </w:r>
          </w:p>
        </w:tc>
      </w:tr>
      <w:tr>
        <w:trPr>
          <w:trHeight w:val="658"/>
        </w:trPr>
        <w:tc>
          <w:tcPr>
            <w:tcW w:w="940" w:type="dxa"/>
            <w:vAlign w:val="bottom"/>
          </w:tcPr>
          <w:p>
            <w:pPr>
              <w:spacing w:after="0"/>
              <w:rPr>
                <w:sz w:val="24"/>
                <w:szCs w:val="24"/>
                <w:color w:val="auto"/>
              </w:rPr>
            </w:pPr>
          </w:p>
        </w:tc>
        <w:tc>
          <w:tcPr>
            <w:tcW w:w="9280" w:type="dxa"/>
            <w:vAlign w:val="bottom"/>
            <w:gridSpan w:val="8"/>
          </w:tcPr>
          <w:p>
            <w:pPr>
              <w:jc w:val="center"/>
              <w:ind w:right="679"/>
              <w:spacing w:after="0"/>
              <w:rPr>
                <w:sz w:val="20"/>
                <w:szCs w:val="20"/>
                <w:color w:val="auto"/>
              </w:rPr>
            </w:pPr>
            <w:r>
              <w:rPr>
                <w:rFonts w:ascii="Times New Roman" w:cs="Times New Roman" w:eastAsia="Times New Roman" w:hAnsi="Times New Roman"/>
                <w:sz w:val="43"/>
                <w:szCs w:val="43"/>
                <w:b w:val="1"/>
                <w:bCs w:val="1"/>
                <w:color w:val="auto"/>
              </w:rPr>
              <w:t>ASHLAND GLOBAL HOLDINGS INC.</w:t>
            </w:r>
          </w:p>
        </w:tc>
      </w:tr>
      <w:tr>
        <w:trPr>
          <w:trHeight w:val="295"/>
        </w:trPr>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80" w:type="dxa"/>
            <w:vAlign w:val="bottom"/>
            <w:gridSpan w:val="4"/>
          </w:tcPr>
          <w:p>
            <w:pPr>
              <w:jc w:val="center"/>
              <w:ind w:left="1031"/>
              <w:spacing w:after="0"/>
              <w:rPr>
                <w:sz w:val="20"/>
                <w:szCs w:val="20"/>
                <w:color w:val="auto"/>
              </w:rPr>
            </w:pPr>
            <w:r>
              <w:rPr>
                <w:rFonts w:ascii="Times New Roman" w:cs="Times New Roman" w:eastAsia="Times New Roman" w:hAnsi="Times New Roman"/>
                <w:sz w:val="18"/>
                <w:szCs w:val="18"/>
                <w:color w:val="auto"/>
                <w:w w:val="99"/>
              </w:rPr>
              <w:t>(a Delaware corporation)</w:t>
            </w:r>
          </w:p>
        </w:tc>
        <w:tc>
          <w:tcPr>
            <w:tcW w:w="15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34"/>
        </w:trPr>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80" w:type="dxa"/>
            <w:vAlign w:val="bottom"/>
            <w:gridSpan w:val="4"/>
          </w:tcPr>
          <w:p>
            <w:pPr>
              <w:jc w:val="center"/>
              <w:ind w:left="1031"/>
              <w:spacing w:after="0"/>
              <w:rPr>
                <w:sz w:val="20"/>
                <w:szCs w:val="20"/>
                <w:color w:val="auto"/>
              </w:rPr>
            </w:pPr>
            <w:r>
              <w:rPr>
                <w:rFonts w:ascii="Times New Roman" w:cs="Times New Roman" w:eastAsia="Times New Roman" w:hAnsi="Times New Roman"/>
                <w:sz w:val="18"/>
                <w:szCs w:val="18"/>
                <w:color w:val="auto"/>
                <w:w w:val="99"/>
              </w:rPr>
              <w:t>I.R.S. No. 81-2587835</w:t>
            </w:r>
          </w:p>
        </w:tc>
        <w:tc>
          <w:tcPr>
            <w:tcW w:w="15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387"/>
        </w:trPr>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80" w:type="dxa"/>
            <w:vAlign w:val="bottom"/>
            <w:gridSpan w:val="4"/>
          </w:tcPr>
          <w:p>
            <w:pPr>
              <w:jc w:val="center"/>
              <w:ind w:left="1031"/>
              <w:spacing w:after="0"/>
              <w:rPr>
                <w:sz w:val="20"/>
                <w:szCs w:val="20"/>
                <w:color w:val="auto"/>
              </w:rPr>
            </w:pPr>
            <w:r>
              <w:rPr>
                <w:rFonts w:ascii="Times New Roman" w:cs="Times New Roman" w:eastAsia="Times New Roman" w:hAnsi="Times New Roman"/>
                <w:sz w:val="18"/>
                <w:szCs w:val="18"/>
                <w:color w:val="auto"/>
                <w:w w:val="99"/>
              </w:rPr>
              <w:t>8145 Blazer Drive</w:t>
            </w:r>
          </w:p>
        </w:tc>
        <w:tc>
          <w:tcPr>
            <w:tcW w:w="15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20" w:type="dxa"/>
            <w:vAlign w:val="bottom"/>
            <w:gridSpan w:val="6"/>
          </w:tcPr>
          <w:p>
            <w:pPr>
              <w:jc w:val="center"/>
              <w:ind w:right="2819"/>
              <w:spacing w:after="0"/>
              <w:rPr>
                <w:sz w:val="20"/>
                <w:szCs w:val="20"/>
                <w:color w:val="auto"/>
              </w:rPr>
            </w:pPr>
            <w:r>
              <w:rPr>
                <w:rFonts w:ascii="Times New Roman" w:cs="Times New Roman" w:eastAsia="Times New Roman" w:hAnsi="Times New Roman"/>
                <w:sz w:val="18"/>
                <w:szCs w:val="18"/>
                <w:color w:val="auto"/>
                <w:w w:val="99"/>
              </w:rPr>
              <w:t>Wilmington, Delaware 19808</w:t>
            </w:r>
          </w:p>
        </w:tc>
      </w:tr>
      <w:tr>
        <w:trPr>
          <w:trHeight w:val="193"/>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120" w:type="dxa"/>
            <w:vAlign w:val="bottom"/>
            <w:gridSpan w:val="6"/>
          </w:tcPr>
          <w:p>
            <w:pPr>
              <w:jc w:val="center"/>
              <w:ind w:right="2839"/>
              <w:spacing w:after="0" w:line="194" w:lineRule="exact"/>
              <w:rPr>
                <w:sz w:val="20"/>
                <w:szCs w:val="20"/>
                <w:color w:val="auto"/>
              </w:rPr>
            </w:pPr>
            <w:r>
              <w:rPr>
                <w:rFonts w:ascii="Times New Roman" w:cs="Times New Roman" w:eastAsia="Times New Roman" w:hAnsi="Times New Roman"/>
                <w:sz w:val="18"/>
                <w:szCs w:val="18"/>
                <w:color w:val="auto"/>
                <w:w w:val="99"/>
              </w:rPr>
              <w:t>Telephone Number (302) 995-3000</w:t>
            </w:r>
          </w:p>
        </w:tc>
      </w:tr>
      <w:tr>
        <w:trPr>
          <w:trHeight w:val="210"/>
        </w:trPr>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20" w:type="dxa"/>
            <w:vAlign w:val="bottom"/>
            <w:gridSpan w:val="6"/>
          </w:tcPr>
          <w:p>
            <w:pPr>
              <w:jc w:val="center"/>
              <w:ind w:right="28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57"/>
        </w:trPr>
        <w:tc>
          <w:tcPr>
            <w:tcW w:w="940" w:type="dxa"/>
            <w:vAlign w:val="bottom"/>
          </w:tcPr>
          <w:p>
            <w:pPr>
              <w:spacing w:after="0"/>
              <w:rPr>
                <w:sz w:val="24"/>
                <w:szCs w:val="24"/>
                <w:color w:val="auto"/>
              </w:rPr>
            </w:pPr>
          </w:p>
        </w:tc>
        <w:tc>
          <w:tcPr>
            <w:tcW w:w="216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color w:val="auto"/>
              </w:rPr>
              <w:t>Title of each class</w:t>
            </w:r>
          </w:p>
        </w:tc>
        <w:tc>
          <w:tcPr>
            <w:tcW w:w="1640" w:type="dxa"/>
            <w:vAlign w:val="bottom"/>
          </w:tcPr>
          <w:p>
            <w:pPr>
              <w:spacing w:after="0"/>
              <w:rPr>
                <w:sz w:val="24"/>
                <w:szCs w:val="24"/>
                <w:color w:val="auto"/>
              </w:rPr>
            </w:pPr>
          </w:p>
        </w:tc>
        <w:tc>
          <w:tcPr>
            <w:tcW w:w="14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rPr>
              <w:t>Trading Symbol</w:t>
            </w:r>
          </w:p>
        </w:tc>
        <w:tc>
          <w:tcPr>
            <w:tcW w:w="15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64"/>
        </w:trPr>
        <w:tc>
          <w:tcPr>
            <w:tcW w:w="31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640" w:type="dxa"/>
            <w:vAlign w:val="bottom"/>
          </w:tcPr>
          <w:p>
            <w:pPr>
              <w:spacing w:after="0"/>
              <w:rPr>
                <w:sz w:val="22"/>
                <w:szCs w:val="22"/>
                <w:color w:val="auto"/>
              </w:rPr>
            </w:pPr>
          </w:p>
        </w:tc>
        <w:tc>
          <w:tcPr>
            <w:tcW w:w="14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ASH</w:t>
            </w:r>
          </w:p>
        </w:tc>
        <w:tc>
          <w:tcPr>
            <w:tcW w:w="1500" w:type="dxa"/>
            <w:vAlign w:val="bottom"/>
          </w:tcPr>
          <w:p>
            <w:pPr>
              <w:spacing w:after="0"/>
              <w:rPr>
                <w:sz w:val="22"/>
                <w:szCs w:val="2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122"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56" w:lineRule="exact"/>
        <w:rPr>
          <w:sz w:val="24"/>
          <w:szCs w:val="24"/>
          <w:color w:val="auto"/>
        </w:rPr>
      </w:pPr>
    </w:p>
    <w:p>
      <w:pPr>
        <w:jc w:val="both"/>
        <w:ind w:firstLine="50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56" w:lineRule="exact"/>
        <w:rPr>
          <w:sz w:val="24"/>
          <w:szCs w:val="24"/>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7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jc w:val="both"/>
        <w:ind w:firstLine="509"/>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ind w:left="520" w:right="132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June 30, 2022, there were 54,139,396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 - FINANCIAL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ASHLAND GLOBAL HOLDINGS INC. AND CONSOLIDATED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STATEMENTS OF CONSOLIDATED COMPREHENSIVE INCOME (LOSS)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2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gridSpan w:val="5"/>
          </w:tcPr>
          <w:p>
            <w:pPr>
              <w:jc w:val="right"/>
              <w:ind w:right="179"/>
              <w:spacing w:after="0"/>
              <w:rPr>
                <w:sz w:val="20"/>
                <w:szCs w:val="20"/>
                <w:color w:val="auto"/>
              </w:rPr>
            </w:pPr>
            <w:r>
              <w:rPr>
                <w:rFonts w:ascii="Times New Roman" w:cs="Times New Roman" w:eastAsia="Times New Roman" w:hAnsi="Times New Roman"/>
                <w:sz w:val="16"/>
                <w:szCs w:val="16"/>
                <w:color w:val="auto"/>
              </w:rPr>
              <w:t>Three months ended</w:t>
            </w: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5"/>
          </w:tcPr>
          <w:p>
            <w:pPr>
              <w:jc w:val="right"/>
              <w:ind w:right="499"/>
              <w:spacing w:after="0"/>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7"/>
                <w:szCs w:val="17"/>
                <w:color w:val="auto"/>
              </w:rPr>
            </w:pPr>
          </w:p>
        </w:tc>
      </w:tr>
      <w:tr>
        <w:trPr>
          <w:trHeight w:val="210"/>
        </w:trPr>
        <w:tc>
          <w:tcPr>
            <w:tcW w:w="59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color w:val="auto"/>
              </w:rPr>
              <w:t>June 30</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color w:val="auto"/>
              </w:rPr>
              <w:t>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millions except per share data - unaudited)</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7"/>
                <w:szCs w:val="17"/>
                <w:color w:val="auto"/>
              </w:rPr>
            </w:pPr>
          </w:p>
        </w:tc>
      </w:tr>
      <w:tr>
        <w:trPr>
          <w:trHeight w:val="196"/>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1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shd w:val="clear" w:color="auto" w:fill="CFF0FC"/>
          </w:tcPr>
          <w:p>
            <w:pPr>
              <w:spacing w:after="0"/>
              <w:rPr>
                <w:sz w:val="17"/>
                <w:szCs w:val="17"/>
                <w:color w:val="auto"/>
              </w:rPr>
            </w:pPr>
          </w:p>
        </w:tc>
      </w:tr>
      <w:tr>
        <w:trPr>
          <w:trHeight w:val="203"/>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00" w:type="dxa"/>
            <w:vAlign w:val="bottom"/>
          </w:tcPr>
          <w:p>
            <w:pPr>
              <w:spacing w:after="0"/>
              <w:rPr>
                <w:sz w:val="17"/>
                <w:szCs w:val="17"/>
                <w:color w:val="auto"/>
              </w:rPr>
            </w:pPr>
          </w:p>
        </w:tc>
      </w:tr>
      <w:tr>
        <w:trPr>
          <w:trHeight w:val="196"/>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FF0FC"/>
          </w:tcPr>
          <w:p>
            <w:pPr>
              <w:spacing w:after="0"/>
              <w:rPr>
                <w:sz w:val="17"/>
                <w:szCs w:val="17"/>
                <w:color w:val="auto"/>
              </w:rPr>
            </w:pPr>
          </w:p>
        </w:tc>
      </w:tr>
      <w:tr>
        <w:trPr>
          <w:trHeight w:val="203"/>
        </w:trPr>
        <w:tc>
          <w:tcPr>
            <w:tcW w:w="5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FF0FC"/>
          </w:tcPr>
          <w:p>
            <w:pPr>
              <w:spacing w:after="0"/>
              <w:rPr>
                <w:sz w:val="17"/>
                <w:szCs w:val="17"/>
                <w:color w:val="auto"/>
              </w:rPr>
            </w:pPr>
          </w:p>
        </w:tc>
      </w:tr>
      <w:tr>
        <w:trPr>
          <w:trHeight w:val="203"/>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7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r>
      <w:tr>
        <w:trPr>
          <w:trHeight w:val="203"/>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Intangibles amortization expense</w:t>
            </w: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FF0FC"/>
          </w:tcPr>
          <w:p>
            <w:pPr>
              <w:spacing w:after="0"/>
              <w:rPr>
                <w:sz w:val="17"/>
                <w:szCs w:val="17"/>
                <w:color w:val="auto"/>
              </w:rPr>
            </w:pPr>
          </w:p>
        </w:tc>
      </w:tr>
      <w:tr>
        <w:trPr>
          <w:trHeight w:val="203"/>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and other income</w:t>
            </w: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r>
      <w:tr>
        <w:trPr>
          <w:trHeight w:val="196"/>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FF0FC"/>
          </w:tcPr>
          <w:p>
            <w:pPr>
              <w:spacing w:after="0"/>
              <w:rPr>
                <w:sz w:val="17"/>
                <w:szCs w:val="17"/>
                <w:color w:val="auto"/>
              </w:rPr>
            </w:pPr>
          </w:p>
        </w:tc>
      </w:tr>
      <w:tr>
        <w:trPr>
          <w:trHeight w:val="203"/>
        </w:trPr>
        <w:tc>
          <w:tcPr>
            <w:tcW w:w="5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interest and other expense</w:t>
            </w: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FF0FC"/>
          </w:tcPr>
          <w:p>
            <w:pPr>
              <w:spacing w:after="0"/>
              <w:rPr>
                <w:sz w:val="17"/>
                <w:szCs w:val="17"/>
                <w:color w:val="auto"/>
              </w:rPr>
            </w:pPr>
          </w:p>
        </w:tc>
      </w:tr>
      <w:tr>
        <w:trPr>
          <w:trHeight w:val="203"/>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 periodic benefit loss - Note K</w:t>
            </w:r>
          </w:p>
        </w:tc>
        <w:tc>
          <w:tcPr>
            <w:tcW w:w="74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on acquisitions and divestitures, net - Note B</w:t>
            </w:r>
          </w:p>
        </w:tc>
        <w:tc>
          <w:tcPr>
            <w:tcW w:w="7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7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7"/>
                <w:szCs w:val="17"/>
                <w:color w:val="auto"/>
              </w:rPr>
            </w:pPr>
          </w:p>
        </w:tc>
      </w:tr>
      <w:tr>
        <w:trPr>
          <w:trHeight w:val="203"/>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(35 )</w:t>
            </w:r>
          </w:p>
        </w:tc>
      </w:tr>
      <w:tr>
        <w:trPr>
          <w:trHeight w:val="196"/>
        </w:trPr>
        <w:tc>
          <w:tcPr>
            <w:tcW w:w="5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7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top w:val="single" w:sz="8" w:color="CFF0FC"/>
            </w:tcBorders>
          </w:tcPr>
          <w:p>
            <w:pPr>
              <w:spacing w:after="0"/>
              <w:rPr>
                <w:sz w:val="17"/>
                <w:szCs w:val="17"/>
                <w:color w:val="auto"/>
              </w:rPr>
            </w:pPr>
          </w:p>
        </w:tc>
      </w:tr>
      <w:tr>
        <w:trPr>
          <w:trHeight w:val="203"/>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income taxes) - Note C</w:t>
            </w:r>
          </w:p>
        </w:tc>
        <w:tc>
          <w:tcPr>
            <w:tcW w:w="7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FF0FC"/>
          </w:tcPr>
          <w:p>
            <w:pPr>
              <w:spacing w:after="0"/>
              <w:rPr>
                <w:sz w:val="17"/>
                <w:szCs w:val="17"/>
                <w:color w:val="auto"/>
              </w:rPr>
            </w:pPr>
          </w:p>
        </w:tc>
      </w:tr>
      <w:tr>
        <w:trPr>
          <w:trHeight w:val="196"/>
        </w:trPr>
        <w:tc>
          <w:tcPr>
            <w:tcW w:w="5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top w:val="single" w:sz="8" w:color="CFF0FC"/>
            </w:tcBorders>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9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earnings per share - Note M</w:t>
            </w: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20" w:type="dxa"/>
            <w:vAlign w:val="bottom"/>
          </w:tcPr>
          <w:p>
            <w:pPr>
              <w:spacing w:after="0"/>
              <w:rPr>
                <w:sz w:val="17"/>
                <w:szCs w:val="17"/>
                <w:color w:val="auto"/>
              </w:rPr>
            </w:pPr>
          </w:p>
        </w:tc>
        <w:tc>
          <w:tcPr>
            <w:tcW w:w="980" w:type="dxa"/>
            <w:vAlign w:val="bottom"/>
            <w:gridSpan w:val="2"/>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7"/>
                <w:szCs w:val="17"/>
                <w:color w:val="auto"/>
              </w:rPr>
            </w:pP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7"/>
                <w:szCs w:val="17"/>
                <w:color w:val="auto"/>
              </w:rPr>
            </w:pP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7"/>
                <w:szCs w:val="17"/>
                <w:color w:val="auto"/>
              </w:rPr>
            </w:pPr>
          </w:p>
        </w:tc>
      </w:tr>
      <w:tr>
        <w:trPr>
          <w:trHeight w:val="203"/>
        </w:trPr>
        <w:tc>
          <w:tcPr>
            <w:tcW w:w="5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7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(0.28 )</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shd w:val="clear" w:color="auto" w:fill="CFF0FC"/>
          </w:tcPr>
          <w:p>
            <w:pPr>
              <w:spacing w:after="0"/>
              <w:rPr>
                <w:sz w:val="17"/>
                <w:szCs w:val="17"/>
                <w:color w:val="auto"/>
              </w:rPr>
            </w:pPr>
          </w:p>
        </w:tc>
      </w:tr>
      <w:tr>
        <w:trPr>
          <w:trHeight w:val="196"/>
        </w:trPr>
        <w:tc>
          <w:tcPr>
            <w:tcW w:w="59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Borders>
              <w:top w:val="single" w:sz="8" w:color="CFF0FC"/>
            </w:tcBorders>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9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 - Note M</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FF0FC"/>
          </w:tcPr>
          <w:p>
            <w:pPr>
              <w:spacing w:after="0"/>
              <w:rPr>
                <w:sz w:val="17"/>
                <w:szCs w:val="17"/>
                <w:color w:val="auto"/>
              </w:rPr>
            </w:pPr>
          </w:p>
        </w:tc>
      </w:tr>
      <w:tr>
        <w:trPr>
          <w:trHeight w:val="202"/>
        </w:trPr>
        <w:tc>
          <w:tcPr>
            <w:tcW w:w="5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74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(0.28 )</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tcPr>
          <w:p>
            <w:pPr>
              <w:spacing w:after="0"/>
              <w:rPr>
                <w:sz w:val="17"/>
                <w:szCs w:val="17"/>
                <w:color w:val="auto"/>
              </w:rPr>
            </w:pPr>
          </w:p>
        </w:tc>
      </w:tr>
      <w:tr>
        <w:trPr>
          <w:trHeight w:val="236"/>
        </w:trPr>
        <w:tc>
          <w:tcPr>
            <w:tcW w:w="5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tcBorders>
              <w:top w:val="single" w:sz="8" w:color="auto"/>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5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7"/>
                <w:szCs w:val="17"/>
                <w:color w:val="auto"/>
              </w:rPr>
            </w:pPr>
          </w:p>
        </w:tc>
        <w:tc>
          <w:tcPr>
            <w:tcW w:w="980" w:type="dxa"/>
            <w:vAlign w:val="bottom"/>
            <w:gridSpan w:val="2"/>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7"/>
                <w:szCs w:val="17"/>
                <w:color w:val="auto"/>
              </w:rPr>
            </w:pP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tcPr>
          <w:p>
            <w:pPr>
              <w:spacing w:after="0"/>
              <w:rPr>
                <w:sz w:val="17"/>
                <w:szCs w:val="17"/>
                <w:color w:val="auto"/>
              </w:rPr>
            </w:pP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7"/>
                <w:szCs w:val="17"/>
                <w:color w:val="auto"/>
              </w:rPr>
            </w:pPr>
          </w:p>
        </w:tc>
      </w:tr>
      <w:tr>
        <w:trPr>
          <w:trHeight w:val="203"/>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translation gain (loss)</w:t>
            </w:r>
          </w:p>
        </w:tc>
        <w:tc>
          <w:tcPr>
            <w:tcW w:w="74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(107 )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r>
      <w:tr>
        <w:trPr>
          <w:trHeight w:val="203"/>
        </w:trPr>
        <w:tc>
          <w:tcPr>
            <w:tcW w:w="5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Unrealized gain (loss) on commodity hedges</w:t>
            </w:r>
          </w:p>
        </w:tc>
        <w:tc>
          <w:tcPr>
            <w:tcW w:w="7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9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 (loss) - Note N</w:t>
            </w:r>
          </w:p>
        </w:tc>
        <w:tc>
          <w:tcPr>
            <w:tcW w:w="74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(109 )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r>
      <w:tr>
        <w:trPr>
          <w:trHeight w:val="236"/>
        </w:trPr>
        <w:tc>
          <w:tcPr>
            <w:tcW w:w="5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740" w:type="dxa"/>
            <w:vAlign w:val="bottom"/>
            <w:tcBorders>
              <w:top w:val="single" w:sz="8" w:color="auto"/>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59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-3385185</wp:posOffset>
            </wp:positionV>
            <wp:extent cx="77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-3385185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-3385185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-3119755</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-3119755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-3119755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-2853690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-2853690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-2853690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-2047875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-2047875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-2047875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-1233805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-1216660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-1233805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-1216660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-1233805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-1216660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-436245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-436245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-436245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-161925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-145415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-161925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-145415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-161925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-145415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2" w:name="page3"/>
    <w:bookmarkEnd w:id="2"/>
    <w:p>
      <w:pPr>
        <w:ind w:right="4220"/>
        <w:spacing w:after="0" w:line="273" w:lineRule="auto"/>
        <w:rPr>
          <w:sz w:val="20"/>
          <w:szCs w:val="20"/>
          <w:color w:val="auto"/>
        </w:rPr>
      </w:pPr>
      <w:r>
        <w:rPr>
          <w:rFonts w:ascii="Times New Roman" w:cs="Times New Roman" w:eastAsia="Times New Roman" w:hAnsi="Times New Roman"/>
          <w:sz w:val="20"/>
          <w:szCs w:val="20"/>
          <w:b w:val="1"/>
          <w:bCs w:val="1"/>
          <w:color w:val="auto"/>
        </w:rPr>
        <w:t>ASHLAND GLOBAL HOLDINGS INC. AND CONSOLIDATED SUBSIDIARIES CONDENSED 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5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June 30</w:t>
            </w:r>
          </w:p>
        </w:tc>
        <w:tc>
          <w:tcPr>
            <w:tcW w:w="5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350"/>
              <w:spacing w:after="0" w:line="184" w:lineRule="exact"/>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75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millions - unaudited)</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2021</w:t>
            </w: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6880" w:type="dxa"/>
            <w:vAlign w:val="bottom"/>
            <w:tcBorders>
              <w:bottom w:val="single" w:sz="8" w:color="CFF0FC"/>
            </w:tcBorders>
            <w:gridSpan w:val="2"/>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560" w:type="dxa"/>
            <w:vAlign w:val="bottom"/>
            <w:tcBorders>
              <w:bottom w:val="single" w:sz="8" w:color="CFF0FC"/>
            </w:tcBorders>
            <w:shd w:val="clear" w:color="auto" w:fill="CFF0FC"/>
          </w:tcPr>
          <w:p>
            <w:pPr>
              <w:spacing w:after="0"/>
              <w:rPr>
                <w:sz w:val="16"/>
                <w:szCs w:val="16"/>
                <w:color w:val="auto"/>
              </w:rPr>
            </w:pPr>
          </w:p>
        </w:tc>
      </w:tr>
      <w:tr>
        <w:trPr>
          <w:trHeight w:val="216"/>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629</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14"/>
                <w:szCs w:val="14"/>
                <w:color w:val="auto"/>
              </w:rPr>
              <w:t>(a)</w:t>
            </w:r>
            <w:r>
              <w:rPr>
                <w:rFonts w:ascii="Times New Roman" w:cs="Times New Roman" w:eastAsia="Times New Roman" w:hAnsi="Times New Roman"/>
                <w:sz w:val="18"/>
                <w:szCs w:val="18"/>
                <w:color w:val="auto"/>
              </w:rPr>
              <w:t xml:space="preserve"> - Note H</w:t>
            </w:r>
          </w:p>
        </w:tc>
        <w:tc>
          <w:tcPr>
            <w:tcW w:w="11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7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 - Note F</w:t>
            </w: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1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5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 held for sale - Note B</w:t>
            </w:r>
          </w:p>
        </w:tc>
        <w:tc>
          <w:tcPr>
            <w:tcW w:w="11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r>
      <w:tr>
        <w:trPr>
          <w:trHeight w:val="210"/>
        </w:trPr>
        <w:tc>
          <w:tcPr>
            <w:tcW w:w="20" w:type="dxa"/>
            <w:vAlign w:val="bottom"/>
          </w:tcPr>
          <w:p>
            <w:pPr>
              <w:spacing w:after="0"/>
              <w:rPr>
                <w:sz w:val="18"/>
                <w:szCs w:val="18"/>
                <w:color w:val="auto"/>
              </w:rPr>
            </w:pPr>
          </w:p>
        </w:tc>
        <w:tc>
          <w:tcPr>
            <w:tcW w:w="7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1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1,717</w:t>
            </w:r>
          </w:p>
        </w:tc>
      </w:tr>
      <w:tr>
        <w:trPr>
          <w:trHeight w:val="216"/>
        </w:trPr>
        <w:tc>
          <w:tcPr>
            <w:tcW w:w="7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3,065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3,066</w:t>
            </w:r>
          </w:p>
        </w:tc>
      </w:tr>
      <w:tr>
        <w:trPr>
          <w:trHeight w:val="216"/>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1,639</w:t>
            </w:r>
          </w:p>
        </w:tc>
      </w:tr>
      <w:tr>
        <w:trPr>
          <w:trHeight w:val="210"/>
        </w:trPr>
        <w:tc>
          <w:tcPr>
            <w:tcW w:w="20" w:type="dxa"/>
            <w:vAlign w:val="bottom"/>
            <w:shd w:val="clear" w:color="auto" w:fill="CFF0FC"/>
          </w:tcPr>
          <w:p>
            <w:pPr>
              <w:spacing w:after="0"/>
              <w:rPr>
                <w:sz w:val="18"/>
                <w:szCs w:val="18"/>
                <w:color w:val="auto"/>
              </w:rPr>
            </w:pPr>
          </w:p>
        </w:tc>
        <w:tc>
          <w:tcPr>
            <w:tcW w:w="75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1,427</w:t>
            </w:r>
          </w:p>
        </w:tc>
      </w:tr>
      <w:tr>
        <w:trPr>
          <w:trHeight w:val="216"/>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Goodwill - Note G</w:t>
            </w:r>
          </w:p>
        </w:tc>
        <w:tc>
          <w:tcPr>
            <w:tcW w:w="11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1,430</w:t>
            </w:r>
          </w:p>
        </w:tc>
      </w:tr>
      <w:tr>
        <w:trPr>
          <w:trHeight w:val="216"/>
        </w:trPr>
        <w:tc>
          <w:tcPr>
            <w:tcW w:w="7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Intangibles - Note G</w:t>
            </w: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1,099</w:t>
            </w:r>
          </w:p>
        </w:tc>
      </w:tr>
      <w:tr>
        <w:trPr>
          <w:trHeight w:val="216"/>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lease assets, net - Note I</w:t>
            </w:r>
          </w:p>
        </w:tc>
        <w:tc>
          <w:tcPr>
            <w:tcW w:w="11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7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investments - Note E</w:t>
            </w: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Asbestos insurance receivable </w:t>
            </w:r>
            <w:r>
              <w:rPr>
                <w:rFonts w:ascii="Times New Roman" w:cs="Times New Roman" w:eastAsia="Times New Roman" w:hAnsi="Times New Roman"/>
                <w:sz w:val="14"/>
                <w:szCs w:val="14"/>
                <w:color w:val="auto"/>
              </w:rPr>
              <w:t>(b)</w:t>
            </w:r>
            <w:r>
              <w:rPr>
                <w:rFonts w:ascii="Times New Roman" w:cs="Times New Roman" w:eastAsia="Times New Roman" w:hAnsi="Times New Roman"/>
                <w:sz w:val="18"/>
                <w:szCs w:val="18"/>
                <w:color w:val="auto"/>
              </w:rPr>
              <w:t xml:space="preserve"> - Note L</w:t>
            </w:r>
          </w:p>
        </w:tc>
        <w:tc>
          <w:tcPr>
            <w:tcW w:w="11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7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756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noncurrent assets</w:t>
            </w:r>
          </w:p>
        </w:tc>
        <w:tc>
          <w:tcPr>
            <w:tcW w:w="11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4,595</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4,895</w:t>
            </w:r>
          </w:p>
        </w:tc>
      </w:tr>
      <w:tr>
        <w:trPr>
          <w:trHeight w:val="210"/>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6,412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6,612</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5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176"/>
        </w:trPr>
        <w:tc>
          <w:tcPr>
            <w:tcW w:w="758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6"/>
        </w:trPr>
        <w:tc>
          <w:tcPr>
            <w:tcW w:w="7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Short-term debt - Note H</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7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 - Note H</w:t>
            </w: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7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operating lease obligations - Note I</w:t>
            </w:r>
          </w:p>
        </w:tc>
        <w:tc>
          <w:tcPr>
            <w:tcW w:w="11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5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 held for sale - Note B</w:t>
            </w:r>
          </w:p>
        </w:tc>
        <w:tc>
          <w:tcPr>
            <w:tcW w:w="11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20" w:type="dxa"/>
            <w:vAlign w:val="bottom"/>
          </w:tcPr>
          <w:p>
            <w:pPr>
              <w:spacing w:after="0"/>
              <w:rPr>
                <w:sz w:val="18"/>
                <w:szCs w:val="18"/>
                <w:color w:val="auto"/>
              </w:rPr>
            </w:pPr>
          </w:p>
        </w:tc>
        <w:tc>
          <w:tcPr>
            <w:tcW w:w="7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934</w:t>
            </w:r>
          </w:p>
        </w:tc>
      </w:tr>
      <w:tr>
        <w:trPr>
          <w:trHeight w:val="216"/>
        </w:trPr>
        <w:tc>
          <w:tcPr>
            <w:tcW w:w="7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Long-term debt - Note H</w:t>
            </w:r>
          </w:p>
        </w:tc>
        <w:tc>
          <w:tcPr>
            <w:tcW w:w="11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1,596</w:t>
            </w:r>
          </w:p>
        </w:tc>
      </w:tr>
      <w:tr>
        <w:trPr>
          <w:trHeight w:val="216"/>
        </w:trPr>
        <w:tc>
          <w:tcPr>
            <w:tcW w:w="7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Asbestos litigation reserve - Note L</w:t>
            </w: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1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7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benefit obligations - Note K</w:t>
            </w: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lease obligations - Note I</w:t>
            </w:r>
          </w:p>
        </w:tc>
        <w:tc>
          <w:tcPr>
            <w:tcW w:w="11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75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1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r>
      <w:tr>
        <w:trPr>
          <w:trHeight w:val="210"/>
        </w:trPr>
        <w:tc>
          <w:tcPr>
            <w:tcW w:w="20" w:type="dxa"/>
            <w:vAlign w:val="bottom"/>
          </w:tcPr>
          <w:p>
            <w:pPr>
              <w:spacing w:after="0"/>
              <w:rPr>
                <w:sz w:val="18"/>
                <w:szCs w:val="18"/>
                <w:color w:val="auto"/>
              </w:rPr>
            </w:pPr>
          </w:p>
        </w:tc>
        <w:tc>
          <w:tcPr>
            <w:tcW w:w="7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1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2,926</w:t>
            </w:r>
          </w:p>
        </w:tc>
      </w:tr>
      <w:tr>
        <w:trPr>
          <w:trHeight w:val="216"/>
        </w:trPr>
        <w:tc>
          <w:tcPr>
            <w:tcW w:w="7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 Note L</w:t>
            </w: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 Note N</w:t>
            </w:r>
          </w:p>
        </w:tc>
        <w:tc>
          <w:tcPr>
            <w:tcW w:w="11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2,752</w:t>
            </w: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shd w:val="clear" w:color="auto" w:fill="CFF0FC"/>
          </w:tcPr>
          <w:p>
            <w:pPr>
              <w:spacing w:after="0"/>
              <w:rPr>
                <w:sz w:val="18"/>
                <w:szCs w:val="18"/>
                <w:color w:val="auto"/>
              </w:rPr>
            </w:pPr>
          </w:p>
        </w:tc>
        <w:tc>
          <w:tcPr>
            <w:tcW w:w="52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spacing w:after="0"/>
              <w:rPr>
                <w:sz w:val="18"/>
                <w:szCs w:val="18"/>
                <w:color w:val="auto"/>
              </w:rPr>
            </w:pPr>
          </w:p>
        </w:tc>
      </w:tr>
      <w:tr>
        <w:trPr>
          <w:trHeight w:val="210"/>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6,412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6,612</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52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-5280025</wp:posOffset>
            </wp:positionV>
            <wp:extent cx="120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-3333750</wp:posOffset>
            </wp:positionV>
            <wp:extent cx="120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-1927860</wp:posOffset>
            </wp:positionV>
            <wp:extent cx="120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-822325</wp:posOffset>
            </wp:positionV>
            <wp:extent cx="120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-264795</wp:posOffset>
            </wp:positionV>
            <wp:extent cx="120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5"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receivable includes an allowance for credit losses of $2 million at both June 30, 2022 and September 30, 2021.</w:t>
      </w:r>
    </w:p>
    <w:p>
      <w:pPr>
        <w:spacing w:after="0" w:line="4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Asbestos insurance receivable includes an allowance for credit losses of $3 million at both June 30, 2022 and September 30, 2021.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3" w:name="page4"/>
    <w:bookmarkEnd w:id="3"/>
    <w:p>
      <w:pPr>
        <w:ind w:right="4220"/>
        <w:spacing w:after="0" w:line="300" w:lineRule="auto"/>
        <w:rPr>
          <w:sz w:val="20"/>
          <w:szCs w:val="20"/>
          <w:color w:val="auto"/>
        </w:rPr>
      </w:pPr>
      <w:r>
        <w:rPr>
          <w:rFonts w:ascii="Times New Roman" w:cs="Times New Roman" w:eastAsia="Times New Roman" w:hAnsi="Times New Roman"/>
          <w:sz w:val="19"/>
          <w:szCs w:val="19"/>
          <w:b w:val="1"/>
          <w:bCs w:val="1"/>
          <w:color w:val="auto"/>
        </w:rPr>
        <w:t>ASHLAND GLOBAL HOLDINGS INC. AND CONSOLIDATED SUBSIDIARIES STATEMENTS OF CONDENSED CONSOLIDATED CASH FLOWS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5"/>
                <w:szCs w:val="15"/>
                <w:color w:val="auto"/>
              </w:rPr>
              <w:t>Nine months ended</w:t>
            </w:r>
          </w:p>
        </w:tc>
        <w:tc>
          <w:tcPr>
            <w:tcW w:w="1100" w:type="dxa"/>
            <w:vAlign w:val="bottom"/>
            <w:tcBorders>
              <w:top w:val="single" w:sz="8" w:color="auto"/>
            </w:tcBorders>
          </w:tcPr>
          <w:p>
            <w:pPr>
              <w:spacing w:after="0"/>
              <w:rPr>
                <w:sz w:val="16"/>
                <w:szCs w:val="16"/>
                <w:color w:val="auto"/>
              </w:rPr>
            </w:pPr>
          </w:p>
        </w:tc>
      </w:tr>
      <w:tr>
        <w:trPr>
          <w:trHeight w:val="200"/>
        </w:trPr>
        <w:tc>
          <w:tcPr>
            <w:tcW w:w="78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364"/>
              <w:spacing w:after="0"/>
              <w:rPr>
                <w:sz w:val="20"/>
                <w:szCs w:val="20"/>
                <w:color w:val="auto"/>
              </w:rPr>
            </w:pPr>
            <w:r>
              <w:rPr>
                <w:rFonts w:ascii="Times New Roman" w:cs="Times New Roman" w:eastAsia="Times New Roman" w:hAnsi="Times New Roman"/>
                <w:sz w:val="15"/>
                <w:szCs w:val="15"/>
                <w:color w:val="auto"/>
              </w:rPr>
              <w:t>June 30</w:t>
            </w:r>
          </w:p>
        </w:tc>
        <w:tc>
          <w:tcPr>
            <w:tcW w:w="1100" w:type="dxa"/>
            <w:vAlign w:val="bottom"/>
            <w:tcBorders>
              <w:bottom w:val="single" w:sz="8" w:color="auto"/>
            </w:tcBorders>
          </w:tcPr>
          <w:p>
            <w:pPr>
              <w:spacing w:after="0"/>
              <w:rPr>
                <w:sz w:val="17"/>
                <w:szCs w:val="17"/>
                <w:color w:val="auto"/>
              </w:rPr>
            </w:pPr>
          </w:p>
        </w:tc>
      </w:tr>
      <w:tr>
        <w:trPr>
          <w:trHeight w:val="189"/>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(In millions - unaudited)</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5"/>
                <w:szCs w:val="15"/>
                <w:color w:val="auto"/>
              </w:rPr>
              <w:t>2022</w:t>
            </w: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5"/>
                <w:szCs w:val="15"/>
                <w:color w:val="auto"/>
              </w:rPr>
              <w:t>2021</w:t>
            </w:r>
          </w:p>
        </w:tc>
      </w:tr>
      <w:tr>
        <w:trPr>
          <w:trHeight w:val="134"/>
        </w:trPr>
        <w:tc>
          <w:tcPr>
            <w:tcW w:w="7800" w:type="dxa"/>
            <w:vAlign w:val="bottom"/>
            <w:shd w:val="clear" w:color="auto" w:fill="CFF0FC"/>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CASH FLOWS PROVIDED (USED) BY OPERATING ACTIVITIES FROM</w:t>
            </w:r>
          </w:p>
        </w:tc>
        <w:tc>
          <w:tcPr>
            <w:tcW w:w="3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r>
      <w:tr>
        <w:trPr>
          <w:trHeight w:val="210"/>
        </w:trPr>
        <w:tc>
          <w:tcPr>
            <w:tcW w:w="7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b w:val="1"/>
                <w:bCs w:val="1"/>
                <w:color w:val="auto"/>
              </w:rPr>
              <w:t>CONTINUING OPERATIONS</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189"/>
        </w:trPr>
        <w:tc>
          <w:tcPr>
            <w:tcW w:w="78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3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870</w:t>
            </w:r>
          </w:p>
        </w:tc>
        <w:tc>
          <w:tcPr>
            <w:tcW w:w="700" w:type="dxa"/>
            <w:vAlign w:val="bottom"/>
            <w:gridSpan w:val="2"/>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176</w:t>
            </w:r>
          </w:p>
        </w:tc>
      </w:tr>
      <w:tr>
        <w:trPr>
          <w:trHeight w:val="189"/>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Income from discontinued operations (net of income taxes)</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(749 )</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(37 )</w:t>
            </w:r>
          </w:p>
        </w:tc>
      </w:tr>
      <w:tr>
        <w:trPr>
          <w:trHeight w:val="189"/>
        </w:trPr>
        <w:tc>
          <w:tcPr>
            <w:tcW w:w="78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Adjustments to reconcile income from continuing operations to</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7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189"/>
        </w:trPr>
        <w:tc>
          <w:tcPr>
            <w:tcW w:w="78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60" w:type="dxa"/>
            <w:vAlign w:val="bottom"/>
          </w:tcPr>
          <w:p>
            <w:pPr>
              <w:spacing w:after="0"/>
              <w:rPr>
                <w:sz w:val="16"/>
                <w:szCs w:val="16"/>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182</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180</w:t>
            </w:r>
          </w:p>
        </w:tc>
      </w:tr>
      <w:tr>
        <w:trPr>
          <w:trHeight w:val="189"/>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Original issue discount and debt issuance costs amortization</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w:t>
            </w:r>
          </w:p>
        </w:tc>
      </w:tr>
      <w:tr>
        <w:trPr>
          <w:trHeight w:val="189"/>
        </w:trPr>
        <w:tc>
          <w:tcPr>
            <w:tcW w:w="78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Deferred income taxes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(3 )</w:t>
            </w:r>
          </w:p>
        </w:tc>
      </w:tr>
      <w:tr>
        <w:trPr>
          <w:trHeight w:val="189"/>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Gain from sales of property and equipment</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(3 )</w:t>
            </w:r>
          </w:p>
        </w:tc>
      </w:tr>
      <w:tr>
        <w:trPr>
          <w:trHeight w:val="189"/>
        </w:trPr>
        <w:tc>
          <w:tcPr>
            <w:tcW w:w="78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Distributions from equity affiliates</w:t>
            </w:r>
          </w:p>
        </w:tc>
        <w:tc>
          <w:tcPr>
            <w:tcW w:w="360" w:type="dxa"/>
            <w:vAlign w:val="bottom"/>
          </w:tcPr>
          <w:p>
            <w:pPr>
              <w:spacing w:after="0"/>
              <w:rPr>
                <w:sz w:val="16"/>
                <w:szCs w:val="16"/>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w:t>
            </w:r>
          </w:p>
        </w:tc>
      </w:tr>
      <w:tr>
        <w:trPr>
          <w:trHeight w:val="189"/>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Stock based compensation expense</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14</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12</w:t>
            </w:r>
          </w:p>
        </w:tc>
      </w:tr>
      <w:tr>
        <w:trPr>
          <w:trHeight w:val="189"/>
        </w:trPr>
        <w:tc>
          <w:tcPr>
            <w:tcW w:w="78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Excess tax benefit on stock based compensation</w:t>
            </w:r>
          </w:p>
        </w:tc>
        <w:tc>
          <w:tcPr>
            <w:tcW w:w="360" w:type="dxa"/>
            <w:vAlign w:val="bottom"/>
          </w:tcPr>
          <w:p>
            <w:pPr>
              <w:spacing w:after="0"/>
              <w:rPr>
                <w:sz w:val="16"/>
                <w:szCs w:val="16"/>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w:t>
            </w:r>
          </w:p>
        </w:tc>
      </w:tr>
      <w:tr>
        <w:trPr>
          <w:trHeight w:val="189"/>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Loss (income) from restricted investments</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59</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(36 )</w:t>
            </w:r>
          </w:p>
        </w:tc>
      </w:tr>
      <w:tr>
        <w:trPr>
          <w:trHeight w:val="189"/>
        </w:trPr>
        <w:tc>
          <w:tcPr>
            <w:tcW w:w="78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Income on acquisitions and divestitures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(42 )</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(15 )</w:t>
            </w:r>
          </w:p>
        </w:tc>
      </w:tr>
      <w:tr>
        <w:trPr>
          <w:trHeight w:val="189"/>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Impairments</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9</w:t>
            </w:r>
          </w:p>
        </w:tc>
      </w:tr>
      <w:tr>
        <w:trPr>
          <w:trHeight w:val="189"/>
        </w:trPr>
        <w:tc>
          <w:tcPr>
            <w:tcW w:w="78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Pension contributions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(6 )</w:t>
            </w:r>
          </w:p>
        </w:tc>
      </w:tr>
      <w:tr>
        <w:trPr>
          <w:trHeight w:val="189"/>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Gain on pension and other postretirement plan remeasurements</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8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Change in operating assets and liabilities (a)</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(315 )</w:t>
            </w:r>
          </w:p>
        </w:tc>
        <w:tc>
          <w:tcPr>
            <w:tcW w:w="1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Total cash flows provided by operating activities from continuing operations</w:t>
            </w: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14</w:t>
            </w:r>
          </w:p>
        </w:tc>
        <w:tc>
          <w:tcPr>
            <w:tcW w:w="1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314</w:t>
            </w:r>
          </w:p>
        </w:tc>
      </w:tr>
      <w:tr>
        <w:trPr>
          <w:trHeight w:val="141"/>
        </w:trPr>
        <w:tc>
          <w:tcPr>
            <w:tcW w:w="7800" w:type="dxa"/>
            <w:vAlign w:val="bottom"/>
          </w:tcPr>
          <w:p>
            <w:pPr>
              <w:ind w:left="20"/>
              <w:spacing w:after="0" w:line="141" w:lineRule="exact"/>
              <w:rPr>
                <w:sz w:val="20"/>
                <w:szCs w:val="20"/>
                <w:color w:val="auto"/>
              </w:rPr>
            </w:pPr>
            <w:r>
              <w:rPr>
                <w:rFonts w:ascii="Times New Roman" w:cs="Times New Roman" w:eastAsia="Times New Roman" w:hAnsi="Times New Roman"/>
                <w:sz w:val="15"/>
                <w:szCs w:val="15"/>
                <w:b w:val="1"/>
                <w:bCs w:val="1"/>
                <w:color w:val="auto"/>
              </w:rPr>
              <w:t>CASH FLOWS PROVIDED (USED) BY INVESTING ACTIVITIES FROM</w:t>
            </w: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06"/>
        </w:trPr>
        <w:tc>
          <w:tcPr>
            <w:tcW w:w="780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CONTINUING OPERATIONS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3"/>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(67 )</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(74 )</w:t>
            </w:r>
          </w:p>
        </w:tc>
      </w:tr>
      <w:tr>
        <w:trPr>
          <w:trHeight w:val="189"/>
        </w:trPr>
        <w:tc>
          <w:tcPr>
            <w:tcW w:w="78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Proceeds from disposal of property, plant and equipment</w:t>
            </w:r>
          </w:p>
        </w:tc>
        <w:tc>
          <w:tcPr>
            <w:tcW w:w="360" w:type="dxa"/>
            <w:vAlign w:val="bottom"/>
          </w:tcPr>
          <w:p>
            <w:pPr>
              <w:spacing w:after="0"/>
              <w:rPr>
                <w:sz w:val="16"/>
                <w:szCs w:val="16"/>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51</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w:t>
            </w:r>
          </w:p>
        </w:tc>
      </w:tr>
      <w:tr>
        <w:trPr>
          <w:trHeight w:val="189"/>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Purchase of operations - net of cash acquired</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(308 )</w:t>
            </w:r>
          </w:p>
        </w:tc>
      </w:tr>
      <w:tr>
        <w:trPr>
          <w:trHeight w:val="189"/>
        </w:trPr>
        <w:tc>
          <w:tcPr>
            <w:tcW w:w="78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Proceeds from sale or restructuring of operations</w:t>
            </w:r>
          </w:p>
        </w:tc>
        <w:tc>
          <w:tcPr>
            <w:tcW w:w="360" w:type="dxa"/>
            <w:vAlign w:val="bottom"/>
          </w:tcPr>
          <w:p>
            <w:pPr>
              <w:spacing w:after="0"/>
              <w:rPr>
                <w:sz w:val="16"/>
                <w:szCs w:val="16"/>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w:t>
            </w:r>
          </w:p>
        </w:tc>
      </w:tr>
      <w:tr>
        <w:trPr>
          <w:trHeight w:val="189"/>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Proceeds from settlement of Company-owned life insurance contracts</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w:t>
            </w:r>
          </w:p>
        </w:tc>
      </w:tr>
      <w:tr>
        <w:trPr>
          <w:trHeight w:val="189"/>
        </w:trPr>
        <w:tc>
          <w:tcPr>
            <w:tcW w:w="78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Company-owned life insurance payments</w:t>
            </w:r>
          </w:p>
        </w:tc>
        <w:tc>
          <w:tcPr>
            <w:tcW w:w="360" w:type="dxa"/>
            <w:vAlign w:val="bottom"/>
          </w:tcPr>
          <w:p>
            <w:pPr>
              <w:spacing w:after="0"/>
              <w:rPr>
                <w:sz w:val="16"/>
                <w:szCs w:val="16"/>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(1 )</w:t>
            </w:r>
          </w:p>
        </w:tc>
      </w:tr>
      <w:tr>
        <w:trPr>
          <w:trHeight w:val="189"/>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purchase of funds restricted for specific transactions</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(1 )</w:t>
            </w:r>
          </w:p>
        </w:tc>
      </w:tr>
      <w:tr>
        <w:trPr>
          <w:trHeight w:val="189"/>
        </w:trPr>
        <w:tc>
          <w:tcPr>
            <w:tcW w:w="78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Reimbursements from restricted investments</w:t>
            </w:r>
          </w:p>
        </w:tc>
        <w:tc>
          <w:tcPr>
            <w:tcW w:w="360" w:type="dxa"/>
            <w:vAlign w:val="bottom"/>
          </w:tcPr>
          <w:p>
            <w:pPr>
              <w:spacing w:after="0"/>
              <w:rPr>
                <w:sz w:val="16"/>
                <w:szCs w:val="16"/>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28</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25</w:t>
            </w:r>
          </w:p>
        </w:tc>
      </w:tr>
      <w:tr>
        <w:trPr>
          <w:trHeight w:val="189"/>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Proceeds from sale of securities</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75</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56</w:t>
            </w:r>
          </w:p>
        </w:tc>
      </w:tr>
      <w:tr>
        <w:trPr>
          <w:trHeight w:val="189"/>
        </w:trPr>
        <w:tc>
          <w:tcPr>
            <w:tcW w:w="78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Purchases of securities</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(75 )</w:t>
            </w:r>
          </w:p>
        </w:tc>
        <w:tc>
          <w:tcPr>
            <w:tcW w:w="1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(56 )</w:t>
            </w:r>
          </w:p>
        </w:tc>
      </w:tr>
      <w:tr>
        <w:trPr>
          <w:trHeight w:val="183"/>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Total cash flows used by investing activities from continuing operations</w:t>
            </w: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(60 )</w:t>
            </w:r>
          </w:p>
        </w:tc>
        <w:tc>
          <w:tcPr>
            <w:tcW w:w="1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(340 )</w:t>
            </w:r>
          </w:p>
        </w:tc>
      </w:tr>
      <w:tr>
        <w:trPr>
          <w:trHeight w:val="141"/>
        </w:trPr>
        <w:tc>
          <w:tcPr>
            <w:tcW w:w="7800" w:type="dxa"/>
            <w:vAlign w:val="bottom"/>
          </w:tcPr>
          <w:p>
            <w:pPr>
              <w:ind w:left="20"/>
              <w:spacing w:after="0" w:line="141" w:lineRule="exact"/>
              <w:rPr>
                <w:sz w:val="20"/>
                <w:szCs w:val="20"/>
                <w:color w:val="auto"/>
              </w:rPr>
            </w:pPr>
            <w:r>
              <w:rPr>
                <w:rFonts w:ascii="Times New Roman" w:cs="Times New Roman" w:eastAsia="Times New Roman" w:hAnsi="Times New Roman"/>
                <w:sz w:val="15"/>
                <w:szCs w:val="15"/>
                <w:b w:val="1"/>
                <w:bCs w:val="1"/>
                <w:color w:val="auto"/>
              </w:rPr>
              <w:t>CASH FLOWS PROVIDED (USED) BY FINANCING ACTIVITIES FROM</w:t>
            </w: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06"/>
        </w:trPr>
        <w:tc>
          <w:tcPr>
            <w:tcW w:w="780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CONTINUING OPERATIONS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3"/>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(200 )</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8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Repayment of long-term debt</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(250 )</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Proceeds from (repayment of) short-term debt</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(365 )</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(185 )</w:t>
            </w:r>
          </w:p>
        </w:tc>
      </w:tr>
      <w:tr>
        <w:trPr>
          <w:trHeight w:val="189"/>
        </w:trPr>
        <w:tc>
          <w:tcPr>
            <w:tcW w:w="78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Cash dividends paid</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(52 )</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(52 )</w:t>
            </w:r>
          </w:p>
        </w:tc>
      </w:tr>
      <w:tr>
        <w:trPr>
          <w:trHeight w:val="189"/>
        </w:trPr>
        <w:tc>
          <w:tcPr>
            <w:tcW w:w="7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Stock based compensation employee withholding taxes paid in cash</w:t>
            </w:r>
          </w:p>
        </w:tc>
        <w:tc>
          <w:tcPr>
            <w:tcW w:w="3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(9 )</w:t>
            </w:r>
          </w:p>
        </w:tc>
        <w:tc>
          <w:tcPr>
            <w:tcW w:w="18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(6 )</w:t>
            </w:r>
          </w:p>
        </w:tc>
      </w:tr>
      <w:tr>
        <w:trPr>
          <w:trHeight w:val="183"/>
        </w:trPr>
        <w:tc>
          <w:tcPr>
            <w:tcW w:w="78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 cash flows used by financing activities from continuing operations</w:t>
            </w: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(876 )</w:t>
            </w:r>
          </w:p>
        </w:tc>
        <w:tc>
          <w:tcPr>
            <w:tcW w:w="1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(243 )</w:t>
            </w:r>
          </w:p>
        </w:tc>
      </w:tr>
      <w:tr>
        <w:trPr>
          <w:trHeight w:val="18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USED BY CONTINUING OPERATIONS</w:t>
            </w: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(922 )</w:t>
            </w:r>
          </w:p>
        </w:tc>
        <w:tc>
          <w:tcPr>
            <w:tcW w:w="1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(269 )</w:t>
            </w:r>
          </w:p>
        </w:tc>
      </w:tr>
      <w:tr>
        <w:trPr>
          <w:trHeight w:val="189"/>
        </w:trPr>
        <w:tc>
          <w:tcPr>
            <w:tcW w:w="78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Cash provided (used) by discontinued operations</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Operating cash flows</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(302 )</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84</w:t>
            </w:r>
          </w:p>
        </w:tc>
      </w:tr>
      <w:tr>
        <w:trPr>
          <w:trHeight w:val="189"/>
        </w:trPr>
        <w:tc>
          <w:tcPr>
            <w:tcW w:w="78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Investing cash flows</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1,650</w:t>
            </w:r>
          </w:p>
        </w:tc>
        <w:tc>
          <w:tcPr>
            <w:tcW w:w="1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(11 )</w:t>
            </w:r>
          </w:p>
        </w:tc>
      </w:tr>
      <w:tr>
        <w:trPr>
          <w:trHeight w:val="183"/>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Total cash provided by discontinued operations</w:t>
            </w: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1,348</w:t>
            </w:r>
          </w:p>
        </w:tc>
        <w:tc>
          <w:tcPr>
            <w:tcW w:w="1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73</w:t>
            </w:r>
          </w:p>
        </w:tc>
      </w:tr>
      <w:tr>
        <w:trPr>
          <w:trHeight w:val="189"/>
        </w:trPr>
        <w:tc>
          <w:tcPr>
            <w:tcW w:w="78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Effect of currency exchange rate changes on cash and cash equivalents</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(7 )</w:t>
            </w:r>
          </w:p>
        </w:tc>
        <w:tc>
          <w:tcPr>
            <w:tcW w:w="1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w:t>
            </w:r>
          </w:p>
        </w:tc>
      </w:tr>
      <w:tr>
        <w:trPr>
          <w:trHeight w:val="183"/>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INCREASE (DECREASE) IN CASH AND CASH EQUIVALENTS</w:t>
            </w:r>
          </w:p>
        </w:tc>
        <w:tc>
          <w:tcPr>
            <w:tcW w:w="36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419</w:t>
            </w:r>
          </w:p>
        </w:tc>
        <w:tc>
          <w:tcPr>
            <w:tcW w:w="18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(192 )</w:t>
            </w:r>
          </w:p>
        </w:tc>
      </w:tr>
      <w:tr>
        <w:trPr>
          <w:trHeight w:val="183"/>
        </w:trPr>
        <w:tc>
          <w:tcPr>
            <w:tcW w:w="7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 BEGINNING OF PERIOD</w:t>
            </w: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210</w:t>
            </w:r>
          </w:p>
        </w:tc>
        <w:tc>
          <w:tcPr>
            <w:tcW w:w="1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454</w:t>
            </w:r>
          </w:p>
        </w:tc>
      </w:tr>
      <w:tr>
        <w:trPr>
          <w:trHeight w:val="223"/>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 END OF PERIOD</w:t>
            </w: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629</w:t>
            </w:r>
          </w:p>
        </w:tc>
        <w:tc>
          <w:tcPr>
            <w:tcW w:w="1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262</w:t>
            </w:r>
          </w:p>
        </w:tc>
      </w:tr>
      <w:tr>
        <w:trPr>
          <w:trHeight w:val="183"/>
        </w:trPr>
        <w:tc>
          <w:tcPr>
            <w:tcW w:w="78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-1414145</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-419735</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-162560</wp:posOffset>
            </wp:positionV>
            <wp:extent cx="111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-145415</wp:posOffset>
            </wp:positionV>
            <wp:extent cx="111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5"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changes resulting from operations acquired, sold or held for sale.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4" w:name="page5"/>
    <w:bookmarkEnd w:id="4"/>
    <w:p>
      <w:pPr>
        <w:ind w:right="3840"/>
        <w:spacing w:after="0" w:line="300" w:lineRule="auto"/>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GLOBAL HOLDINGS INC. AND CONSOLIDATED SUBSIDIARIES NOTES TO CONDENSED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A –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98"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have been prepared in accordance with accounting principles generally accepted in the United States for interim financial reporting and Securities and Exchange Commission (SEC) regulations. In the opinion of management, all adjustments considered necessary for a fair presentation have been included. These statements omit certain information and footnote disclosures required for complete annual financial statements and, therefore, should be read in conjunction with Ashland Global Holdings Inc. and consolidated subsidiaries (Ashland) Annual Report on Form 10-K for the fiscal year ended September 30, 2021. Results of operations for the periods ended June 30, 2022 are not necessarily indicative of the expected results for the remaining quarter in the fiscal year.</w:t>
      </w:r>
    </w:p>
    <w:p>
      <w:pPr>
        <w:spacing w:after="0" w:line="78"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9"/>
          <w:szCs w:val="19"/>
          <w:color w:val="auto"/>
        </w:rPr>
        <w:t>On February 28, 2022, Ashland completed the sale of its Performance Adhesives segment to Arkema, a French société anonyme. This divestiture represented a strategic shift in Ashland's business and qualified as a discontinued operation. As a result, the assets, liabilities, operating results and cash flows related to Performance Adhesives have been classified as discontinued operations for all periods presented within the Consolidated Financial Statements. See Notes B and C for additional information on this divestiture.</w:t>
      </w:r>
    </w:p>
    <w:p>
      <w:pPr>
        <w:spacing w:after="0" w:line="57"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color w:val="auto"/>
        </w:rPr>
        <w:t>Ashland is comprised of four reportable segments: Life Sciences, Personal Care (formerly Personal Care and Household), Specialty Additives, and Intermediates (formerly Intermediates and Solvents). Unallocated and Other includes corporate governance activities and certain legacy matters. For additional information, see Note Q.</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Use of estimates, risks and uncertainties</w:t>
      </w:r>
    </w:p>
    <w:p>
      <w:pPr>
        <w:spacing w:after="0" w:line="112"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The preparation of Ashland’s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long-lived assets (including goodwill and other intangible assets), income taxes and liabilities and receivables associated with asbestos litigation and environmental remediation.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8"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New accounting pronouncements</w:t>
      </w:r>
    </w:p>
    <w:p>
      <w:pPr>
        <w:spacing w:after="0" w:line="112"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2021. There were no new standards that were either issued or adopted in the current fiscal year that will have a material impact on Ashland's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02" w:right="7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NOTE B – ACQUISITIONS AND DIVESTITURES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Acquisitions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Personal Care acquisition</w:t>
      </w:r>
    </w:p>
    <w:p>
      <w:pPr>
        <w:spacing w:after="0" w:line="112"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color w:val="auto"/>
        </w:rPr>
        <w:t>On April 30, 2021, Ashland completed its acquisition of the personal care business of Schülke &amp; Mayr GmbH (Schülke), a portfolio company of the global investment organization EQT. Ashland included the purchase of this business within the Personal Care reporting segment.</w:t>
      </w:r>
    </w:p>
    <w:p>
      <w:pPr>
        <w:spacing w:after="0" w:line="73"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The all-cash purchase price of Schülke was $312 million. Ashland incurred acquisition related transaction costs of $2 million and $4 million during the three and nine months ended June 30, 2021, respectively, which are recorded within the income on acquisitions and divestitures, net caption within the Statement of Consolidated Comprehensive Income (Loss). Within this same caption, Ashland recognized income of $4 million and $1 million during the three and nine months ended June 30, 2021, respectively, associated with foreign currency derivatives gains on foreign exchange contracts entered into to mitigate the exposure of the Euro dominated purchase price.</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Divestitures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Performance Adhesives</w:t>
      </w:r>
    </w:p>
    <w:p>
      <w:pPr>
        <w:spacing w:after="0" w:line="112"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On February 28, 2022, Ashland completed the sale of its Performance Adhesives business. Proceeds from the sale were approximately $1.7 billion, net of transaction costs. Ashland recognized a $732 million gain on sale within the Income (loss) from Discontinued Operations caption of the Statements of Consolidated Comprehensive Income (Loss) during the second quarter of fiscal 2022.</w:t>
      </w:r>
    </w:p>
    <w:p>
      <w:pPr>
        <w:spacing w:after="0" w:line="77" w:lineRule="exact"/>
        <w:rPr>
          <w:sz w:val="20"/>
          <w:szCs w:val="20"/>
          <w:color w:val="auto"/>
        </w:rPr>
      </w:pPr>
    </w:p>
    <w:p>
      <w:pPr>
        <w:jc w:val="both"/>
        <w:ind w:left="380"/>
        <w:spacing w:after="0" w:line="263" w:lineRule="auto"/>
        <w:rPr>
          <w:sz w:val="20"/>
          <w:szCs w:val="20"/>
          <w:color w:val="auto"/>
        </w:rPr>
      </w:pPr>
      <w:r>
        <w:rPr>
          <w:rFonts w:ascii="Times New Roman" w:cs="Times New Roman" w:eastAsia="Times New Roman" w:hAnsi="Times New Roman"/>
          <w:sz w:val="19"/>
          <w:szCs w:val="19"/>
          <w:color w:val="auto"/>
        </w:rPr>
        <w:t>The transaction represented a strategic shift in Ashland’s business and had a major effect on Ashland’s operations and financial results. Accordingly, the operating results and cash flows related to Performance Adhesives have been reflected as discontinued operations in the Statements of Consolidated Comprehensive Income (Loss) and Statements of Condensed Consolidated Cash Flows, while the assets and liabilities that were sold have been classified within the Condensed Consolidated Balance Sheets as held for sale in periods preceding the sale. See Note C for the results of operations for Performance Adhesives for all periods presented.</w:t>
      </w:r>
    </w:p>
    <w:p>
      <w:pPr>
        <w:spacing w:after="0" w:line="45"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Certain indirect corporate costs included within the selling, general and administrative expense caption of the Statements of Consolidated Comprehensive Income (Loss) that were previously allocated to the Performance Adhesives segment do not qualify for classification within discontinued operations and are now reported as selling, general and administrative expense within continuing operations on a consolidated basis and within the Unallocated and other segment. These costs were $1 million and $4 million for the three months ended June 30, 2022 and 2021, respectively, and $8 million and $12 million for the nine months ended June 30, 2022 and 2021, respectively.</w:t>
      </w:r>
    </w:p>
    <w:p>
      <w:pPr>
        <w:spacing w:after="0" w:line="63"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Following the completion of the sale, Ashland is providing certain transition services to Arkema for a fee. While the transition services are expected to vary in duration depending upon the type of service provided, Ashland does not expect these transition services, or related fees, will be significant. Ashland recognized transaction service fee income of less than $1 million for the three and nine months ended June 30, 2022.</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Other manufacturing facility sales</w:t>
      </w:r>
    </w:p>
    <w:p>
      <w:pPr>
        <w:spacing w:after="0" w:line="112"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During the nine months ended June 30, 2021, Ashland completed the sale of a Specialty Additives facility. Net proceeds received from the sale were approximately $14 million in the December 31, 2020 quarter ($20 million in total including a deposit received in fiscal year 2020). Ashland recognized a pre-tax gain of $14 million recorded within the Income on acquisitions and divestitures, net caption in the Statements of Consolidated Comprehensive Income (Loss) for the nine months ended June 30, 2021.</w:t>
      </w:r>
    </w:p>
    <w:p>
      <w:pPr>
        <w:spacing w:after="0" w:line="8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275" w:right="719" w:bottom="1440" w:gutter="0" w:footer="0" w:header="0"/>
        </w:sectPr>
      </w:pPr>
    </w:p>
    <w:bookmarkStart w:id="6" w:name="page7"/>
    <w:bookmarkEnd w:id="6"/>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Other corporate assets</w:t>
      </w:r>
    </w:p>
    <w:p>
      <w:pPr>
        <w:spacing w:after="0" w:line="112"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0"/>
          <w:szCs w:val="20"/>
          <w:color w:val="auto"/>
        </w:rPr>
        <w:t>During the three and nine months ended June 30, 2022, Ashland completed the sale of two excess land properties. The net book value of the land was $8 million as of September 30, 2021. Ashland received net proceeds of approximately $50 million and recorded pre-tax gains of $35 million and $42 million within the Income (loss) on acquisitions and divestitures, net caption of the Statements of Consolidated Comprehensive Income (Loss) for the three and nine months ended June 30, 2022, respectively.</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Held for sale classification</w:t>
      </w:r>
    </w:p>
    <w:p>
      <w:pPr>
        <w:spacing w:after="0" w:line="112" w:lineRule="exact"/>
        <w:rPr>
          <w:sz w:val="20"/>
          <w:szCs w:val="20"/>
          <w:color w:val="auto"/>
        </w:rPr>
      </w:pPr>
    </w:p>
    <w:p>
      <w:pPr>
        <w:jc w:val="both"/>
        <w:ind w:left="380" w:right="380"/>
        <w:spacing w:after="0" w:line="242" w:lineRule="auto"/>
        <w:rPr>
          <w:sz w:val="20"/>
          <w:szCs w:val="20"/>
          <w:color w:val="auto"/>
        </w:rPr>
      </w:pPr>
      <w:r>
        <w:rPr>
          <w:rFonts w:ascii="Times New Roman" w:cs="Times New Roman" w:eastAsia="Times New Roman" w:hAnsi="Times New Roman"/>
          <w:sz w:val="20"/>
          <w:szCs w:val="20"/>
          <w:color w:val="auto"/>
        </w:rPr>
        <w:t>The assets and liabilities of the Performance Adhesives segment, along with other properties, had been reflected as assets and liabilities held for sale as described above for the period ended September 20, 2021. As a result, in accordance with U.S. GAAP standards, depreciation and amortization were not being recorded within the Statements of Consolidated Comprehensive Income (Loss) and the Condensed Consolidated Balance Sheets. These assets and liabilities are comprised of the following components:</w:t>
      </w:r>
    </w:p>
    <w:tbl>
      <w:tblPr>
        <w:tblLayout w:type="fixed"/>
        <w:tblInd w:w="420" w:type="dxa"/>
        <w:tblCellMar>
          <w:top w:w="0" w:type="dxa"/>
          <w:left w:w="0" w:type="dxa"/>
          <w:bottom w:w="0" w:type="dxa"/>
          <w:right w:w="0" w:type="dxa"/>
        </w:tblCellMar>
      </w:tblPr>
      <w:tr>
        <w:trPr>
          <w:trHeight w:val="191"/>
        </w:trPr>
        <w:tc>
          <w:tcPr>
            <w:tcW w:w="79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jc w:val="right"/>
              <w:ind w:right="65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16"/>
                <w:szCs w:val="16"/>
                <w:color w:val="auto"/>
              </w:rPr>
            </w:pPr>
          </w:p>
        </w:tc>
      </w:tr>
      <w:tr>
        <w:trPr>
          <w:trHeight w:val="234"/>
        </w:trPr>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1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40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40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r>
      <w:tr>
        <w:trPr>
          <w:trHeight w:val="250"/>
        </w:trPr>
        <w:tc>
          <w:tcPr>
            <w:tcW w:w="7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7"/>
        </w:trPr>
        <w:tc>
          <w:tcPr>
            <w:tcW w:w="7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40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4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r>
      <w:tr>
        <w:trPr>
          <w:trHeight w:val="250"/>
        </w:trPr>
        <w:tc>
          <w:tcPr>
            <w:tcW w:w="7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-882015</wp:posOffset>
            </wp:positionV>
            <wp:extent cx="59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-864870</wp:posOffset>
            </wp:positionV>
            <wp:extent cx="59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-24765</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-7620</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C– DISCONTINUED OPERATIONS</w:t>
      </w:r>
    </w:p>
    <w:p>
      <w:pPr>
        <w:spacing w:after="0" w:line="112"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0"/>
          <w:szCs w:val="20"/>
          <w:color w:val="auto"/>
        </w:rPr>
        <w:t>Ashland has divested certain businesses that have qualified as discontinued operations. The operating results from these divested businesses and subsequent adjustments related to ongoing assessments of certain retained liabilities and tax items have been recorded within the discontinued operations caption in the Statements of Consolidated Comprehensive Income (Loss) for all periods presented.</w:t>
      </w:r>
    </w:p>
    <w:p>
      <w:pPr>
        <w:spacing w:after="0" w:line="77"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Components of amounts reflected in the Statements of Consolidated Comprehensive Income (Loss) related to discontinued operations are presented in the following table for the three and nine months ended June 30, 2022 and 2021.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Borders>
              <w:top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w:t>
            </w:r>
          </w:p>
        </w:tc>
        <w:tc>
          <w:tcPr>
            <w:tcW w:w="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June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June 30</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12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41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8"/>
                <w:szCs w:val="18"/>
                <w:b w:val="1"/>
                <w:bCs w:val="1"/>
                <w:color w:val="auto"/>
              </w:rPr>
              <w:t>Income (loss) from discontinued operations (net of</w:t>
            </w:r>
          </w:p>
        </w:tc>
        <w:tc>
          <w:tcPr>
            <w:tcW w:w="3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tax)</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Performance Adhesives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30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9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Composites/Marl facility</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Valvoline</w:t>
            </w:r>
          </w:p>
        </w:tc>
        <w:tc>
          <w:tcPr>
            <w:tcW w:w="34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Asbestos</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Water Technologies</w:t>
            </w:r>
          </w:p>
        </w:tc>
        <w:tc>
          <w:tcPr>
            <w:tcW w:w="3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412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Gain (loss) on disposal of discontinued operations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Adhesives</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Composites/Marl facility</w:t>
            </w:r>
          </w:p>
        </w:tc>
        <w:tc>
          <w:tcPr>
            <w:tcW w:w="34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4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420" w:type="dxa"/>
            <w:vAlign w:val="bottom"/>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41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-530860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-513715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-530860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-513715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-530860</wp:posOffset>
            </wp:positionV>
            <wp:extent cx="603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-513715</wp:posOffset>
            </wp:positionV>
            <wp:extent cx="603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-530860</wp:posOffset>
            </wp:positionV>
            <wp:extent cx="596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-513715</wp:posOffset>
            </wp:positionV>
            <wp:extent cx="59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7" w:name="page8"/>
    <w:bookmarkEnd w:id="7"/>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The following table presents a reconciliation of the captions within Ashland's Statements of Consolidated Comprehensive Income (Loss) for the income (loss) from discontinued operations attributable to Performance Adhesives for the three and nine months ended June 30, 2022 and 2021. The sale of the Performance Adhesives business was completed on February 28, 2022.</w:t>
      </w:r>
    </w:p>
    <w:p>
      <w:pPr>
        <w:spacing w:after="0" w:line="69"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412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color w:val="auto"/>
              </w:rPr>
              <w:t>Nine months ended</w:t>
            </w:r>
          </w:p>
        </w:tc>
        <w:tc>
          <w:tcPr>
            <w:tcW w:w="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June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June 30</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120" w:type="dxa"/>
            <w:vAlign w:val="bottom"/>
            <w:shd w:val="clear" w:color="auto" w:fill="CFF0FC"/>
          </w:tcPr>
          <w:p>
            <w:pPr>
              <w:ind w:left="80"/>
              <w:spacing w:after="0" w:line="160" w:lineRule="exact"/>
              <w:rPr>
                <w:sz w:val="20"/>
                <w:szCs w:val="20"/>
                <w:color w:val="auto"/>
              </w:rPr>
            </w:pPr>
            <w:r>
              <w:rPr>
                <w:rFonts w:ascii="Times New Roman" w:cs="Times New Roman" w:eastAsia="Times New Roman" w:hAnsi="Times New Roman"/>
                <w:sz w:val="18"/>
                <w:szCs w:val="18"/>
                <w:b w:val="1"/>
                <w:bCs w:val="1"/>
                <w:color w:val="auto"/>
              </w:rPr>
              <w:t>Income (loss) from discontinued operations</w:t>
            </w:r>
          </w:p>
        </w:tc>
        <w:tc>
          <w:tcPr>
            <w:tcW w:w="1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attributable to Performance Adhesives</w:t>
            </w:r>
          </w:p>
        </w:tc>
        <w:tc>
          <w:tcPr>
            <w:tcW w:w="1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120" w:type="dxa"/>
            <w:vAlign w:val="bottom"/>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10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c>
          <w:tcPr>
            <w:tcW w:w="8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(69 )</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1"/>
              </w:rPr>
              <w:t>(180 )</w:t>
            </w: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 amortization expense</w:t>
            </w:r>
          </w:p>
        </w:tc>
        <w:tc>
          <w:tcPr>
            <w:tcW w:w="1120" w:type="dxa"/>
            <w:vAlign w:val="bottom"/>
          </w:tcPr>
          <w:p>
            <w:pPr>
              <w:spacing w:after="0"/>
              <w:rPr>
                <w:sz w:val="18"/>
                <w:szCs w:val="18"/>
                <w:color w:val="auto"/>
              </w:rPr>
            </w:pPr>
          </w:p>
        </w:tc>
        <w:tc>
          <w:tcPr>
            <w:tcW w:w="5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Pretax income of discontinued operations</w:t>
            </w:r>
          </w:p>
        </w:tc>
        <w:tc>
          <w:tcPr>
            <w:tcW w:w="11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120" w:type="dxa"/>
            <w:vAlign w:val="bottom"/>
            <w:tcBorders>
              <w:top w:val="single" w:sz="8" w:color="auto"/>
              <w:bottom w:val="single" w:sz="8" w:color="auto"/>
            </w:tcBorders>
            <w:shd w:val="clear" w:color="auto" w:fill="CFF0FC"/>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4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-119380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-102235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-119380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-102235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-119380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-102235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-119380</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-102235</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D – RESTRUCTURING ACTIVITIES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Company-wide restructuring activities</w:t>
      </w:r>
    </w:p>
    <w:p>
      <w:pPr>
        <w:spacing w:after="0" w:line="98"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Ashland periodically implements company-wide restructuring programs related to acquisitions, divestitures and other cost reduction programs in order to enhance profitability through streamlined operations and an improved overall cost structure.</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Fiscal 2020 and 2021 restructuring program</w:t>
      </w:r>
    </w:p>
    <w:p>
      <w:pPr>
        <w:spacing w:after="0" w:line="98" w:lineRule="exact"/>
        <w:rPr>
          <w:sz w:val="20"/>
          <w:szCs w:val="20"/>
          <w:color w:val="auto"/>
        </w:rPr>
      </w:pPr>
    </w:p>
    <w:p>
      <w:pPr>
        <w:jc w:val="both"/>
        <w:ind w:left="380" w:right="380"/>
        <w:spacing w:after="0" w:line="236" w:lineRule="auto"/>
        <w:rPr>
          <w:sz w:val="20"/>
          <w:szCs w:val="20"/>
          <w:color w:val="auto"/>
        </w:rPr>
      </w:pPr>
      <w:r>
        <w:rPr>
          <w:rFonts w:ascii="Times New Roman" w:cs="Times New Roman" w:eastAsia="Times New Roman" w:hAnsi="Times New Roman"/>
          <w:sz w:val="20"/>
          <w:szCs w:val="20"/>
          <w:color w:val="auto"/>
        </w:rPr>
        <w:t>Ashland recorded severance expense of zero and income of $6 million during the three months ended June 30, 2022 and 2021, respectively, and income of $1 million and expense of $2 million during the nine months ended June 30, 2022 and 2021, respectively, attributable to executive management changes and business management changes within the organization. As of June 30, 2022, the severance reserve associated with this transition was $2 million.</w:t>
      </w:r>
    </w:p>
    <w:p>
      <w:pPr>
        <w:spacing w:after="0" w:line="67" w:lineRule="exact"/>
        <w:rPr>
          <w:sz w:val="20"/>
          <w:szCs w:val="20"/>
          <w:color w:val="auto"/>
        </w:rPr>
      </w:pPr>
    </w:p>
    <w:p>
      <w:pPr>
        <w:jc w:val="both"/>
        <w:ind w:left="380" w:right="380"/>
        <w:spacing w:after="0" w:line="247" w:lineRule="auto"/>
        <w:rPr>
          <w:sz w:val="20"/>
          <w:szCs w:val="20"/>
          <w:color w:val="auto"/>
        </w:rPr>
      </w:pPr>
      <w:r>
        <w:rPr>
          <w:rFonts w:ascii="Times New Roman" w:cs="Times New Roman" w:eastAsia="Times New Roman" w:hAnsi="Times New Roman"/>
          <w:sz w:val="20"/>
          <w:szCs w:val="20"/>
          <w:color w:val="auto"/>
        </w:rPr>
        <w:t>The following table details at June 30, 2022 and 2021, the amount of restructuring severance reserves related to this program. The severance reserves were primarily recorded within accrued expenses and other liabilities in the Condensed Consolidated Balance Sheet as of June 30,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38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2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272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Severance costs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of September 30, 2021</w:t>
            </w:r>
          </w:p>
        </w:tc>
        <w:tc>
          <w:tcPr>
            <w:tcW w:w="38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reserve</w:t>
            </w:r>
          </w:p>
        </w:tc>
        <w:tc>
          <w:tcPr>
            <w:tcW w:w="3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Utilization (cash paid)</w:t>
            </w:r>
          </w:p>
        </w:tc>
        <w:tc>
          <w:tcPr>
            <w:tcW w:w="32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2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38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Severance costs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of September 30, 2020</w:t>
            </w:r>
          </w:p>
        </w:tc>
        <w:tc>
          <w:tcPr>
            <w:tcW w:w="384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reserve</w:t>
            </w:r>
          </w:p>
        </w:tc>
        <w:tc>
          <w:tcPr>
            <w:tcW w:w="3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Utilization (cash paid)</w:t>
            </w:r>
          </w:p>
        </w:tc>
        <w:tc>
          <w:tcPr>
            <w:tcW w:w="32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2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38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40" w:type="dxa"/>
            <w:vAlign w:val="bottom"/>
            <w:vMerge w:val="restart"/>
          </w:tcPr>
          <w:p>
            <w:pPr>
              <w:jc w:val="right"/>
              <w:ind w:right="177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386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NOTE E – FAIR VALUE MEASUREMENTS</w:t>
      </w:r>
    </w:p>
    <w:p>
      <w:pPr>
        <w:spacing w:after="0" w:line="112" w:lineRule="exact"/>
        <w:rPr>
          <w:sz w:val="20"/>
          <w:szCs w:val="20"/>
          <w:color w:val="auto"/>
        </w:rPr>
      </w:pPr>
    </w:p>
    <w:p>
      <w:pPr>
        <w:jc w:val="both"/>
        <w:ind w:left="380" w:right="40"/>
        <w:spacing w:after="0" w:line="241" w:lineRule="auto"/>
        <w:rPr>
          <w:sz w:val="20"/>
          <w:szCs w:val="20"/>
          <w:color w:val="auto"/>
        </w:rPr>
      </w:pPr>
      <w:r>
        <w:rPr>
          <w:rFonts w:ascii="Times New Roman" w:cs="Times New Roman" w:eastAsia="Times New Roman" w:hAnsi="Times New Roman"/>
          <w:sz w:val="20"/>
          <w:szCs w:val="20"/>
          <w:color w:val="auto"/>
        </w:rPr>
        <w:t>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w:t>
      </w:r>
    </w:p>
    <w:p>
      <w:pPr>
        <w:spacing w:after="0" w:line="3" w:lineRule="exact"/>
        <w:rPr>
          <w:sz w:val="20"/>
          <w:szCs w:val="20"/>
          <w:color w:val="auto"/>
        </w:rPr>
      </w:pPr>
    </w:p>
    <w:p>
      <w:pPr>
        <w:jc w:val="both"/>
        <w:ind w:left="380" w:right="40" w:firstLine="2"/>
        <w:spacing w:after="0" w:line="242" w:lineRule="auto"/>
        <w:tabs>
          <w:tab w:leader="none" w:pos="6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Level 1 – Observable inputs such as unadjusted quoted prices in active markets for identical assets or liabilities.</w:t>
      </w:r>
    </w:p>
    <w:p>
      <w:pPr>
        <w:spacing w:after="0" w:line="108" w:lineRule="exact"/>
        <w:rPr>
          <w:sz w:val="20"/>
          <w:szCs w:val="20"/>
          <w:color w:val="auto"/>
        </w:rPr>
      </w:pPr>
    </w:p>
    <w:p>
      <w:pPr>
        <w:jc w:val="both"/>
        <w:ind w:left="380" w:right="40"/>
        <w:spacing w:after="0" w:line="247" w:lineRule="auto"/>
        <w:rPr>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73" w:lineRule="exact"/>
        <w:rPr>
          <w:sz w:val="20"/>
          <w:szCs w:val="20"/>
          <w:color w:val="auto"/>
        </w:rPr>
      </w:pPr>
    </w:p>
    <w:p>
      <w:pPr>
        <w:jc w:val="both"/>
        <w:ind w:left="380" w:right="40"/>
        <w:spacing w:after="0" w:line="246" w:lineRule="auto"/>
        <w:rPr>
          <w:sz w:val="20"/>
          <w:szCs w:val="20"/>
          <w:color w:val="auto"/>
        </w:rPr>
      </w:pPr>
      <w:r>
        <w:rPr>
          <w:rFonts w:ascii="Times New Roman" w:cs="Times New Roman" w:eastAsia="Times New Roman" w:hAnsi="Times New Roman"/>
          <w:sz w:val="20"/>
          <w:szCs w:val="20"/>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63" w:lineRule="exact"/>
        <w:rPr>
          <w:sz w:val="20"/>
          <w:szCs w:val="20"/>
          <w:color w:val="auto"/>
        </w:rPr>
      </w:pPr>
    </w:p>
    <w:p>
      <w:pPr>
        <w:jc w:val="both"/>
        <w:ind w:left="380" w:right="40"/>
        <w:spacing w:after="0" w:line="245" w:lineRule="auto"/>
        <w:rPr>
          <w:sz w:val="20"/>
          <w:szCs w:val="20"/>
          <w:color w:val="auto"/>
        </w:rPr>
      </w:pPr>
      <w:r>
        <w:rPr>
          <w:rFonts w:ascii="Times New Roman" w:cs="Times New Roman" w:eastAsia="Times New Roman" w:hAnsi="Times New Roman"/>
          <w:sz w:val="20"/>
          <w:szCs w:val="20"/>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using fair value models, such as a discounted cash flow model or other standard pricing models that Ashland deems reasonable.</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summarizes financial instruments subject to recurring fair value measurements as of June 30, 2022.</w:t>
      </w: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4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w w:val="99"/>
              </w:rPr>
              <w:t>Quoted prices</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color w:val="auto"/>
              </w:rPr>
              <w:t>in active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color w:val="auto"/>
                <w:w w:val="99"/>
              </w:rPr>
              <w:t>markets for</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w w:val="97"/>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color w:val="auto"/>
                <w:w w:val="99"/>
              </w:rPr>
              <w:t>identical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fair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inputs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inputs</w:t>
            </w:r>
          </w:p>
        </w:tc>
      </w:tr>
      <w:tr>
        <w:trPr>
          <w:trHeight w:val="234"/>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Restricted investments </w:t>
            </w:r>
            <w:r>
              <w:rPr>
                <w:rFonts w:ascii="Times New Roman" w:cs="Times New Roman" w:eastAsia="Times New Roman" w:hAnsi="Times New Roman"/>
                <w:sz w:val="14"/>
                <w:szCs w:val="14"/>
                <w:color w:val="auto"/>
              </w:rPr>
              <w:t>(a) (b)</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Investment of captive insurance company </w:t>
            </w:r>
            <w:r>
              <w:rPr>
                <w:rFonts w:ascii="Times New Roman" w:cs="Times New Roman" w:eastAsia="Times New Roman" w:hAnsi="Times New Roman"/>
                <w:sz w:val="14"/>
                <w:szCs w:val="14"/>
                <w:color w:val="auto"/>
              </w:rPr>
              <w:t>(c)</w:t>
            </w: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Foreign currency derivatives </w:t>
            </w:r>
            <w:r>
              <w:rPr>
                <w:rFonts w:ascii="Times New Roman" w:cs="Times New Roman" w:eastAsia="Times New Roman" w:hAnsi="Times New Roman"/>
                <w:sz w:val="14"/>
                <w:szCs w:val="14"/>
                <w:color w:val="auto"/>
              </w:rPr>
              <w:t>(d)</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Commodity derivatives </w:t>
            </w:r>
            <w:r>
              <w:rPr>
                <w:rFonts w:ascii="Times New Roman" w:cs="Times New Roman" w:eastAsia="Times New Roman" w:hAnsi="Times New Roman"/>
                <w:sz w:val="14"/>
                <w:szCs w:val="14"/>
                <w:color w:val="auto"/>
              </w:rPr>
              <w:t>(d)</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Foreign currency derivatives </w:t>
            </w:r>
            <w:r>
              <w:rPr>
                <w:rFonts w:ascii="Times New Roman" w:cs="Times New Roman" w:eastAsia="Times New Roman" w:hAnsi="Times New Roman"/>
                <w:sz w:val="14"/>
                <w:szCs w:val="14"/>
                <w:color w:val="auto"/>
              </w:rPr>
              <w: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Commodity derivatives </w:t>
            </w:r>
            <w:r>
              <w:rPr>
                <w:rFonts w:ascii="Times New Roman" w:cs="Times New Roman" w:eastAsia="Times New Roman" w:hAnsi="Times New Roman"/>
                <w:sz w:val="14"/>
                <w:szCs w:val="14"/>
                <w:color w:val="auto"/>
              </w:rPr>
              <w:t>(e)</w:t>
            </w: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62"/>
        </w:trPr>
        <w:tc>
          <w:tcPr>
            <w:tcW w:w="4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-805180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-788035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-805180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-788035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-805180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-788035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-805180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-788035</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-231140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-231140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-231140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-231140</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5" w:lineRule="exact"/>
        <w:rPr>
          <w:sz w:val="20"/>
          <w:szCs w:val="20"/>
          <w:color w:val="auto"/>
        </w:rPr>
      </w:pPr>
    </w:p>
    <w:p>
      <w:pPr>
        <w:ind w:left="740" w:hanging="358"/>
        <w:spacing w:after="0"/>
        <w:tabs>
          <w:tab w:leader="none" w:pos="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restricted investments and $61 million within other current assets in the Condensed Consolidated Balance Sheets.</w:t>
      </w:r>
    </w:p>
    <w:p>
      <w:pPr>
        <w:spacing w:after="0" w:line="28" w:lineRule="exact"/>
        <w:rPr>
          <w:rFonts w:ascii="Times New Roman" w:cs="Times New Roman" w:eastAsia="Times New Roman" w:hAnsi="Times New Roman"/>
          <w:sz w:val="14"/>
          <w:szCs w:val="14"/>
          <w:color w:val="auto"/>
        </w:rPr>
      </w:pPr>
    </w:p>
    <w:p>
      <w:pPr>
        <w:ind w:left="740" w:hanging="358"/>
        <w:spacing w:after="0"/>
        <w:tabs>
          <w:tab w:leader="none" w:pos="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$269 million related to the Asbestos trust and $138 million related to the Environmental trust.</w:t>
      </w:r>
    </w:p>
    <w:p>
      <w:pPr>
        <w:spacing w:after="0" w:line="41" w:lineRule="exact"/>
        <w:rPr>
          <w:rFonts w:ascii="Times New Roman" w:cs="Times New Roman" w:eastAsia="Times New Roman" w:hAnsi="Times New Roman"/>
          <w:sz w:val="14"/>
          <w:szCs w:val="14"/>
          <w:color w:val="auto"/>
        </w:rPr>
      </w:pPr>
    </w:p>
    <w:p>
      <w:pPr>
        <w:ind w:left="740" w:hanging="358"/>
        <w:spacing w:after="0"/>
        <w:tabs>
          <w:tab w:leader="none" w:pos="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assets in the Condensed Consolidated Balance Sheets.</w:t>
      </w:r>
    </w:p>
    <w:p>
      <w:pPr>
        <w:spacing w:after="0" w:line="41" w:lineRule="exact"/>
        <w:rPr>
          <w:rFonts w:ascii="Times New Roman" w:cs="Times New Roman" w:eastAsia="Times New Roman" w:hAnsi="Times New Roman"/>
          <w:sz w:val="14"/>
          <w:szCs w:val="14"/>
          <w:color w:val="auto"/>
        </w:rPr>
      </w:pPr>
    </w:p>
    <w:p>
      <w:pPr>
        <w:ind w:left="740" w:hanging="358"/>
        <w:spacing w:after="0"/>
        <w:tabs>
          <w:tab w:leader="none" w:pos="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receivable in the Condensed Consolidated Balance Sheets.</w:t>
      </w:r>
    </w:p>
    <w:p>
      <w:pPr>
        <w:spacing w:after="0" w:line="41" w:lineRule="exact"/>
        <w:rPr>
          <w:rFonts w:ascii="Times New Roman" w:cs="Times New Roman" w:eastAsia="Times New Roman" w:hAnsi="Times New Roman"/>
          <w:sz w:val="14"/>
          <w:szCs w:val="14"/>
          <w:color w:val="auto"/>
        </w:rPr>
      </w:pPr>
    </w:p>
    <w:p>
      <w:pPr>
        <w:ind w:left="740" w:hanging="358"/>
        <w:spacing w:after="0"/>
        <w:tabs>
          <w:tab w:leader="none" w:pos="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 in the Condensed Consolidated Balance Sheets.</w:t>
      </w:r>
    </w:p>
    <w:p>
      <w:pPr>
        <w:spacing w:after="0" w:line="1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75" w:right="679"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20"/>
          <w:szCs w:val="20"/>
          <w:color w:val="auto"/>
        </w:rPr>
        <w:t>The following table summarizes financial asset instruments subject to recurring fair value measurements as of September 30,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w w:val="99"/>
              </w:rPr>
              <w:t>Quoted prices</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r>
      <w:tr>
        <w:trPr>
          <w:trHeight w:val="189"/>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rPr>
              <w:t>in active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w w:val="99"/>
              </w:rPr>
              <w:t>markets for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r>
      <w:tr>
        <w:trPr>
          <w:trHeight w:val="189"/>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w w:val="99"/>
              </w:rPr>
              <w:t>identical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inputs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inputs</w:t>
            </w:r>
          </w:p>
        </w:tc>
      </w:tr>
      <w:tr>
        <w:trPr>
          <w:trHeight w:val="234"/>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09"/>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Restricted investments </w:t>
            </w:r>
            <w:r>
              <w:rPr>
                <w:rFonts w:ascii="Times New Roman" w:cs="Times New Roman" w:eastAsia="Times New Roman" w:hAnsi="Times New Roman"/>
                <w:sz w:val="14"/>
                <w:szCs w:val="14"/>
                <w:color w:val="auto"/>
              </w:rPr>
              <w:t>(a) (b)</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Investment of captive insurance company </w:t>
            </w:r>
            <w:r>
              <w:rPr>
                <w:rFonts w:ascii="Times New Roman" w:cs="Times New Roman" w:eastAsia="Times New Roman" w:hAnsi="Times New Roman"/>
                <w:sz w:val="14"/>
                <w:szCs w:val="14"/>
                <w:color w:val="auto"/>
              </w:rPr>
              <w:t>(c)</w:t>
            </w:r>
          </w:p>
        </w:tc>
        <w:tc>
          <w:tcPr>
            <w:tcW w:w="1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Foreign currency derivatives </w:t>
            </w:r>
            <w:r>
              <w:rPr>
                <w:rFonts w:ascii="Times New Roman" w:cs="Times New Roman" w:eastAsia="Times New Roman" w:hAnsi="Times New Roman"/>
                <w:sz w:val="14"/>
                <w:szCs w:val="14"/>
                <w:color w:val="auto"/>
              </w:rPr>
              <w:t>(d)</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Commodity derivatives </w:t>
            </w:r>
            <w:r>
              <w:rPr>
                <w:rFonts w:ascii="Times New Roman" w:cs="Times New Roman" w:eastAsia="Times New Roman" w:hAnsi="Times New Roman"/>
                <w:sz w:val="14"/>
                <w:szCs w:val="14"/>
                <w:color w:val="auto"/>
              </w:rPr>
              <w:t>(d)</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Foreign currency derivatives </w:t>
            </w:r>
            <w:r>
              <w:rPr>
                <w:rFonts w:ascii="Times New Roman" w:cs="Times New Roman" w:eastAsia="Times New Roman" w:hAnsi="Times New Roman"/>
                <w:sz w:val="14"/>
                <w:szCs w:val="14"/>
                <w:color w:val="auto"/>
              </w:rPr>
              <w: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-448310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-431165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-448310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-431165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-448310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-431165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-448310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-431165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40005</wp:posOffset>
            </wp:positionV>
            <wp:extent cx="67036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141" w:lineRule="exact"/>
        <w:rPr>
          <w:sz w:val="20"/>
          <w:szCs w:val="20"/>
          <w:color w:val="auto"/>
        </w:rPr>
      </w:pPr>
    </w:p>
    <w:p>
      <w:pPr>
        <w:ind w:left="400" w:hanging="358"/>
        <w:spacing w:after="0"/>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restricted investments and $37 million within other current assets in the Condensed Consolidated Balance Sheets.</w:t>
      </w:r>
    </w:p>
    <w:p>
      <w:pPr>
        <w:spacing w:after="0" w:line="41" w:lineRule="exact"/>
        <w:rPr>
          <w:rFonts w:ascii="Times New Roman" w:cs="Times New Roman" w:eastAsia="Times New Roman" w:hAnsi="Times New Roman"/>
          <w:sz w:val="14"/>
          <w:szCs w:val="14"/>
          <w:color w:val="auto"/>
        </w:rPr>
      </w:pPr>
    </w:p>
    <w:p>
      <w:pPr>
        <w:ind w:left="400" w:hanging="358"/>
        <w:spacing w:after="0"/>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$333 million related to the Asbestos trust and $88 million related to the Environmental trust.</w:t>
      </w:r>
    </w:p>
    <w:p>
      <w:pPr>
        <w:spacing w:after="0" w:line="41" w:lineRule="exact"/>
        <w:rPr>
          <w:rFonts w:ascii="Times New Roman" w:cs="Times New Roman" w:eastAsia="Times New Roman" w:hAnsi="Times New Roman"/>
          <w:sz w:val="14"/>
          <w:szCs w:val="14"/>
          <w:color w:val="auto"/>
        </w:rPr>
      </w:pPr>
    </w:p>
    <w:p>
      <w:pPr>
        <w:ind w:left="400" w:hanging="358"/>
        <w:spacing w:after="0"/>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assets in the Condensed Consolidated Balance Sheets.</w:t>
      </w:r>
    </w:p>
    <w:p>
      <w:pPr>
        <w:spacing w:after="0" w:line="41" w:lineRule="exact"/>
        <w:rPr>
          <w:rFonts w:ascii="Times New Roman" w:cs="Times New Roman" w:eastAsia="Times New Roman" w:hAnsi="Times New Roman"/>
          <w:sz w:val="14"/>
          <w:szCs w:val="14"/>
          <w:color w:val="auto"/>
        </w:rPr>
      </w:pPr>
    </w:p>
    <w:p>
      <w:pPr>
        <w:ind w:left="400" w:hanging="358"/>
        <w:spacing w:after="0"/>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receivable in the Condensed Consolidated Balance Sheets.</w:t>
      </w:r>
    </w:p>
    <w:p>
      <w:pPr>
        <w:spacing w:after="0" w:line="41" w:lineRule="exact"/>
        <w:rPr>
          <w:rFonts w:ascii="Times New Roman" w:cs="Times New Roman" w:eastAsia="Times New Roman" w:hAnsi="Times New Roman"/>
          <w:sz w:val="14"/>
          <w:szCs w:val="14"/>
          <w:color w:val="auto"/>
        </w:rPr>
      </w:pPr>
    </w:p>
    <w:p>
      <w:pPr>
        <w:ind w:left="400" w:hanging="358"/>
        <w:spacing w:after="0"/>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 in the Condensed Consolidated Balance Sheets.</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Restricted investments</w:t>
      </w:r>
    </w:p>
    <w:p>
      <w:pPr>
        <w:spacing w:after="0" w:line="112" w:lineRule="exact"/>
        <w:rPr>
          <w:sz w:val="20"/>
          <w:szCs w:val="20"/>
          <w:color w:val="auto"/>
        </w:rPr>
      </w:pPr>
    </w:p>
    <w:p>
      <w:pPr>
        <w:jc w:val="both"/>
        <w:ind w:left="40" w:right="40"/>
        <w:spacing w:after="0" w:line="254" w:lineRule="auto"/>
        <w:rPr>
          <w:sz w:val="20"/>
          <w:szCs w:val="20"/>
          <w:color w:val="auto"/>
        </w:rPr>
      </w:pPr>
      <w:r>
        <w:rPr>
          <w:rFonts w:ascii="Times New Roman" w:cs="Times New Roman" w:eastAsia="Times New Roman" w:hAnsi="Times New Roman"/>
          <w:sz w:val="20"/>
          <w:szCs w:val="20"/>
          <w:color w:val="auto"/>
        </w:rPr>
        <w:t>Investment income and realized gains and losses on these company-restricted investments are reported within the net interest and other expense caption on the Statements of Consolidated Comprehensive Income (Loss). The following table provides a summary of the activity within the investment portfolio as of June 30, 2022 and September 30, 2021:</w:t>
      </w:r>
    </w:p>
    <w:p>
      <w:pPr>
        <w:spacing w:after="0" w:line="164"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63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0"/>
              <w:spacing w:after="0" w:line="184" w:lineRule="exact"/>
              <w:rPr>
                <w:sz w:val="20"/>
                <w:szCs w:val="20"/>
                <w:color w:val="auto"/>
              </w:rPr>
            </w:pPr>
            <w:r>
              <w:rPr>
                <w:rFonts w:ascii="Times New Roman" w:cs="Times New Roman" w:eastAsia="Times New Roman" w:hAnsi="Times New Roman"/>
                <w:sz w:val="18"/>
                <w:szCs w:val="18"/>
                <w:color w:val="auto"/>
              </w:rPr>
              <w:t>June 30</w:t>
            </w:r>
          </w:p>
        </w:tc>
        <w:tc>
          <w:tcPr>
            <w:tcW w:w="5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right"/>
              <w:ind w:right="530"/>
              <w:spacing w:after="0" w:line="184" w:lineRule="exact"/>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Original cost</w:t>
            </w:r>
          </w:p>
        </w:tc>
        <w:tc>
          <w:tcPr>
            <w:tcW w:w="126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adjustments, net</w:t>
            </w:r>
          </w:p>
        </w:tc>
        <w:tc>
          <w:tcPr>
            <w:tcW w:w="1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1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Adjusted cost, beginning of year </w:t>
            </w:r>
            <w:r>
              <w:rPr>
                <w:rFonts w:ascii="Times New Roman" w:cs="Times New Roman" w:eastAsia="Times New Roman" w:hAnsi="Times New Roman"/>
                <w:sz w:val="14"/>
                <w:szCs w:val="14"/>
                <w:color w:val="auto"/>
              </w:rPr>
              <w:t>(a)</w:t>
            </w:r>
          </w:p>
        </w:tc>
        <w:tc>
          <w:tcPr>
            <w:tcW w:w="12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14"/>
                <w:szCs w:val="14"/>
                <w:color w:val="auto"/>
              </w:rPr>
              <w:t>(b)</w:t>
            </w:r>
          </w:p>
        </w:tc>
        <w:tc>
          <w:tcPr>
            <w:tcW w:w="12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unrealized gain (loss) </w:t>
            </w:r>
            <w:r>
              <w:rPr>
                <w:rFonts w:ascii="Times New Roman" w:cs="Times New Roman" w:eastAsia="Times New Roman" w:hAnsi="Times New Roman"/>
                <w:sz w:val="14"/>
                <w:szCs w:val="14"/>
                <w:color w:val="auto"/>
              </w:rPr>
              <w:t>(c)</w:t>
            </w:r>
          </w:p>
        </w:tc>
        <w:tc>
          <w:tcPr>
            <w:tcW w:w="12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Realized gains (losses) </w:t>
            </w:r>
            <w:r>
              <w:rPr>
                <w:rFonts w:ascii="Times New Roman" w:cs="Times New Roman" w:eastAsia="Times New Roman" w:hAnsi="Times New Roman"/>
                <w:sz w:val="14"/>
                <w:szCs w:val="14"/>
                <w:color w:val="auto"/>
              </w:rPr>
              <w:t>(c)</w:t>
            </w:r>
          </w:p>
        </w:tc>
        <w:tc>
          <w:tcPr>
            <w:tcW w:w="12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Funds restricted for specific transactions </w:t>
            </w:r>
            <w:r>
              <w:rPr>
                <w:rFonts w:ascii="Times New Roman" w:cs="Times New Roman" w:eastAsia="Times New Roman" w:hAnsi="Times New Roman"/>
                <w:sz w:val="14"/>
                <w:szCs w:val="14"/>
                <w:color w:val="auto"/>
              </w:rPr>
              <w:t>(d)</w:t>
            </w:r>
          </w:p>
        </w:tc>
        <w:tc>
          <w:tcPr>
            <w:tcW w:w="12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Disbursements</w:t>
            </w:r>
          </w:p>
        </w:tc>
        <w:tc>
          <w:tcPr>
            <w:tcW w:w="1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50"/>
        </w:trPr>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1260" w:type="dxa"/>
            <w:vAlign w:val="bottom"/>
            <w:tcBorders>
              <w:bottom w:val="single" w:sz="8" w:color="auto"/>
            </w:tcBorders>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61"/>
        </w:trPr>
        <w:tc>
          <w:tcPr>
            <w:tcW w:w="6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5198110</wp:posOffset>
            </wp:positionH>
            <wp:positionV relativeFrom="paragraph">
              <wp:posOffset>-85090</wp:posOffset>
            </wp:positionV>
            <wp:extent cx="120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-67945</wp:posOffset>
            </wp:positionV>
            <wp:extent cx="1200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5" w:lineRule="exact"/>
        <w:rPr>
          <w:sz w:val="20"/>
          <w:szCs w:val="20"/>
          <w:color w:val="auto"/>
        </w:rPr>
      </w:pPr>
    </w:p>
    <w:p>
      <w:pPr>
        <w:ind w:left="400" w:right="40" w:hanging="358"/>
        <w:spacing w:after="0" w:line="271" w:lineRule="auto"/>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adjusted cost of the demand deposits includes accumulated investment income, realized gains, additional funds restricted for specific transactions and disbursements recorded in previous periods. The adjusted cost as of June 30, 2022 includes the $90 million funding to establish the Environmental trust.</w:t>
      </w:r>
    </w:p>
    <w:p>
      <w:pPr>
        <w:ind w:left="400" w:hanging="358"/>
        <w:spacing w:after="0"/>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income relates to the demand deposit and includes interest income as well as dividend income transferred from the equity and fixed income mutual funds.</w:t>
      </w:r>
    </w:p>
    <w:p>
      <w:pPr>
        <w:spacing w:after="0" w:line="41" w:lineRule="exact"/>
        <w:rPr>
          <w:rFonts w:ascii="Times New Roman" w:cs="Times New Roman" w:eastAsia="Times New Roman" w:hAnsi="Times New Roman"/>
          <w:sz w:val="14"/>
          <w:szCs w:val="14"/>
          <w:color w:val="auto"/>
        </w:rPr>
      </w:pPr>
    </w:p>
    <w:p>
      <w:pPr>
        <w:ind w:left="400" w:hanging="358"/>
        <w:spacing w:after="0"/>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under the original cost method.</w:t>
      </w:r>
    </w:p>
    <w:p>
      <w:pPr>
        <w:spacing w:after="0" w:line="41" w:lineRule="exact"/>
        <w:rPr>
          <w:rFonts w:ascii="Times New Roman" w:cs="Times New Roman" w:eastAsia="Times New Roman" w:hAnsi="Times New Roman"/>
          <w:sz w:val="14"/>
          <w:szCs w:val="14"/>
          <w:color w:val="auto"/>
        </w:rPr>
      </w:pPr>
    </w:p>
    <w:p>
      <w:pPr>
        <w:ind w:left="400" w:right="40" w:hanging="358"/>
        <w:spacing w:after="0" w:line="282" w:lineRule="auto"/>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June 30, 2022 period included additional contributions to the Environmental trust from proceeds associated with the Performance Adhesives sale and excess land sales. The September 30, 2021 period included $90 million to establish the Environmental trust.</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387" w:right="679" w:bottom="1440" w:gutter="0" w:footer="0" w:header="0"/>
        </w:sectPr>
      </w:pPr>
    </w:p>
    <w:bookmarkStart w:id="10" w:name="page11"/>
    <w:bookmarkEnd w:id="10"/>
    <w:p>
      <w:pPr>
        <w:ind w:left="380"/>
        <w:spacing w:after="0"/>
        <w:rPr>
          <w:sz w:val="20"/>
          <w:szCs w:val="20"/>
          <w:color w:val="auto"/>
        </w:rPr>
      </w:pPr>
      <w:r>
        <w:rPr>
          <w:rFonts w:ascii="Times New Roman" w:cs="Times New Roman" w:eastAsia="Times New Roman" w:hAnsi="Times New Roman"/>
          <w:sz w:val="20"/>
          <w:szCs w:val="20"/>
          <w:color w:val="auto"/>
        </w:rPr>
        <w:t>The following table presents gross unrealized gains and losses for the restricted investment securities as of June 30, 2022 and</w:t>
      </w:r>
    </w:p>
    <w:p>
      <w:pPr>
        <w:spacing w:after="0" w:line="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September 30, 2021:</w:t>
      </w:r>
    </w:p>
    <w:p>
      <w:pPr>
        <w:spacing w:after="0" w:line="183" w:lineRule="exact"/>
        <w:rPr>
          <w:sz w:val="20"/>
          <w:szCs w:val="20"/>
          <w:color w:val="auto"/>
        </w:rPr>
      </w:pPr>
    </w:p>
    <w:tbl>
      <w:tblPr>
        <w:tblLayout w:type="fixed"/>
        <w:tblInd w:w="420" w:type="dxa"/>
        <w:tblCellMar>
          <w:top w:w="0" w:type="dxa"/>
          <w:left w:w="0" w:type="dxa"/>
          <w:bottom w:w="0" w:type="dxa"/>
          <w:right w:w="0" w:type="dxa"/>
        </w:tblCellMar>
      </w:tblPr>
      <w:tr>
        <w:trPr>
          <w:trHeight w:val="208"/>
        </w:trPr>
        <w:tc>
          <w:tcPr>
            <w:tcW w:w="4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7"/>
                <w:szCs w:val="17"/>
                <w:color w:val="auto"/>
              </w:rPr>
              <w:t>Gross</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7"/>
                <w:szCs w:val="17"/>
                <w:color w:val="auto"/>
              </w:rPr>
              <w:t>Gross</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23"/>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7"/>
                <w:szCs w:val="17"/>
                <w:color w:val="auto"/>
                <w:w w:val="99"/>
              </w:rPr>
              <w:t>Adjusted Cost</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7"/>
                <w:szCs w:val="17"/>
                <w:color w:val="auto"/>
              </w:rPr>
              <w:t>Unrealized Gain</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7"/>
                <w:szCs w:val="17"/>
                <w:color w:val="auto"/>
              </w:rPr>
              <w:t>Unrealized Loss</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7"/>
                <w:szCs w:val="17"/>
                <w:color w:val="auto"/>
                <w:w w:val="99"/>
              </w:rPr>
              <w:t>Fair Value</w:t>
            </w:r>
          </w:p>
        </w:tc>
      </w:tr>
      <w:tr>
        <w:trPr>
          <w:trHeight w:val="211"/>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mutual fund</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mutual fund</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212</w:t>
            </w:r>
          </w:p>
        </w:tc>
      </w:tr>
      <w:tr>
        <w:trPr>
          <w:trHeight w:val="250"/>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407</w:t>
            </w:r>
          </w:p>
        </w:tc>
      </w:tr>
      <w:tr>
        <w:trPr>
          <w:trHeight w:val="197"/>
        </w:trPr>
        <w:tc>
          <w:tcPr>
            <w:tcW w:w="4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2021</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mutual fund</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mutual fund</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w:t>
            </w:r>
          </w:p>
        </w:tc>
      </w:tr>
      <w:tr>
        <w:trPr>
          <w:trHeight w:val="250"/>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421</w:t>
            </w:r>
          </w:p>
        </w:tc>
      </w:tr>
      <w:tr>
        <w:trPr>
          <w:trHeight w:val="61"/>
        </w:trPr>
        <w:tc>
          <w:tcPr>
            <w:tcW w:w="4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-942340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-925195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-942340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-925195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-942340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-925195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-85090</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-67945</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-85090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-67945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-85090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-67945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0"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investment income, net gains and losses realized and disbursements related to the investments within the portfolio for the three and nine months ended June 30, 2022 and 2021.</w:t>
      </w:r>
    </w:p>
    <w:p>
      <w:pPr>
        <w:sectPr>
          <w:pgSz w:w="11900" w:h="16838" w:orient="portrait"/>
          <w:cols w:equalWidth="0" w:num="1">
            <w:col w:w="11240"/>
          </w:cols>
          <w:pgMar w:left="320" w:top="387" w:right="339" w:bottom="1440" w:gutter="0" w:footer="0" w:header="0"/>
        </w:sectPr>
      </w:pPr>
    </w:p>
    <w:p>
      <w:pPr>
        <w:spacing w:after="0" w:line="164"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-120650</wp:posOffset>
            </wp:positionV>
            <wp:extent cx="45777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77715" cy="8890"/>
                    </a:xfrm>
                    <a:prstGeom prst="rect">
                      <a:avLst/>
                    </a:prstGeom>
                    <a:noFill/>
                  </pic:spPr>
                </pic:pic>
              </a:graphicData>
            </a:graphic>
          </wp:anchor>
        </w:drawing>
      </w:r>
    </w:p>
    <w:p>
      <w:pPr>
        <w:spacing w:after="0" w:line="19"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color w:val="auto"/>
        </w:rPr>
        <w:t>June 30</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-120650</wp:posOffset>
            </wp:positionV>
            <wp:extent cx="19202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9"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June 30</w:t>
      </w:r>
    </w:p>
    <w:p>
      <w:pPr>
        <w:spacing w:after="0" w:line="9" w:lineRule="exact"/>
        <w:rPr>
          <w:sz w:val="20"/>
          <w:szCs w:val="20"/>
          <w:color w:val="auto"/>
        </w:rPr>
      </w:pPr>
    </w:p>
    <w:p>
      <w:pPr>
        <w:sectPr>
          <w:pgSz w:w="11900" w:h="16838" w:orient="portrait"/>
          <w:cols w:equalWidth="0" w:num="2">
            <w:col w:w="7880" w:space="720"/>
            <w:col w:w="2640"/>
          </w:cols>
          <w:pgMar w:left="320" w:top="387" w:right="339" w:bottom="1440" w:gutter="0" w:footer="0" w:header="0"/>
          <w:type w:val="continuous"/>
        </w:sectPr>
      </w:pPr>
    </w:p>
    <w:tbl>
      <w:tblPr>
        <w:tblLayout w:type="fixed"/>
        <w:tblInd w:w="420" w:type="dxa"/>
        <w:tblCellMar>
          <w:top w:w="0" w:type="dxa"/>
          <w:left w:w="0" w:type="dxa"/>
          <w:bottom w:w="0" w:type="dxa"/>
          <w:right w:w="0" w:type="dxa"/>
        </w:tblCellMar>
      </w:tblPr>
      <w:tr>
        <w:trPr>
          <w:trHeight w:val="209"/>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gains (losses)</w:t>
            </w: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Disbursements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4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4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r>
      <w:tr>
        <w:trPr>
          <w:trHeight w:val="81"/>
        </w:trPr>
        <w:tc>
          <w:tcPr>
            <w:tcW w:w="42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bl>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Foreign currency derivatives</w:t>
      </w:r>
    </w:p>
    <w:p>
      <w:pPr>
        <w:spacing w:after="0" w:line="112" w:lineRule="exact"/>
        <w:rPr>
          <w:sz w:val="20"/>
          <w:szCs w:val="20"/>
          <w:color w:val="auto"/>
        </w:rPr>
      </w:pPr>
    </w:p>
    <w:p>
      <w:pPr>
        <w:jc w:val="both"/>
        <w:ind w:left="380" w:right="380"/>
        <w:spacing w:after="0" w:line="241" w:lineRule="auto"/>
        <w:rPr>
          <w:sz w:val="20"/>
          <w:szCs w:val="20"/>
          <w:color w:val="auto"/>
        </w:rPr>
      </w:pPr>
      <w:r>
        <w:rPr>
          <w:rFonts w:ascii="Times New Roman" w:cs="Times New Roman" w:eastAsia="Times New Roman" w:hAnsi="Times New Roman"/>
          <w:sz w:val="20"/>
          <w:szCs w:val="20"/>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on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The impacts of these contracts were largely offset by gains and losses resulting from the impact of changes in exchange rates on transactions denominated in non-functional currencies. The following table summarizes the net gains and losses recognized during the three and nine months ended June 30, 2022 and 2021 within the Statements of Consolidated Comprehensive Income (Loss).</w:t>
      </w:r>
    </w:p>
    <w:p>
      <w:pPr>
        <w:spacing w:after="0" w:line="180"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42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34"/>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June 30</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rPr>
              <w:t>June 30</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1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derivative gain (loss)</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(12 )  $</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(21 )  $</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81"/>
        </w:trPr>
        <w:tc>
          <w:tcPr>
            <w:tcW w:w="42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80" w:right="380"/>
        <w:spacing w:after="0" w:line="295" w:lineRule="auto"/>
        <w:rPr>
          <w:sz w:val="20"/>
          <w:szCs w:val="20"/>
          <w:color w:val="auto"/>
        </w:rPr>
      </w:pPr>
      <w:r>
        <w:rPr>
          <w:rFonts w:ascii="Times New Roman" w:cs="Times New Roman" w:eastAsia="Times New Roman" w:hAnsi="Times New Roman"/>
          <w:sz w:val="19"/>
          <w:szCs w:val="19"/>
          <w:color w:val="auto"/>
        </w:rPr>
        <w:t>The following table summarizes the fair values of the outstanding foreign currency derivatives as of June 30, 2022 and September 30, 2021 included in accounts receivable and accrued expenses and other liabilities of the Condensed Consolidated Balance Sheets.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June 30</w:t>
            </w:r>
          </w:p>
        </w:tc>
        <w:tc>
          <w:tcPr>
            <w:tcW w:w="6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40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Pr>
          <w:p>
            <w:pPr>
              <w:spacing w:after="0"/>
              <w:rPr>
                <w:sz w:val="20"/>
                <w:szCs w:val="20"/>
                <w:color w:val="auto"/>
              </w:rPr>
            </w:pPr>
          </w:p>
        </w:tc>
      </w:tr>
      <w:tr>
        <w:trPr>
          <w:trHeight w:val="209"/>
        </w:trPr>
        <w:tc>
          <w:tcPr>
            <w:tcW w:w="42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derivative assets</w:t>
            </w:r>
          </w:p>
        </w:tc>
        <w:tc>
          <w:tcPr>
            <w:tcW w:w="3600" w:type="dxa"/>
            <w:vAlign w:val="bottom"/>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6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244</w:t>
            </w:r>
          </w:p>
        </w:tc>
        <w:tc>
          <w:tcPr>
            <w:tcW w:w="480" w:type="dxa"/>
            <w:vAlign w:val="bottom"/>
          </w:tcPr>
          <w:p>
            <w:pPr>
              <w:spacing w:after="0"/>
              <w:rPr>
                <w:sz w:val="18"/>
                <w:szCs w:val="18"/>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92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derivative liabilities</w:t>
            </w:r>
          </w:p>
        </w:tc>
        <w:tc>
          <w:tcPr>
            <w:tcW w:w="360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6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263</w:t>
            </w:r>
          </w:p>
        </w:tc>
        <w:tc>
          <w:tcPr>
            <w:tcW w:w="48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400" w:type="dxa"/>
            <w:vAlign w:val="bottom"/>
          </w:tcPr>
          <w:p>
            <w:pPr>
              <w:spacing w:after="0"/>
              <w:rPr>
                <w:sz w:val="18"/>
                <w:szCs w:val="18"/>
                <w:color w:val="auto"/>
              </w:rPr>
            </w:pPr>
          </w:p>
        </w:tc>
      </w:tr>
      <w:tr>
        <w:trPr>
          <w:trHeight w:val="81"/>
        </w:trPr>
        <w:tc>
          <w:tcPr>
            <w:tcW w:w="420" w:type="dxa"/>
            <w:vAlign w:val="bottom"/>
          </w:tcPr>
          <w:p>
            <w:pPr>
              <w:spacing w:after="0"/>
              <w:rPr>
                <w:sz w:val="7"/>
                <w:szCs w:val="7"/>
                <w:color w:val="auto"/>
              </w:rPr>
            </w:pPr>
          </w:p>
        </w:tc>
        <w:tc>
          <w:tcPr>
            <w:tcW w:w="3920" w:type="dxa"/>
            <w:vAlign w:val="bottom"/>
            <w:tcBorders>
              <w:bottom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r>
      <w:tr>
        <w:trPr>
          <w:trHeight w:val="533"/>
        </w:trPr>
        <w:tc>
          <w:tcPr>
            <w:tcW w:w="4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88"/>
        </w:trPr>
        <w:tc>
          <w:tcPr>
            <w:tcW w:w="420" w:type="dxa"/>
            <w:vAlign w:val="bottom"/>
            <w:tcBorders>
              <w:bottom w:val="single" w:sz="8" w:color="9A9A9A"/>
            </w:tcBorders>
          </w:tcPr>
          <w:p>
            <w:pPr>
              <w:spacing w:after="0"/>
              <w:rPr>
                <w:sz w:val="7"/>
                <w:szCs w:val="7"/>
                <w:color w:val="auto"/>
              </w:rPr>
            </w:pPr>
          </w:p>
        </w:tc>
        <w:tc>
          <w:tcPr>
            <w:tcW w:w="392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11" w:name="page12"/>
    <w:bookmarkEnd w:id="11"/>
    <w:p>
      <w:pPr>
        <w:ind w:left="380"/>
        <w:spacing w:after="0"/>
        <w:rPr>
          <w:sz w:val="20"/>
          <w:szCs w:val="20"/>
          <w:color w:val="auto"/>
        </w:rPr>
      </w:pPr>
      <w:r>
        <w:rPr>
          <w:rFonts w:ascii="Times New Roman" w:cs="Times New Roman" w:eastAsia="Times New Roman" w:hAnsi="Times New Roman"/>
          <w:sz w:val="20"/>
          <w:szCs w:val="20"/>
          <w:b w:val="1"/>
          <w:bCs w:val="1"/>
          <w:color w:val="auto"/>
        </w:rPr>
        <w:t>Commodity derivatives</w:t>
      </w:r>
    </w:p>
    <w:p>
      <w:pPr>
        <w:spacing w:after="0" w:line="112"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0"/>
          <w:szCs w:val="20"/>
          <w:color w:val="auto"/>
        </w:rPr>
        <w:t>To manage its exposure to the market price volatility of natural gas consumed by its U.S. plants during the manufacturing process, Ashland regularly enters into forward contracts that are designated as cash flow hedges. The following table summarizes the net gains and losses recognized during the three and nine months ended June 30, 2022 and 2021 within the cost of sales caption of the Statements of Consolidated Comprehensive Income (Loss).</w:t>
      </w:r>
    </w:p>
    <w:p>
      <w:pPr>
        <w:sectPr>
          <w:pgSz w:w="11900" w:h="16838" w:orient="portrait"/>
          <w:cols w:equalWidth="0" w:num="1">
            <w:col w:w="11240"/>
          </w:cols>
          <w:pgMar w:left="320" w:top="383" w:right="339" w:bottom="1440" w:gutter="0" w:footer="0" w:header="0"/>
        </w:sectPr>
      </w:pPr>
    </w:p>
    <w:p>
      <w:pPr>
        <w:spacing w:after="0" w:line="95" w:lineRule="exact"/>
        <w:rPr>
          <w:sz w:val="20"/>
          <w:szCs w:val="20"/>
          <w:color w:val="auto"/>
        </w:rPr>
      </w:pPr>
    </w:p>
    <w:p>
      <w:pPr>
        <w:jc w:val="center"/>
        <w:ind w:left="432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45605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7" w:lineRule="exact"/>
        <w:rPr>
          <w:sz w:val="20"/>
          <w:szCs w:val="20"/>
          <w:color w:val="auto"/>
        </w:rPr>
      </w:pPr>
    </w:p>
    <w:p>
      <w:pPr>
        <w:jc w:val="center"/>
        <w:ind w:left="4320"/>
        <w:spacing w:after="0"/>
        <w:rPr>
          <w:sz w:val="20"/>
          <w:szCs w:val="20"/>
          <w:color w:val="auto"/>
        </w:rPr>
      </w:pPr>
      <w:r>
        <w:rPr>
          <w:rFonts w:ascii="Times New Roman" w:cs="Times New Roman" w:eastAsia="Times New Roman" w:hAnsi="Times New Roman"/>
          <w:sz w:val="18"/>
          <w:szCs w:val="18"/>
          <w:color w:val="auto"/>
        </w:rPr>
        <w:t>June 30</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-120650</wp:posOffset>
            </wp:positionV>
            <wp:extent cx="19373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9"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June 30</w:t>
      </w:r>
    </w:p>
    <w:p>
      <w:pPr>
        <w:spacing w:after="0" w:line="9" w:lineRule="exact"/>
        <w:rPr>
          <w:sz w:val="20"/>
          <w:szCs w:val="20"/>
          <w:color w:val="auto"/>
        </w:rPr>
      </w:pPr>
    </w:p>
    <w:p>
      <w:pPr>
        <w:sectPr>
          <w:pgSz w:w="11900" w:h="16838" w:orient="portrait"/>
          <w:cols w:equalWidth="0" w:num="2">
            <w:col w:w="7880" w:space="720"/>
            <w:col w:w="2640"/>
          </w:cols>
          <w:pgMar w:left="320" w:top="383" w:right="339" w:bottom="1440" w:gutter="0" w:footer="0" w:header="0"/>
          <w:type w:val="continuous"/>
        </w:sectPr>
      </w:pPr>
    </w:p>
    <w:tbl>
      <w:tblPr>
        <w:tblLayout w:type="fixed"/>
        <w:tblInd w:w="420" w:type="dxa"/>
        <w:tblCellMar>
          <w:top w:w="0" w:type="dxa"/>
          <w:left w:w="0" w:type="dxa"/>
          <w:bottom w:w="0" w:type="dxa"/>
          <w:right w:w="0" w:type="dxa"/>
        </w:tblCellMar>
      </w:tblPr>
      <w:tr>
        <w:trPr>
          <w:trHeight w:val="209"/>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derivative gain (loss)</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81"/>
        </w:trPr>
        <w:tc>
          <w:tcPr>
            <w:tcW w:w="4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bl>
    <w:p>
      <w:pPr>
        <w:spacing w:after="0" w:line="85"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fair values of the outstanding commodity derivatives as of June 30, 2022, and September 30, 2021 included in accounts receivable and accrued expenses and other liabilities of the Condensed Consolidated Balance Sheets.</w:t>
      </w:r>
    </w:p>
    <w:p>
      <w:pPr>
        <w:sectPr>
          <w:pgSz w:w="11900" w:h="16838" w:orient="portrait"/>
          <w:cols w:equalWidth="0" w:num="1">
            <w:col w:w="11240"/>
          </w:cols>
          <w:pgMar w:left="320" w:top="383" w:right="339" w:bottom="1440" w:gutter="0" w:footer="0" w:header="0"/>
          <w:type w:val="continuous"/>
        </w:sectPr>
      </w:pPr>
    </w:p>
    <w:p>
      <w:pPr>
        <w:spacing w:after="0" w:line="54"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418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June 30</w:t>
            </w:r>
          </w:p>
        </w:tc>
      </w:tr>
      <w:tr>
        <w:trPr>
          <w:trHeight w:val="234"/>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2022</w:t>
            </w:r>
          </w:p>
        </w:tc>
      </w:tr>
      <w:tr>
        <w:trPr>
          <w:trHeight w:val="191"/>
        </w:trPr>
        <w:tc>
          <w:tcPr>
            <w:tcW w:w="4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Commodity derivative assets</w:t>
            </w:r>
          </w:p>
        </w:tc>
        <w:tc>
          <w:tcPr>
            <w:tcW w:w="222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2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Commodity derivative liabilities</w:t>
            </w:r>
          </w:p>
        </w:tc>
        <w:tc>
          <w:tcPr>
            <w:tcW w:w="2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2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-685165</wp:posOffset>
            </wp:positionV>
            <wp:extent cx="662622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-410845</wp:posOffset>
            </wp:positionV>
            <wp:extent cx="6626225"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-136525</wp:posOffset>
            </wp:positionV>
            <wp:extent cx="662622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51435</wp:posOffset>
            </wp:positionV>
            <wp:extent cx="50406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5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5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2021</w:t>
            </w:r>
          </w:p>
        </w:tc>
      </w:tr>
      <w:tr>
        <w:trPr>
          <w:trHeight w:val="191"/>
        </w:trPr>
        <w:tc>
          <w:tcPr>
            <w:tcW w:w="5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w:t>
            </w:r>
          </w:p>
        </w:tc>
      </w:tr>
      <w:tr>
        <w:trPr>
          <w:trHeight w:val="234"/>
        </w:trPr>
        <w:tc>
          <w:tcPr>
            <w:tcW w:w="5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1457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8360" w:space="100"/>
            <w:col w:w="2780"/>
          </w:cols>
          <w:pgMar w:left="320" w:top="383" w:right="3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20"/>
          <w:szCs w:val="20"/>
          <w:b w:val="1"/>
          <w:bCs w:val="1"/>
          <w:color w:val="auto"/>
        </w:rPr>
        <w:t>Total return derivatives</w:t>
      </w:r>
    </w:p>
    <w:p>
      <w:pPr>
        <w:spacing w:after="0" w:line="112" w:lineRule="exact"/>
        <w:rPr>
          <w:sz w:val="20"/>
          <w:szCs w:val="20"/>
          <w:color w:val="auto"/>
        </w:rPr>
      </w:pPr>
    </w:p>
    <w:p>
      <w:pPr>
        <w:jc w:val="both"/>
        <w:ind w:left="380" w:right="380"/>
        <w:spacing w:after="0" w:line="241" w:lineRule="auto"/>
        <w:rPr>
          <w:sz w:val="20"/>
          <w:szCs w:val="20"/>
          <w:color w:val="auto"/>
        </w:rPr>
      </w:pPr>
      <w:r>
        <w:rPr>
          <w:rFonts w:ascii="Times New Roman" w:cs="Times New Roman" w:eastAsia="Times New Roman" w:hAnsi="Times New Roman"/>
          <w:sz w:val="20"/>
          <w:szCs w:val="20"/>
          <w:color w:val="auto"/>
        </w:rPr>
        <w:t>Ashland maintains certain employee stock based compensation programs whereby certain employees receive awards that entitle them to a cash payout based on Ashland's stock price at a future date. To manage its exposure to the changes in fair value of the shares that determine the payout, Ashland entered into a Total Return Swap (TRS) in fiscal year 2022. The company pays a floating rate, based on LIBOR plus an interest rate spread on the notional amount of the TRS. The TRS is designed to substantially offset changes in the stock based compensation liabilities due to the change in the fair value of Ashland's stock. The contract term of the TRS is through December 2022 and is settled on quarterly basis. The following table summarized the net gains and losses recognized for the three and nine months ended June 30, 2022 and 2021 within the selling, general and administrative expense caption of the Statements of Consolidated Comprehensive Income (Loss).</w:t>
      </w:r>
    </w:p>
    <w:p>
      <w:pPr>
        <w:spacing w:after="0" w:line="86"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428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5"/>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9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right="496"/>
              <w:spacing w:after="0"/>
              <w:rPr>
                <w:sz w:val="20"/>
                <w:szCs w:val="20"/>
                <w:color w:val="auto"/>
              </w:rPr>
            </w:pPr>
            <w:r>
              <w:rPr>
                <w:rFonts w:ascii="Times New Roman" w:cs="Times New Roman" w:eastAsia="Times New Roman" w:hAnsi="Times New Roman"/>
                <w:sz w:val="18"/>
                <w:szCs w:val="18"/>
                <w:color w:val="auto"/>
                <w:w w:val="97"/>
              </w:rPr>
              <w:t>June 30</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color w:val="auto"/>
              </w:rPr>
              <w:t>June 30</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18"/>
                <w:szCs w:val="18"/>
                <w:color w:val="auto"/>
              </w:rPr>
            </w:pPr>
          </w:p>
        </w:tc>
        <w:tc>
          <w:tcPr>
            <w:tcW w:w="130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return swap gain (loss)</w:t>
            </w: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gridSpan w:val="2"/>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2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80" w:right="380"/>
        <w:spacing w:after="0" w:line="255" w:lineRule="auto"/>
        <w:rPr>
          <w:sz w:val="20"/>
          <w:szCs w:val="20"/>
          <w:color w:val="auto"/>
        </w:rPr>
      </w:pPr>
      <w:r>
        <w:rPr>
          <w:rFonts w:ascii="Times New Roman" w:cs="Times New Roman" w:eastAsia="Times New Roman" w:hAnsi="Times New Roman"/>
          <w:sz w:val="20"/>
          <w:szCs w:val="20"/>
          <w:color w:val="auto"/>
        </w:rPr>
        <w:t>The following table summarizes the fair values of the outstanding TRS as of June 30, 2022 included in accounts receivable and accrued expenses and other liabilities of the Condensed Consolidated Balance Sheets.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4040" w:type="dxa"/>
            <w:vAlign w:val="bottom"/>
            <w:tcBorders>
              <w:top w:val="single" w:sz="8" w:color="auto"/>
            </w:tcBorders>
          </w:tcPr>
          <w:p>
            <w:pPr>
              <w:jc w:val="center"/>
              <w:ind w:left="2910"/>
              <w:spacing w:after="0"/>
              <w:rPr>
                <w:sz w:val="20"/>
                <w:szCs w:val="20"/>
                <w:color w:val="auto"/>
              </w:rPr>
            </w:pPr>
            <w:r>
              <w:rPr>
                <w:rFonts w:ascii="Times New Roman" w:cs="Times New Roman" w:eastAsia="Times New Roman" w:hAnsi="Times New Roman"/>
                <w:sz w:val="18"/>
                <w:szCs w:val="18"/>
                <w:color w:val="auto"/>
              </w:rPr>
              <w:t>June 30</w:t>
            </w: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0"/>
        </w:trPr>
        <w:tc>
          <w:tcPr>
            <w:tcW w:w="42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return swap assets</w:t>
            </w:r>
          </w:p>
        </w:tc>
        <w:tc>
          <w:tcPr>
            <w:tcW w:w="4040" w:type="dxa"/>
            <w:vAlign w:val="bottom"/>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4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63"/>
        </w:trPr>
        <w:tc>
          <w:tcPr>
            <w:tcW w:w="420" w:type="dxa"/>
            <w:vAlign w:val="bottom"/>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c>
          <w:tcPr>
            <w:tcW w:w="40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r>
      <w:tr>
        <w:trPr>
          <w:trHeight w:val="534"/>
        </w:trPr>
        <w:tc>
          <w:tcPr>
            <w:tcW w:w="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4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88"/>
        </w:trPr>
        <w:tc>
          <w:tcPr>
            <w:tcW w:w="420" w:type="dxa"/>
            <w:vAlign w:val="bottom"/>
            <w:tcBorders>
              <w:bottom w:val="single" w:sz="8" w:color="9A9A9A"/>
            </w:tcBorders>
          </w:tcPr>
          <w:p>
            <w:pPr>
              <w:spacing w:after="0"/>
              <w:rPr>
                <w:sz w:val="7"/>
                <w:szCs w:val="7"/>
                <w:color w:val="auto"/>
              </w:rPr>
            </w:pPr>
          </w:p>
        </w:tc>
        <w:tc>
          <w:tcPr>
            <w:tcW w:w="3440" w:type="dxa"/>
            <w:vAlign w:val="bottom"/>
            <w:tcBorders>
              <w:bottom w:val="single" w:sz="8" w:color="9A9A9A"/>
            </w:tcBorders>
          </w:tcPr>
          <w:p>
            <w:pPr>
              <w:spacing w:after="0"/>
              <w:rPr>
                <w:sz w:val="7"/>
                <w:szCs w:val="7"/>
                <w:color w:val="auto"/>
              </w:rPr>
            </w:pPr>
          </w:p>
        </w:tc>
        <w:tc>
          <w:tcPr>
            <w:tcW w:w="40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type w:val="continuous"/>
        </w:sectPr>
      </w:pPr>
    </w:p>
    <w:bookmarkStart w:id="12" w:name="page13"/>
    <w:bookmarkEnd w:id="12"/>
    <w:p>
      <w:pPr>
        <w:ind w:left="380"/>
        <w:spacing w:after="0"/>
        <w:rPr>
          <w:sz w:val="20"/>
          <w:szCs w:val="20"/>
          <w:color w:val="auto"/>
        </w:rPr>
      </w:pPr>
      <w:r>
        <w:rPr>
          <w:rFonts w:ascii="Times New Roman" w:cs="Times New Roman" w:eastAsia="Times New Roman" w:hAnsi="Times New Roman"/>
          <w:sz w:val="20"/>
          <w:szCs w:val="20"/>
          <w:b w:val="1"/>
          <w:bCs w:val="1"/>
          <w:color w:val="auto"/>
        </w:rPr>
        <w:t>Other financial instruments</w:t>
      </w:r>
    </w:p>
    <w:p>
      <w:pPr>
        <w:spacing w:after="0" w:line="112"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At June 30, 2022 and September 30, 2021, Ashland's long-term debt (including the current portion and excluding debt issuance cost discounts) had a carrying value of $1,317 million and $1,622 million, respectively, compared to a fair value of $1,181 million and $1,794 million, respectively. The fair values of long-term debt are based on quoted market prices or, if market prices are not available, the present values of the underlying cash flows discounted at Ashland’s incremental borrowing rates. The carrying value of long-term debt with variable interest approximated fair value.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F – INVENTORIES</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Inventories are carried at the lower of cost or net realizable value. Inventories are stated at cost using the weighted-average cost method.</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summarizes Ashland’s inventories as of the reported Condensed Consolidated Balance Sheet dates.</w:t>
      </w:r>
    </w:p>
    <w:p>
      <w:pPr>
        <w:spacing w:after="0" w:line="205"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6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June 30</w:t>
            </w: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4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rPr>
              <w:t>2021</w:t>
            </w:r>
          </w:p>
        </w:tc>
      </w:tr>
      <w:tr>
        <w:trPr>
          <w:trHeight w:val="19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products</w:t>
            </w:r>
          </w:p>
        </w:tc>
        <w:tc>
          <w:tcPr>
            <w:tcW w:w="1420" w:type="dxa"/>
            <w:vAlign w:val="bottom"/>
            <w:shd w:val="clear" w:color="auto" w:fill="CFF0FC"/>
          </w:tcPr>
          <w:p>
            <w:pPr>
              <w:jc w:val="right"/>
              <w:ind w:right="123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350</w:t>
            </w:r>
          </w:p>
        </w:tc>
        <w:tc>
          <w:tcPr>
            <w:tcW w:w="4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6"/>
                <w:szCs w:val="16"/>
                <w:color w:val="auto"/>
              </w:rPr>
              <w:t>282</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Raw materials, supplies and work in process</w:t>
            </w:r>
          </w:p>
        </w:tc>
        <w:tc>
          <w:tcPr>
            <w:tcW w:w="1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259</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color w:val="auto"/>
              </w:rPr>
              <w:t>191</w:t>
            </w:r>
          </w:p>
        </w:tc>
      </w:tr>
      <w:tr>
        <w:trPr>
          <w:trHeight w:val="236"/>
        </w:trPr>
        <w:tc>
          <w:tcPr>
            <w:tcW w:w="6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123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609</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6"/>
                <w:szCs w:val="16"/>
                <w:color w:val="auto"/>
              </w:rPr>
              <w:t>473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-24765</wp:posOffset>
            </wp:positionV>
            <wp:extent cx="1200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1200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G – GOODWILL AND OTHER INTANGIBLES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12"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Ashland tests goodwill and other indefinite-lived intangible assets for impairment annually as of July 1 and when events and circumstances indicate an impairment may have occurred. Ashland tests goodwill and other indefinite-lived intangible assets for impairment by comparing the estimated fair value of the reporting units (for goodwill) and other indefinite-lived intangible assets to the related carrying value. If the carrying amount of a reporting unit or other indefinite-lived intangible asset exceeds its estimated fair value, Ashland records an impairment loss based on the difference between fair value and carrying amount, not to exceed the associated carrying amount of goodwill per reporting unit.</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9"/>
          <w:szCs w:val="19"/>
          <w:color w:val="auto"/>
        </w:rPr>
        <w:t>o indicators of impairment were identified in the three and nine months ended June 30, 2022.</w:t>
      </w:r>
    </w:p>
    <w:p>
      <w:pPr>
        <w:spacing w:after="0" w:line="119"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such as: a significant change in projected business results, a divestiture decision, increase in Ashland’s weighted-average cost of capital rates, decrease in growth rates or assumptions, economic deterioration that is more severe or of a longer duration than anticipated, or another significant economic event.</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is a progression of goodwill by reportable segment for the nine months ended June 30, 2022.</w:t>
      </w:r>
    </w:p>
    <w:p>
      <w:pPr>
        <w:spacing w:after="0" w:line="205"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2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Life</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Personal</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Specialty</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34"/>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Sciences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 xml:space="preserve">Care </w:t>
            </w:r>
            <w:r>
              <w:rPr>
                <w:rFonts w:ascii="Times New Roman" w:cs="Times New Roman" w:eastAsia="Times New Roman" w:hAnsi="Times New Roman"/>
                <w:sz w:val="14"/>
                <w:szCs w:val="14"/>
                <w:color w:val="auto"/>
              </w:rPr>
              <w:t>(a)</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xml:space="preserve">Additives </w:t>
            </w:r>
            <w:r>
              <w:rPr>
                <w:rFonts w:ascii="Times New Roman" w:cs="Times New Roman" w:eastAsia="Times New Roman" w:hAnsi="Times New Roman"/>
                <w:sz w:val="14"/>
                <w:szCs w:val="14"/>
                <w:color w:val="auto"/>
              </w:rPr>
              <w:t>(a)</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Intermediates </w:t>
            </w:r>
            <w:r>
              <w:rPr>
                <w:rFonts w:ascii="Times New Roman" w:cs="Times New Roman" w:eastAsia="Times New Roman" w:hAnsi="Times New Roman"/>
                <w:sz w:val="14"/>
                <w:szCs w:val="14"/>
                <w:color w:val="auto"/>
              </w:rPr>
              <w:t>(a)</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856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445</w:t>
            </w:r>
          </w:p>
        </w:tc>
        <w:tc>
          <w:tcPr>
            <w:tcW w:w="1680" w:type="dxa"/>
            <w:vAlign w:val="bottom"/>
            <w:gridSpan w:val="2"/>
            <w:shd w:val="clear" w:color="auto" w:fill="CFF0FC"/>
          </w:tcPr>
          <w:p>
            <w:pPr>
              <w:jc w:val="right"/>
              <w:ind w:right="129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1,430</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50"/>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129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1,356</w:t>
            </w:r>
          </w:p>
        </w:tc>
      </w:tr>
      <w:tr>
        <w:trPr>
          <w:trHeight w:val="115"/>
        </w:trPr>
        <w:tc>
          <w:tcPr>
            <w:tcW w:w="29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-119380</wp:posOffset>
            </wp:positionV>
            <wp:extent cx="857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-102235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-119380</wp:posOffset>
            </wp:positionV>
            <wp:extent cx="1460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-102235</wp:posOffset>
            </wp:positionV>
            <wp:extent cx="1460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-119380</wp:posOffset>
            </wp:positionV>
            <wp:extent cx="137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-102235</wp:posOffset>
            </wp:positionV>
            <wp:extent cx="137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-119380</wp:posOffset>
            </wp:positionV>
            <wp:extent cx="137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-102235</wp:posOffset>
            </wp:positionV>
            <wp:extent cx="137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5" w:lineRule="exact"/>
        <w:rPr>
          <w:sz w:val="20"/>
          <w:szCs w:val="20"/>
          <w:color w:val="auto"/>
        </w:rPr>
      </w:pPr>
    </w:p>
    <w:p>
      <w:pPr>
        <w:ind w:left="740" w:hanging="358"/>
        <w:spacing w:after="0" w:line="282" w:lineRule="auto"/>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2022 and September 30, 2021, there were accumulated impairments of $356 million, $174 million and $90 million related to the Personal Care, Specialty Additives and Intermediates reportable segments, respectively.</w:t>
      </w:r>
    </w:p>
    <w:p>
      <w:pPr>
        <w:spacing w:after="0" w:line="7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83" w:right="7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Other intangible assets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25 years, intellectual property over 5 to 25 years, and customer and supplier relationships over 3 to 24 years.</w:t>
      </w:r>
    </w:p>
    <w:p>
      <w:pPr>
        <w:spacing w:after="0" w:line="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Ashland annually reviews, as of July 1, indefinite-lived intangible assets for possible impairment or whenever events or changes in circumstances indicate that carrying amounts may not be recoverable.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indicators of impairment were identified in the three and nine months ended June 30,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Intangible assets were comprised of the following as of June 30, 2022 and September 30, 2021.</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6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June 30, 2022</w:t>
            </w:r>
          </w:p>
        </w:tc>
        <w:tc>
          <w:tcPr>
            <w:tcW w:w="3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r>
      <w:tr>
        <w:trPr>
          <w:trHeight w:val="191"/>
        </w:trPr>
        <w:tc>
          <w:tcPr>
            <w:tcW w:w="4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290"/>
              <w:spacing w:after="0" w:line="191" w:lineRule="exact"/>
              <w:rPr>
                <w:sz w:val="20"/>
                <w:szCs w:val="20"/>
                <w:color w:val="auto"/>
              </w:rPr>
            </w:pPr>
            <w:r>
              <w:rPr>
                <w:rFonts w:ascii="Times New Roman" w:cs="Times New Roman" w:eastAsia="Times New Roman" w:hAnsi="Times New Roman"/>
                <w:sz w:val="18"/>
                <w:szCs w:val="18"/>
                <w:color w:val="auto"/>
                <w:w w:val="99"/>
              </w:rPr>
              <w:t>Net</w:t>
            </w:r>
          </w:p>
        </w:tc>
      </w:tr>
      <w:tr>
        <w:trPr>
          <w:trHeight w:val="216"/>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carrying</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Accumulated</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34"/>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amount</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amortization</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amount</w:t>
            </w:r>
          </w:p>
        </w:tc>
      </w:tr>
      <w:tr>
        <w:trPr>
          <w:trHeight w:val="20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Definite-lived intangibles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Intellectual property</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r>
      <w:tr>
        <w:trPr>
          <w:trHeight w:val="209"/>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definite-lived intangibles</w:t>
            </w: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1,647</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(924 )</w:t>
            </w:r>
          </w:p>
        </w:tc>
        <w:tc>
          <w:tcPr>
            <w:tcW w:w="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r>
      <w:tr>
        <w:trPr>
          <w:trHeight w:val="210"/>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r>
      <w:tr>
        <w:trPr>
          <w:trHeight w:val="250"/>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1,925</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(924 )</w:t>
            </w:r>
          </w:p>
        </w:tc>
        <w:tc>
          <w:tcPr>
            <w:tcW w:w="3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1,001</w:t>
            </w:r>
          </w:p>
        </w:tc>
      </w:tr>
      <w:tr>
        <w:trPr>
          <w:trHeight w:val="399"/>
        </w:trPr>
        <w:tc>
          <w:tcPr>
            <w:tcW w:w="4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10"/>
        </w:trPr>
        <w:tc>
          <w:tcPr>
            <w:tcW w:w="4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September 30, 2021</w:t>
            </w: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91"/>
        </w:trPr>
        <w:tc>
          <w:tcPr>
            <w:tcW w:w="4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290"/>
              <w:spacing w:after="0" w:line="191" w:lineRule="exact"/>
              <w:rPr>
                <w:sz w:val="20"/>
                <w:szCs w:val="20"/>
                <w:color w:val="auto"/>
              </w:rPr>
            </w:pPr>
            <w:r>
              <w:rPr>
                <w:rFonts w:ascii="Times New Roman" w:cs="Times New Roman" w:eastAsia="Times New Roman" w:hAnsi="Times New Roman"/>
                <w:sz w:val="18"/>
                <w:szCs w:val="18"/>
                <w:color w:val="auto"/>
                <w:w w:val="99"/>
              </w:rPr>
              <w:t>Net</w:t>
            </w:r>
          </w:p>
        </w:tc>
      </w:tr>
      <w:tr>
        <w:trPr>
          <w:trHeight w:val="216"/>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carrying</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Accumulated</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34"/>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amount</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amortization</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amount</w:t>
            </w: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Definite-lived intangibles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Intellectual property</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849</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r>
      <w:tr>
        <w:trPr>
          <w:trHeight w:val="209"/>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definite-lived intangibles</w:t>
            </w: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821</w:t>
            </w:r>
          </w:p>
        </w:tc>
      </w:tr>
      <w:tr>
        <w:trPr>
          <w:trHeight w:val="210"/>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r>
      <w:tr>
        <w:trPr>
          <w:trHeight w:val="250"/>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1,978</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3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-2717165</wp:posOffset>
            </wp:positionV>
            <wp:extent cx="1028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-2717165</wp:posOffset>
            </wp:positionV>
            <wp:extent cx="2400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-2150745</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-2133600</wp:posOffset>
            </wp:positionV>
            <wp:extent cx="102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-2150745</wp:posOffset>
            </wp:positionV>
            <wp:extent cx="2400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-2133600</wp:posOffset>
            </wp:positionV>
            <wp:extent cx="2400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-591185</wp:posOffset>
            </wp:positionV>
            <wp:extent cx="1028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-591185</wp:posOffset>
            </wp:positionV>
            <wp:extent cx="2400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-24765</wp:posOffset>
            </wp:positionV>
            <wp:extent cx="1028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-8255</wp:posOffset>
            </wp:positionV>
            <wp:extent cx="1028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-24765</wp:posOffset>
            </wp:positionV>
            <wp:extent cx="2400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-8255</wp:posOffset>
            </wp:positionV>
            <wp:extent cx="2400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Amortization expense recognized on intangible assets was $23 million for the three months ended June 30, 2022 and 2021, respectively, and $71 million and $65 million for the nine months ended June 30, 2022 and 2021, respectively, and is included in the intangibles amortization expense caption of the Statements of Consolidated Comprehensive Income (Loss). Estimated amortization expense for future periods is $96 million in 2022 (includes nine months actual and three months estimated), $96 million in 2023, $80 million in 2024, $75 million in 2025 and $72 million in 2026. Actual amounts may change from such estimated amounts due to fluctuations in foreign currency exchange rates, additional intangible asset acquisitions and divestitures, potential impairment, accelerated amortization, or other events.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83" w:right="7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NOTE H – DEBT AND OTHER FINANCING ACTIVITIES</w:t>
      </w:r>
    </w:p>
    <w:p>
      <w:pPr>
        <w:spacing w:after="0" w:line="112" w:lineRule="exact"/>
        <w:rPr>
          <w:sz w:val="20"/>
          <w:szCs w:val="20"/>
          <w:color w:val="auto"/>
        </w:rPr>
      </w:pPr>
    </w:p>
    <w:p>
      <w:pPr>
        <w:ind w:left="380"/>
        <w:spacing w:after="0" w:line="269" w:lineRule="auto"/>
        <w:rPr>
          <w:sz w:val="20"/>
          <w:szCs w:val="20"/>
          <w:color w:val="auto"/>
        </w:rPr>
      </w:pPr>
      <w:r>
        <w:rPr>
          <w:rFonts w:ascii="Times New Roman" w:cs="Times New Roman" w:eastAsia="Times New Roman" w:hAnsi="Times New Roman"/>
          <w:sz w:val="20"/>
          <w:szCs w:val="20"/>
          <w:color w:val="auto"/>
        </w:rPr>
        <w:t>The following table summarizes Ashland’s current and long-term debt as of the dates reported in the Condensed Consolidated Balance Sheets.</w:t>
      </w:r>
    </w:p>
    <w:p>
      <w:pPr>
        <w:spacing w:after="0" w:line="149"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6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June 30, 2022</w:t>
            </w:r>
          </w:p>
        </w:tc>
        <w:tc>
          <w:tcPr>
            <w:tcW w:w="1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September 30, 2021</w:t>
            </w:r>
          </w:p>
        </w:tc>
      </w:tr>
      <w:tr>
        <w:trPr>
          <w:trHeight w:val="21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3.375% Senior Notes, due 2031</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450</w:t>
            </w:r>
          </w:p>
        </w:tc>
        <w:tc>
          <w:tcPr>
            <w:tcW w:w="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2.00% Senior Notes, due 2028 (Euro 500 million principal)</w:t>
            </w:r>
          </w:p>
        </w:tc>
        <w:tc>
          <w:tcPr>
            <w:tcW w:w="46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6.875% notes, due 2043</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Term loan A</w:t>
            </w:r>
          </w:p>
        </w:tc>
        <w:tc>
          <w:tcPr>
            <w:tcW w:w="46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securitizations</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6.50% junior subordinated notes, due 2029</w:t>
            </w:r>
          </w:p>
        </w:tc>
        <w:tc>
          <w:tcPr>
            <w:tcW w:w="46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4"/>
                <w:szCs w:val="14"/>
                <w:color w:val="auto"/>
              </w:rPr>
              <w:t>(a)</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1,302</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1,970</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(includes current portion of long-term debt)</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(374 )</w:t>
            </w:r>
          </w:p>
        </w:tc>
      </w:tr>
      <w:tr>
        <w:trPr>
          <w:trHeight w:val="250"/>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1,302</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1,596</w:t>
            </w:r>
          </w:p>
        </w:tc>
      </w:tr>
      <w:tr>
        <w:trPr>
          <w:trHeight w:val="115"/>
        </w:trPr>
        <w:tc>
          <w:tcPr>
            <w:tcW w:w="6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-119380</wp:posOffset>
            </wp:positionV>
            <wp:extent cx="1200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-102235</wp:posOffset>
            </wp:positionV>
            <wp:extent cx="1200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5" w:lineRule="exact"/>
        <w:rPr>
          <w:sz w:val="20"/>
          <w:szCs w:val="20"/>
          <w:color w:val="auto"/>
        </w:rPr>
      </w:pPr>
    </w:p>
    <w:p>
      <w:pPr>
        <w:ind w:left="740" w:hanging="358"/>
        <w:spacing w:after="0" w:line="282" w:lineRule="auto"/>
        <w:tabs>
          <w:tab w:leader="none" w:pos="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 million and $17 million of debt issuance cost discounts as of June 30, 2022 and September 30, 2021, respectively. Additionally, at September 30, 2021, Other included a European short-term loan facility with an outstanding balance of $23 million.</w:t>
      </w:r>
    </w:p>
    <w:p>
      <w:pPr>
        <w:spacing w:after="0" w:line="54" w:lineRule="exact"/>
        <w:rPr>
          <w:sz w:val="20"/>
          <w:szCs w:val="20"/>
          <w:color w:val="auto"/>
        </w:rPr>
      </w:pPr>
    </w:p>
    <w:p>
      <w:pPr>
        <w:ind w:left="380" w:right="1140"/>
        <w:spacing w:after="0" w:line="352" w:lineRule="auto"/>
        <w:rPr>
          <w:sz w:val="20"/>
          <w:szCs w:val="20"/>
          <w:color w:val="auto"/>
        </w:rPr>
      </w:pPr>
      <w:r>
        <w:rPr>
          <w:rFonts w:ascii="Times New Roman" w:cs="Times New Roman" w:eastAsia="Times New Roman" w:hAnsi="Times New Roman"/>
          <w:sz w:val="20"/>
          <w:szCs w:val="20"/>
          <w:color w:val="auto"/>
        </w:rPr>
        <w:t xml:space="preserve">As of June 30, 2022, Ashland had no long-term debt (excluding debt issuance costs) maturing within the next 5 years. </w:t>
      </w:r>
      <w:r>
        <w:rPr>
          <w:rFonts w:ascii="Times New Roman" w:cs="Times New Roman" w:eastAsia="Times New Roman" w:hAnsi="Times New Roman"/>
          <w:sz w:val="20"/>
          <w:szCs w:val="20"/>
          <w:b w:val="1"/>
          <w:bCs w:val="1"/>
          <w:color w:val="auto"/>
        </w:rPr>
        <w:t xml:space="preserve">Accounts Receivable Facilities and Off-Balance Sheet Arrangements </w:t>
      </w:r>
      <w:r>
        <w:rPr>
          <w:rFonts w:ascii="Times New Roman" w:cs="Times New Roman" w:eastAsia="Times New Roman" w:hAnsi="Times New Roman"/>
          <w:sz w:val="20"/>
          <w:szCs w:val="20"/>
          <w:i w:val="1"/>
          <w:iCs w:val="1"/>
          <w:color w:val="auto"/>
        </w:rPr>
        <w:t>U.S. Accounts Receivable Sales Program</w:t>
      </w:r>
    </w:p>
    <w:p>
      <w:pPr>
        <w:spacing w:after="0" w:line="1" w:lineRule="exact"/>
        <w:rPr>
          <w:sz w:val="20"/>
          <w:szCs w:val="20"/>
          <w:color w:val="auto"/>
        </w:rPr>
      </w:pPr>
    </w:p>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Ashland maintains a U.S. Accounts Receivable Sales Program entered into during fiscal 2021. Ashland accounts for the receivables transferred to buyers as sales. Ashland recognizes any gains or losses based on the excess of proceeds received net of buyer’s discounts and fees compared to the carrying value of the assets. Proceeds received, net of buyer’s discounts and fees, are recorded within the operating activities of the Statement of Condensed Consolidated Cash Flows. Losses on sale of assets, including related transaction expenses are recorded within the Net interest and other expense caption of the Statements of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receivable that serves as over-collateralization as a restricted asset.</w:t>
      </w:r>
    </w:p>
    <w:p>
      <w:pPr>
        <w:spacing w:after="0" w:line="68" w:lineRule="exact"/>
        <w:rPr>
          <w:sz w:val="20"/>
          <w:szCs w:val="20"/>
          <w:color w:val="auto"/>
        </w:rPr>
      </w:pPr>
    </w:p>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Ashland recognized a loss of $1 million for the three and nine months ended June 30, 2022 and 2021, respectively, within the net interest and other expense caption of the Statements of Consolidated Comprehensive Income (Loss) associated with sales under the program. Ashland has recorded $50 million in sales at June 30, 2022 against the buyer’s limit, which was $125 million at June 30, 2022 compared to $113 million of sales at September 30, 2021 against the buyer's limit, which was $125 million at September 30, 2021. Ashland transferred $140 million and $167 million in receivables to the special purpose entity as of June 30, 2022 and September 30, 2021, respectively. Ashland recorded liabilities related to its service obligations and limited guarantee as of June 30, 2022 and September 30, 2021 of less than $1 million. As of June 30, 2022, the year-to-date gross cash proceeds received for receivables transferred and derecognized was $205 million, of which $268 million was collected, which included collections from the sales in prior year transferred to the buyer. The difference of $63 million for receivables transferred and derecognized versus collected represents the impact of a net reduction in accounts receivable sales volume during the current year.</w:t>
      </w:r>
    </w:p>
    <w:p>
      <w:pPr>
        <w:spacing w:after="0" w:line="2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91" w:right="719" w:bottom="1440" w:gutter="0" w:footer="0" w:header="0"/>
        </w:sectPr>
      </w:pPr>
    </w:p>
    <w:bookmarkStart w:id="15" w:name="page16"/>
    <w:bookmarkEnd w:id="15"/>
    <w:p>
      <w:pPr>
        <w:ind w:left="380"/>
        <w:spacing w:after="0"/>
        <w:rPr>
          <w:sz w:val="20"/>
          <w:szCs w:val="20"/>
          <w:color w:val="auto"/>
        </w:rPr>
      </w:pPr>
      <w:r>
        <w:rPr>
          <w:rFonts w:ascii="Times New Roman" w:cs="Times New Roman" w:eastAsia="Times New Roman" w:hAnsi="Times New Roman"/>
          <w:sz w:val="20"/>
          <w:szCs w:val="20"/>
          <w:i w:val="1"/>
          <w:iCs w:val="1"/>
          <w:color w:val="auto"/>
        </w:rPr>
        <w:t>Foreign Accounts Receivable Securitization Facility</w:t>
      </w:r>
    </w:p>
    <w:p>
      <w:pPr>
        <w:spacing w:after="0" w:line="112"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Ashland continues to maintain its Foreign 2018 Accounts Receivable Securitization Facility. Ashland accounts for the Foreign 2018 Accounts Receivable Securitization Facility as secured borrowings, and the receivables sold pursuant to the facility are included in the Consolidated Balance Sheets as accounts receivable. Ashland repaid all outstanding borrowings under the facility during the nine months ended June 30, 2022 for a total of $113 million. At June 30, 2022 and September 30, 2021, the outstanding amounts of accounts receivable transferred by Ashland were $159 million and $152 million, respectively, and borrowing (denominated in multiple currencies) under the facility were zero and $117 million, respectively.</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Debt Repayments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2020 Credit Agreement</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During the nine months ended June 30, 2022, Ashland prepaid its Term loan A principal balance of $250 million.</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Other Debt</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During the nine months ended June 30, 2022, Ashland repaid the outstanding balance on its European short-term loan facility for $23 million.</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Available borrowing capacity and liquidity</w:t>
      </w:r>
    </w:p>
    <w:p>
      <w:pPr>
        <w:spacing w:after="0" w:line="112"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The borrowing capacity remaining under the 2020 Credit Agreement which included the $600 million Revolving Credit Facility was $581 million due to an outstanding balance of zero, as well as a reduction of $19 million for letters of credit outstanding as of June 30, 2022. Ashland's total borrowing capacity at June 30, 2022 was $686 million, which included $105 million of available capacity from the Foreign 2018 Accounts Receivable Securitization Facility.</w:t>
      </w:r>
    </w:p>
    <w:p>
      <w:pPr>
        <w:spacing w:after="0" w:line="77"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Additionally, Ashland had $58 million of available liquidity under its current U.S. Accounts Receivable Sales Program as of June 30, 2022.</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Covenants related to current Ashland debt agreements</w:t>
      </w:r>
    </w:p>
    <w:p>
      <w:pPr>
        <w:spacing w:after="0" w:line="112"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June 30, 2022, Ashland is in compliance with all debt agreement covenant restrictions.</w:t>
      </w:r>
    </w:p>
    <w:p>
      <w:pPr>
        <w:spacing w:after="0" w:line="77"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The maximum consolidated net leverage ratio permitted under Ashland's current credit agreement (the 2020 Credit Agreement) is 4.0. At June 30, 2022, Ashland’s calculation of the consolidated net leverage ratio was 1.2.</w:t>
      </w:r>
    </w:p>
    <w:p>
      <w:pPr>
        <w:spacing w:after="0" w:line="51"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The minimum required consolidated interest coverage ratio under the 2020 Credit Agreement during its entire duration is 3.0. At June 30, 2022, Ashland’s calculation of the interest coverage ratio was 9.7.</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I – LEASING ARRANGEMENTS</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Ashland leases certain office buildings, transportation equipment, warehouses and storage facilities, and equipment. Substantially all of Ashland’s leases are operating leases or short-term leases. Real estate leases represented over 80% of the total lease liability at June 30, 2022 and September 30, 2021, respectively.</w:t>
      </w:r>
    </w:p>
    <w:p>
      <w:pPr>
        <w:spacing w:after="0" w:line="7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83" w:right="719" w:bottom="1440" w:gutter="0" w:footer="0" w:header="0"/>
        </w:sectPr>
      </w:pPr>
    </w:p>
    <w:bookmarkStart w:id="16" w:name="page17"/>
    <w:bookmarkEnd w:id="16"/>
    <w:p>
      <w:pPr>
        <w:ind w:left="380"/>
        <w:spacing w:after="0"/>
        <w:rPr>
          <w:sz w:val="20"/>
          <w:szCs w:val="20"/>
          <w:color w:val="auto"/>
        </w:rPr>
      </w:pPr>
      <w:r>
        <w:rPr>
          <w:rFonts w:ascii="Times New Roman" w:cs="Times New Roman" w:eastAsia="Times New Roman" w:hAnsi="Times New Roman"/>
          <w:sz w:val="19"/>
          <w:szCs w:val="19"/>
          <w:color w:val="auto"/>
        </w:rPr>
        <w:t>The components of lease cost recognized within the Statements of Consolidated Comprehensive Income (Loss) were as follows:</w:t>
      </w:r>
    </w:p>
    <w:p>
      <w:pPr>
        <w:sectPr>
          <w:pgSz w:w="11900" w:h="16838" w:orient="portrait"/>
          <w:cols w:equalWidth="0" w:num="1">
            <w:col w:w="11240"/>
          </w:cols>
          <w:pgMar w:left="320" w:top="387" w:right="339" w:bottom="1440" w:gutter="0" w:footer="0" w:header="0"/>
        </w:sectPr>
      </w:pPr>
    </w:p>
    <w:p>
      <w:pPr>
        <w:spacing w:after="0" w:line="13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4894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color w:val="auto"/>
        </w:rPr>
        <w:t>June 30</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-120650</wp:posOffset>
            </wp:positionV>
            <wp:extent cx="16116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June 30</w:t>
      </w:r>
    </w:p>
    <w:p>
      <w:pPr>
        <w:spacing w:after="0" w:line="9" w:lineRule="exact"/>
        <w:rPr>
          <w:sz w:val="20"/>
          <w:szCs w:val="20"/>
          <w:color w:val="auto"/>
        </w:rPr>
      </w:pPr>
    </w:p>
    <w:p>
      <w:pPr>
        <w:sectPr>
          <w:pgSz w:w="11900" w:h="16838" w:orient="portrait"/>
          <w:cols w:equalWidth="0" w:num="2">
            <w:col w:w="8120" w:space="720"/>
            <w:col w:w="2400"/>
          </w:cols>
          <w:pgMar w:left="320" w:top="387" w:right="339" w:bottom="1440" w:gutter="0" w:footer="0" w:header="0"/>
          <w:type w:val="continuous"/>
        </w:sectPr>
      </w:pPr>
    </w:p>
    <w:tbl>
      <w:tblPr>
        <w:tblLayout w:type="fixed"/>
        <w:tblInd w:w="420" w:type="dxa"/>
        <w:tblCellMar>
          <w:top w:w="0" w:type="dxa"/>
          <w:left w:w="0" w:type="dxa"/>
          <w:bottom w:w="0" w:type="dxa"/>
          <w:right w:w="0" w:type="dxa"/>
        </w:tblCellMar>
      </w:tblPr>
      <w:tr>
        <w:trPr>
          <w:trHeight w:val="209"/>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46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Location</w:t>
            </w: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r>
      <w:tr>
        <w:trPr>
          <w:trHeight w:val="210"/>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Selling, General &amp; Administrative </w:t>
            </w:r>
            <w:r>
              <w:rPr>
                <w:rFonts w:ascii="Times New Roman" w:cs="Times New Roman" w:eastAsia="Times New Roman" w:hAnsi="Times New Roman"/>
                <w:sz w:val="14"/>
                <w:szCs w:val="14"/>
                <w:color w:val="auto"/>
              </w:rPr>
              <w:t>(a)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leases</w:t>
            </w:r>
          </w:p>
        </w:tc>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r>
      <w:tr>
        <w:trPr>
          <w:trHeight w:val="249"/>
        </w:trPr>
        <w:tc>
          <w:tcPr>
            <w:tcW w:w="1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4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-25400</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-8255</wp:posOffset>
            </wp:positionV>
            <wp:extent cx="596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65" w:lineRule="exact"/>
        <w:rPr>
          <w:sz w:val="20"/>
          <w:szCs w:val="20"/>
          <w:color w:val="auto"/>
        </w:rPr>
      </w:pPr>
    </w:p>
    <w:p>
      <w:pPr>
        <w:ind w:left="740" w:hanging="358"/>
        <w:spacing w:after="0"/>
        <w:tabs>
          <w:tab w:leader="none" w:pos="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 million lease termination fee for the three and nine months ended June 30, 2022.</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summarizes Ashland’s lease assets and liabilities as presented in the Condensed Consolidated Balance Sheet:</w:t>
      </w:r>
    </w:p>
    <w:p>
      <w:pPr>
        <w:spacing w:after="0" w:line="110"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69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June 30</w:t>
            </w:r>
          </w:p>
        </w:tc>
        <w:tc>
          <w:tcPr>
            <w:tcW w:w="4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330"/>
              <w:spacing w:after="0" w:line="184" w:lineRule="exact"/>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r>
        <w:trPr>
          <w:trHeight w:val="249"/>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r>
        <w:trPr>
          <w:trHeight w:val="197"/>
        </w:trPr>
        <w:tc>
          <w:tcPr>
            <w:tcW w:w="6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10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69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-745490</wp:posOffset>
            </wp:positionV>
            <wp:extent cx="1200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-728345</wp:posOffset>
            </wp:positionV>
            <wp:extent cx="1200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1200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5" w:lineRule="exact"/>
        <w:rPr>
          <w:sz w:val="20"/>
          <w:szCs w:val="20"/>
          <w:color w:val="auto"/>
        </w:rPr>
      </w:pPr>
    </w:p>
    <w:p>
      <w:pPr>
        <w:jc w:val="both"/>
        <w:ind w:left="380" w:right="380"/>
        <w:spacing w:after="0" w:line="243" w:lineRule="auto"/>
        <w:rPr>
          <w:sz w:val="20"/>
          <w:szCs w:val="20"/>
          <w:color w:val="auto"/>
        </w:rPr>
      </w:pPr>
      <w:r>
        <w:rPr>
          <w:rFonts w:ascii="Times New Roman" w:cs="Times New Roman" w:eastAsia="Times New Roman" w:hAnsi="Times New Roman"/>
          <w:sz w:val="20"/>
          <w:szCs w:val="20"/>
          <w:color w:val="auto"/>
        </w:rPr>
        <w:t>Ashland often has options to renew lease terms for buildings and other assets. The exercise of lease renewal options are generally at Ashland’s sole discretion. In addition, certain lease arrangements may be terminated prior to their original expiration date at Ashland’s discretion. Ashland evaluates renewal and termination options at the lease commencement date to determine if it is reasonably certain to exercise the option on the basis of economic factors. The weighted average remaining lease term for operating leases as of June 30, 2022 and September 30, 2021 was approximately 15 years for each period.</w:t>
      </w:r>
    </w:p>
    <w:p>
      <w:pPr>
        <w:spacing w:after="0" w:line="78" w:lineRule="exact"/>
        <w:rPr>
          <w:sz w:val="20"/>
          <w:szCs w:val="20"/>
          <w:color w:val="auto"/>
        </w:rPr>
      </w:pPr>
    </w:p>
    <w:p>
      <w:pPr>
        <w:jc w:val="both"/>
        <w:ind w:left="380" w:right="380"/>
        <w:spacing w:after="0" w:line="241" w:lineRule="auto"/>
        <w:rPr>
          <w:sz w:val="20"/>
          <w:szCs w:val="20"/>
          <w:color w:val="auto"/>
        </w:rPr>
      </w:pPr>
      <w:r>
        <w:rPr>
          <w:rFonts w:ascii="Times New Roman" w:cs="Times New Roman" w:eastAsia="Times New Roman" w:hAnsi="Times New Roman"/>
          <w:sz w:val="20"/>
          <w:szCs w:val="20"/>
          <w:color w:val="auto"/>
        </w:rPr>
        <w:t>Residual value guarantees are not common within Ashland’s lease agreements nor are restrictions or covenants imposed by leases. Ashland has elected the practical expedient to combine lease and non-lease components. The discount rate implicit within the leases is generally not determinable. Therefore, Ashland determines the discount rate based on its incremental borrowing rate. The incremental borrowing rate is determined using a buildup method resulting in an estimated range of secured borrowing rates matching the lease term and the currency of the jurisdiction in which lease payments are made, adjusted for impacts of collateral. Consideration was given to Ashland’s own relevant debt issuances as well as debt instruments of comparable companies with similar credit characteristics. The weighted average discount rate used to measure operating lease liabilities as of June 30, 2022 and September 30, 2021 was 2.8%, respectively. There are no leases that have not yet commenced but that create significant rights and obligations.</w:t>
      </w:r>
    </w:p>
    <w:p>
      <w:pPr>
        <w:spacing w:after="0" w:line="82"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0"/>
          <w:szCs w:val="20"/>
          <w:color w:val="auto"/>
        </w:rPr>
        <w:t>Right-of-use assets exchanged for new operating lease obligations were $7 million and $6 million for the three months ended June 30, 2022 and 2021, respectively, and $11 million and $16 million for the nine months ended June 30, 2022 and 2021. This includes $1 million of right-of-use assets and operating lease obligations recorded as a result of the purchase of the Schülke personal care business during the three and nine months ended June 30, 2021.</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cash paid for amounts included in the measurement of operating lease liabilities: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gridSpan w:val="4"/>
          </w:tcPr>
          <w:p>
            <w:pPr>
              <w:jc w:val="center"/>
              <w:ind w:left="11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510"/>
              <w:spacing w:after="0"/>
              <w:rPr>
                <w:sz w:val="20"/>
                <w:szCs w:val="20"/>
                <w:color w:val="auto"/>
              </w:rPr>
            </w:pPr>
            <w:r>
              <w:rPr>
                <w:rFonts w:ascii="Times New Roman" w:cs="Times New Roman" w:eastAsia="Times New Roman" w:hAnsi="Times New Roman"/>
                <w:sz w:val="18"/>
                <w:szCs w:val="18"/>
                <w:color w:val="auto"/>
                <w:w w:val="97"/>
              </w:rPr>
              <w:t>June 30</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0"/>
        </w:trPr>
        <w:tc>
          <w:tcPr>
            <w:tcW w:w="4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4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40" w:type="dxa"/>
            <w:vAlign w:val="bottom"/>
            <w:tcBorders>
              <w:top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526"/>
        </w:trPr>
        <w:tc>
          <w:tcPr>
            <w:tcW w:w="4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410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17" w:name="page18"/>
    <w:bookmarkEnd w:id="17"/>
    <w:p>
      <w:pPr>
        <w:ind w:left="380"/>
        <w:spacing w:after="0"/>
        <w:rPr>
          <w:sz w:val="20"/>
          <w:szCs w:val="20"/>
          <w:color w:val="auto"/>
        </w:rPr>
      </w:pPr>
      <w:r>
        <w:rPr>
          <w:rFonts w:ascii="Times New Roman" w:cs="Times New Roman" w:eastAsia="Times New Roman" w:hAnsi="Times New Roman"/>
          <w:sz w:val="20"/>
          <w:szCs w:val="20"/>
          <w:color w:val="auto"/>
        </w:rPr>
        <w:t>The following table summarizes Ashland's maturities of lease liabilities as of June 30, 2022 and September 30, 2021:</w:t>
      </w:r>
    </w:p>
    <w:p>
      <w:pPr>
        <w:spacing w:after="0" w:line="110"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69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June 30</w:t>
            </w:r>
          </w:p>
        </w:tc>
        <w:tc>
          <w:tcPr>
            <w:tcW w:w="4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330"/>
              <w:spacing w:after="0" w:line="184" w:lineRule="exact"/>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6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09"/>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Less amount of lease payment representing interest</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49"/>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present value of lease payments</w:t>
            </w: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1200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1200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J – INCOME TAXES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Current fiscal year</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Ashland’s effective tax rate in any interim period is subject to adjustments related to discrete items and the mix of domestic and foreign operating results. The overall effective tax rate was 2% and 17% for the three and nine months ended June 30, 2022.</w:t>
      </w:r>
    </w:p>
    <w:p>
      <w:pPr>
        <w:spacing w:after="0" w:line="51"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The current quarter tax rate was impacted by jurisdictional income mix, as well as a net $1 million benefit primarily from favorable return to provision adjustments for certain jurisdictions. The current nine month tax rate was impacted by jurisdictional income mix as well as $3 million from net unfavorable tax discrete items primarily related to restructuring and separation activity partially offset by a favorable valuation adjustment for certain foreign tax credits and adjustments to uncertain positions.</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Prior fiscal year</w:t>
      </w:r>
    </w:p>
    <w:p>
      <w:pPr>
        <w:spacing w:after="0" w:line="112"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The overall effective tax rate was a benefit of 57% for the three months ended June 30, 2021 and a benefit of 34% for the nine months ended June 30, 2021. The quarter tax rate was primarily impacted by jurisdictional income mix, as well as $33 million from favorable tax discrete items primarily related to uncertain tax positions. The nine months tax rate impacted by $52 million from favorable tax discrete items primarily related to the Specialty Additives facility sale and uncertain tax positions.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Unrecognized tax benefits</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Changes in unrecognized tax benefits are summarized as follows for the nine months ended June 30, 2022.</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66262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7" w:lineRule="exact"/>
        <w:rPr>
          <w:sz w:val="20"/>
          <w:szCs w:val="20"/>
          <w:color w:val="auto"/>
        </w:rPr>
      </w:pPr>
    </w:p>
    <w:tbl>
      <w:tblPr>
        <w:tblLayout w:type="fixed"/>
        <w:tblInd w:w="420" w:type="dxa"/>
        <w:tblCellMar>
          <w:top w:w="0" w:type="dxa"/>
          <w:left w:w="0" w:type="dxa"/>
          <w:bottom w:w="0" w:type="dxa"/>
          <w:right w:w="0" w:type="dxa"/>
        </w:tblCellMar>
      </w:tblPr>
      <w:tr>
        <w:trPr>
          <w:trHeight w:val="209"/>
        </w:trPr>
        <w:tc>
          <w:tcPr>
            <w:tcW w:w="8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October 1, 2021</w:t>
            </w:r>
          </w:p>
        </w:tc>
        <w:tc>
          <w:tcPr>
            <w:tcW w:w="1060" w:type="dxa"/>
            <w:vAlign w:val="bottom"/>
            <w:tcBorders>
              <w:top w:val="single" w:sz="8" w:color="auto"/>
            </w:tcBorders>
            <w:shd w:val="clear" w:color="auto" w:fill="CFF0FC"/>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positions taken in the current year</w:t>
            </w:r>
          </w:p>
        </w:tc>
        <w:tc>
          <w:tcPr>
            <w:tcW w:w="10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0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06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8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5"/>
        </w:trPr>
        <w:tc>
          <w:tcPr>
            <w:tcW w:w="8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bl>
    <w:p>
      <w:pPr>
        <w:spacing w:after="0" w:line="85"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9"/>
          <w:szCs w:val="19"/>
          <w:color w:val="auto"/>
        </w:rPr>
        <w:t>From a combination of statute expirations and audit settlements in the next twelve months, Ashland expects a decrease in the amount accrued for uncertain tax positions of between $6 million and $16 million. It is reasonably possible that there could be other material changes to the amount of uncertain tax positions due to activities of the taxing authorities, settlement of audit issues or the reassessment of existing uncertain tax positions; however, Ashland is not able to estimate the impact of these items at this time.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K - EMPLOYEE BENEFIT PLANS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Plan contributions</w:t>
      </w:r>
    </w:p>
    <w:p>
      <w:pPr>
        <w:spacing w:after="0" w:line="112"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color w:val="auto"/>
        </w:rPr>
        <w:t>For the nine months ended June 30, 2022, Ashland contributed $4 million to its non-U.S. pension plans and less than $1 million to its U.S. pension plans. Ashland expects to make additional contributions of approximately $1 million to its non-U.S. and less than $1 million to its U.S. pension plans during the remainder of fiscal 2022.</w:t>
      </w:r>
    </w:p>
    <w:p>
      <w:pPr>
        <w:spacing w:after="0" w:line="7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89" w:right="719" w:bottom="1440" w:gutter="0" w:footer="0" w:header="0"/>
        </w:sectPr>
      </w:pPr>
    </w:p>
    <w:bookmarkStart w:id="18" w:name="page19"/>
    <w:bookmarkEnd w:id="18"/>
    <w:p>
      <w:pPr>
        <w:ind w:left="380"/>
        <w:spacing w:after="0"/>
        <w:rPr>
          <w:sz w:val="20"/>
          <w:szCs w:val="20"/>
          <w:color w:val="auto"/>
        </w:rPr>
      </w:pPr>
      <w:r>
        <w:rPr>
          <w:rFonts w:ascii="Times New Roman" w:cs="Times New Roman" w:eastAsia="Times New Roman" w:hAnsi="Times New Roman"/>
          <w:sz w:val="20"/>
          <w:szCs w:val="20"/>
          <w:b w:val="1"/>
          <w:bCs w:val="1"/>
          <w:color w:val="auto"/>
        </w:rPr>
        <w:t>Plan Remeasurements</w:t>
      </w:r>
    </w:p>
    <w:p>
      <w:pPr>
        <w:spacing w:after="0" w:line="112" w:lineRule="exact"/>
        <w:rPr>
          <w:sz w:val="20"/>
          <w:szCs w:val="20"/>
          <w:color w:val="auto"/>
        </w:rPr>
      </w:pPr>
    </w:p>
    <w:p>
      <w:pPr>
        <w:jc w:val="both"/>
        <w:ind w:left="380"/>
        <w:spacing w:after="0" w:line="259" w:lineRule="auto"/>
        <w:rPr>
          <w:sz w:val="20"/>
          <w:szCs w:val="20"/>
          <w:color w:val="auto"/>
        </w:rPr>
      </w:pPr>
      <w:r>
        <w:rPr>
          <w:rFonts w:ascii="Times New Roman" w:cs="Times New Roman" w:eastAsia="Times New Roman" w:hAnsi="Times New Roman"/>
          <w:sz w:val="19"/>
          <w:szCs w:val="19"/>
          <w:color w:val="auto"/>
        </w:rPr>
        <w:t>Following the completion of the sale of its Performance Adhesives business segment on February 28, 2022, the post-retirement benefits for approximately 40 employees transferred to Arkema, all of whom participated in a non-contributory defined benefit plan in the U.S., were frozen. This resulted in a decrease in total expected future years of service within the plan and required Ashland to remeasure the plan as February 28, 2022. As a result, Ashland recorded a $1 million actuarial gain within the other net periodic benefits loss caption of the Statements of Consolidated Comprehensive Income (Loss) for the nine months ended June 30, 2022.</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Components of net periodic benefit costs (income)</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details the components of pension and other postretirement benefit costs for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130175</wp:posOffset>
            </wp:positionV>
            <wp:extent cx="93980" cy="2997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6816090</wp:posOffset>
            </wp:positionH>
            <wp:positionV relativeFrom="paragraph">
              <wp:posOffset>130175</wp:posOffset>
            </wp:positionV>
            <wp:extent cx="85090" cy="2997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090" cy="299720"/>
                    </a:xfrm>
                    <a:prstGeom prst="rect">
                      <a:avLst/>
                    </a:prstGeom>
                    <a:noFill/>
                  </pic:spPr>
                </pic:pic>
              </a:graphicData>
            </a:graphic>
          </wp:anchor>
        </w:drawing>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3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5"/>
          </w:tcPr>
          <w:p>
            <w:pPr>
              <w:jc w:val="right"/>
              <w:ind w:right="870"/>
              <w:spacing w:after="0" w:line="184" w:lineRule="exact"/>
              <w:rPr>
                <w:sz w:val="20"/>
                <w:szCs w:val="20"/>
                <w:color w:val="auto"/>
              </w:rPr>
            </w:pPr>
            <w:r>
              <w:rPr>
                <w:rFonts w:ascii="Times New Roman" w:cs="Times New Roman" w:eastAsia="Times New Roman" w:hAnsi="Times New Roman"/>
                <w:sz w:val="18"/>
                <w:szCs w:val="18"/>
                <w:color w:val="auto"/>
              </w:rPr>
              <w:t>Other postretirement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Pension benefits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benefits</w:t>
            </w: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7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net periodic benefit costs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7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Nine months ended June 30</w:t>
            </w: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7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net periodic benefit costs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CFF0FC"/>
            </w:tcBorders>
            <w:gridSpan w:val="2"/>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-1028065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-1028065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-1028065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-1028065</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-170815</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5"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For segment reporting purposes, service cost is proportionately allocated to each segment, excluding the Unallocated and other segment, and is recorded within the selling, general and administrative expense and cost of sales captions on the Statements of Consolidated Comprehensive Income (Loss). All other components are recorded within the other net periodic benefit loss caption on the Statements of Consolidated Comprehensive Income (Loss), which netted to $1 million and zero for the three and nine months ended June 30, 2022, respectively, and zero for both the three and nine months ended June 30, 2021,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L – LITIGATION, CLAIMS AND CONTINGENCIES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Asbestos litigation</w:t>
      </w:r>
    </w:p>
    <w:p>
      <w:pPr>
        <w:spacing w:after="0" w:line="112"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8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83" w:right="719" w:bottom="1440" w:gutter="0" w:footer="0" w:header="0"/>
        </w:sectPr>
      </w:pPr>
    </w:p>
    <w:bookmarkStart w:id="19" w:name="page20"/>
    <w:bookmarkEnd w:id="19"/>
    <w:p>
      <w:pPr>
        <w:jc w:val="both"/>
        <w:spacing w:after="0" w:line="241" w:lineRule="auto"/>
        <w:rPr>
          <w:sz w:val="20"/>
          <w:szCs w:val="20"/>
          <w:color w:val="auto"/>
        </w:rPr>
      </w:pPr>
      <w:r>
        <w:rPr>
          <w:rFonts w:ascii="Times New Roman" w:cs="Times New Roman" w:eastAsia="Times New Roman" w:hAnsi="Times New Roman"/>
          <w:sz w:val="20"/>
          <w:szCs w:val="20"/>
          <w:color w:val="auto"/>
        </w:rPr>
        <w:t>To assist in developing and annually updating independent reserve estimates for future asbestos claims and related costs given various assumptions for Ashland and Hercules asbestos claims, Ashland retained third party actuarial experts Gnarus. The methodology used by Gnarus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asbestos-related litigation</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follows.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2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4"/>
          </w:tcPr>
          <w:p>
            <w:pPr>
              <w:jc w:val="center"/>
              <w:ind w:left="17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7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rPr>
              <w:t>June 30</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3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beginning of year</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New claims filed</w:t>
            </w:r>
          </w:p>
        </w:tc>
        <w:tc>
          <w:tcPr>
            <w:tcW w:w="7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settled</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Claims dismissed</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9"/>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end of period</w:t>
            </w:r>
          </w:p>
        </w:tc>
        <w:tc>
          <w:tcPr>
            <w:tcW w:w="740" w:type="dxa"/>
            <w:vAlign w:val="bottom"/>
            <w:tcBorders>
              <w:top w:val="single" w:sz="8" w:color="auto"/>
              <w:bottom w:val="single" w:sz="8" w:color="auto"/>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3415665</wp:posOffset>
            </wp:positionH>
            <wp:positionV relativeFrom="paragraph">
              <wp:posOffset>-25400</wp:posOffset>
            </wp:positionV>
            <wp:extent cx="946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3415665</wp:posOffset>
            </wp:positionH>
            <wp:positionV relativeFrom="paragraph">
              <wp:posOffset>-8255</wp:posOffset>
            </wp:positionV>
            <wp:extent cx="946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-25400</wp:posOffset>
            </wp:positionV>
            <wp:extent cx="939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-8255</wp:posOffset>
            </wp:positionV>
            <wp:extent cx="939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5095875</wp:posOffset>
            </wp:positionH>
            <wp:positionV relativeFrom="paragraph">
              <wp:posOffset>-25400</wp:posOffset>
            </wp:positionV>
            <wp:extent cx="946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5095875</wp:posOffset>
            </wp:positionH>
            <wp:positionV relativeFrom="paragraph">
              <wp:posOffset>-8255</wp:posOffset>
            </wp:positionV>
            <wp:extent cx="946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5875655</wp:posOffset>
            </wp:positionH>
            <wp:positionV relativeFrom="paragraph">
              <wp:posOffset>-25400</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5875655</wp:posOffset>
            </wp:positionH>
            <wp:positionV relativeFrom="paragraph">
              <wp:posOffset>-8255</wp:posOffset>
            </wp:positionV>
            <wp:extent cx="857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asbestos-related liability</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40-year model developed with the assistance of Gnarus.</w:t>
      </w:r>
    </w:p>
    <w:p>
      <w:pPr>
        <w:spacing w:after="0" w:line="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During the most recent annual update of this estimate completed during the June 2022 fiscal quarter, it was determined that the liability for Ashland asbestos-related claims should be increased by $16 million. Total reserves for asbestos claims were $310 million at June 30, 2022 compared to $320 million at September 30, 2021.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progression of activity in the asbestos reserve is presented in the following table.</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26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Nine months ended</w:t>
            </w: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6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June 30</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Asbestos reserve - beginning of year</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94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335</w:t>
            </w:r>
          </w:p>
        </w:tc>
        <w:tc>
          <w:tcPr>
            <w:tcW w:w="84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w:t>
            </w:r>
          </w:p>
        </w:tc>
        <w:tc>
          <w:tcPr>
            <w:tcW w:w="66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paid</w:t>
            </w:r>
          </w:p>
        </w:tc>
        <w:tc>
          <w:tcPr>
            <w:tcW w:w="6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Asbestos reserve - end of period </w:t>
            </w:r>
            <w:r>
              <w:rPr>
                <w:rFonts w:ascii="Times New Roman" w:cs="Times New Roman" w:eastAsia="Times New Roman" w:hAnsi="Times New Roman"/>
                <w:sz w:val="14"/>
                <w:szCs w:val="14"/>
                <w:color w:val="auto"/>
              </w:rPr>
              <w:t>(a)</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9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326</w:t>
            </w:r>
          </w:p>
        </w:tc>
        <w:tc>
          <w:tcPr>
            <w:tcW w:w="8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3415665</wp:posOffset>
            </wp:positionH>
            <wp:positionV relativeFrom="paragraph">
              <wp:posOffset>-265430</wp:posOffset>
            </wp:positionV>
            <wp:extent cx="1028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-265430</wp:posOffset>
            </wp:positionV>
            <wp:extent cx="1028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-265430</wp:posOffset>
            </wp:positionV>
            <wp:extent cx="939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5867400</wp:posOffset>
            </wp:positionH>
            <wp:positionV relativeFrom="paragraph">
              <wp:posOffset>-265430</wp:posOffset>
            </wp:positionV>
            <wp:extent cx="946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06" w:lineRule="exact"/>
        <w:rPr>
          <w:sz w:val="20"/>
          <w:szCs w:val="20"/>
          <w:color w:val="auto"/>
        </w:rPr>
      </w:pPr>
    </w:p>
    <w:p>
      <w:pPr>
        <w:ind w:left="360" w:hanging="358"/>
        <w:spacing w:after="0"/>
        <w:tabs>
          <w:tab w:leader="none" w:pos="3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$29 million classified in accrued expenses and other liabilities on the Condensed Consolidated Balance Sheets as of June 30, 2022 and September 30,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asbestos-related receivables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87" w:right="719" w:bottom="1440" w:gutter="0" w:footer="0" w:header="0"/>
        </w:sectPr>
      </w:pPr>
    </w:p>
    <w:bookmarkStart w:id="20" w:name="page21"/>
    <w:bookmarkEnd w:id="20"/>
    <w:p>
      <w:pPr>
        <w:jc w:val="both"/>
        <w:spacing w:after="0" w:line="249" w:lineRule="auto"/>
        <w:rPr>
          <w:sz w:val="20"/>
          <w:szCs w:val="20"/>
          <w:color w:val="auto"/>
        </w:rPr>
      </w:pPr>
      <w:r>
        <w:rPr>
          <w:rFonts w:ascii="Times New Roman" w:cs="Times New Roman" w:eastAsia="Times New Roman" w:hAnsi="Times New Roman"/>
          <w:sz w:val="20"/>
          <w:szCs w:val="20"/>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A substantial portion of the estimated receivables from insurance companies are expected to be due from domestic insurers.</w:t>
      </w:r>
    </w:p>
    <w:p>
      <w:pPr>
        <w:spacing w:after="0" w:line="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At June 30, 2022, Ashland’s receivable for recoveries of litigation defense and claim settlement costs from insurers amounted to $102 million (excluding the Hercules receivable for asbestos claims) compared to $100 million at September 30, 2021. During the June 2022 fiscal quarter, the annual update of the model used for purposes of valuing the asbestos reserve and its impact on valuation of future recoveries from insurers was completed. This model update resulted in a $7 million increase in the receivable for probable insurance recoveries.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progression of activity in the Ashland insurance receivable is presented in the following table.</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26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Nine months ended</w:t>
            </w: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6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June 30</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Insurance receivable - beginning of year</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8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Receivable adjustment </w:t>
            </w:r>
            <w:r>
              <w:rPr>
                <w:rFonts w:ascii="Times New Roman" w:cs="Times New Roman" w:eastAsia="Times New Roman" w:hAnsi="Times New Roman"/>
                <w:sz w:val="14"/>
                <w:szCs w:val="14"/>
                <w:color w:val="auto"/>
              </w:rPr>
              <w:t>(a)</w:t>
            </w:r>
          </w:p>
        </w:tc>
        <w:tc>
          <w:tcPr>
            <w:tcW w:w="6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Insurance settlement</w:t>
            </w:r>
          </w:p>
        </w:tc>
        <w:tc>
          <w:tcPr>
            <w:tcW w:w="66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collected</w:t>
            </w:r>
          </w:p>
        </w:tc>
        <w:tc>
          <w:tcPr>
            <w:tcW w:w="6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Insurance receivable - end of period </w:t>
            </w:r>
            <w:r>
              <w:rPr>
                <w:rFonts w:ascii="Times New Roman" w:cs="Times New Roman" w:eastAsia="Times New Roman" w:hAnsi="Times New Roman"/>
                <w:sz w:val="14"/>
                <w:szCs w:val="14"/>
                <w:color w:val="auto"/>
              </w:rPr>
              <w:t>(b)</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8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3415665</wp:posOffset>
            </wp:positionH>
            <wp:positionV relativeFrom="paragraph">
              <wp:posOffset>-264795</wp:posOffset>
            </wp:positionV>
            <wp:extent cx="1028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-264795</wp:posOffset>
            </wp:positionV>
            <wp:extent cx="1028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-264795</wp:posOffset>
            </wp:positionV>
            <wp:extent cx="939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5867400</wp:posOffset>
            </wp:positionH>
            <wp:positionV relativeFrom="paragraph">
              <wp:posOffset>-264795</wp:posOffset>
            </wp:positionV>
            <wp:extent cx="946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65" w:lineRule="exact"/>
        <w:rPr>
          <w:sz w:val="20"/>
          <w:szCs w:val="20"/>
          <w:color w:val="auto"/>
        </w:rPr>
      </w:pPr>
    </w:p>
    <w:p>
      <w:pPr>
        <w:ind w:left="360" w:hanging="358"/>
        <w:spacing w:after="0" w:line="282" w:lineRule="auto"/>
        <w:tabs>
          <w:tab w:leader="none" w:pos="3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nine months ended June 30, 2021 includes a reserve adjustment of $2 million related to allowances for credit losses as a result of Ashland’s adoption of the new credit measurement standard. The total allowance for credit losses was $2 million as of June 30, 2022.</w:t>
      </w:r>
    </w:p>
    <w:p>
      <w:pPr>
        <w:spacing w:after="0" w:line="26"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 million classified in accounts receivable on the Condensed Consolidated Balance Sheets as of June 30, 2022 and September 30, 2021.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Hercules asbestos-related litigation</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12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7"/>
              </w:rPr>
              <w:t>June 30</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3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beginning of year</w:t>
            </w: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New claims filed</w:t>
            </w:r>
          </w:p>
        </w:tc>
        <w:tc>
          <w:tcPr>
            <w:tcW w:w="780" w:type="dxa"/>
            <w:vAlign w:val="bottom"/>
          </w:tcPr>
          <w:p>
            <w:pPr>
              <w:spacing w:after="0"/>
              <w:rPr>
                <w:sz w:val="18"/>
                <w:szCs w:val="18"/>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dismissed</w:t>
            </w:r>
          </w:p>
        </w:tc>
        <w:tc>
          <w:tcPr>
            <w:tcW w:w="7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Open claims - end of period</w:t>
            </w:r>
          </w:p>
        </w:tc>
        <w:tc>
          <w:tcPr>
            <w:tcW w:w="780" w:type="dxa"/>
            <w:vAlign w:val="bottom"/>
          </w:tcPr>
          <w:p>
            <w:pPr>
              <w:spacing w:after="0"/>
              <w:rPr>
                <w:sz w:val="18"/>
                <w:szCs w:val="18"/>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-265430</wp:posOffset>
            </wp:positionV>
            <wp:extent cx="1028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-265430</wp:posOffset>
            </wp:positionV>
            <wp:extent cx="1028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-265430</wp:posOffset>
            </wp:positionV>
            <wp:extent cx="9461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-265430</wp:posOffset>
            </wp:positionV>
            <wp:extent cx="93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Hercules asbestos-related liability</w:t>
      </w:r>
    </w:p>
    <w:p>
      <w:pPr>
        <w:spacing w:after="0" w:line="1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40-year model developed with the assistance of Gnarus. As a result of the most recent annual update of this estimate, completed during the June 2022 fiscal quarter, it was determined that the liability for Hercules asbestos-related claims should be increased by $15 million. Total reserves for asbestos claims were $220 million at June 30, 2022 compared to $217 million at September 30, 2021.</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87" w:right="7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color w:val="auto"/>
        </w:rPr>
        <w:t>A progression of activity in the asbestos reserve is presented in the following table.</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26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Nine months ended</w:t>
            </w: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6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June 30</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0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Asbestos reserve - beginning of year</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94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86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229</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adjustments</w:t>
            </w:r>
          </w:p>
        </w:tc>
        <w:tc>
          <w:tcPr>
            <w:tcW w:w="66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paid</w:t>
            </w:r>
          </w:p>
        </w:tc>
        <w:tc>
          <w:tcPr>
            <w:tcW w:w="6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(20 )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Asbestos reserve - end of period </w:t>
            </w:r>
            <w:r>
              <w:rPr>
                <w:rFonts w:ascii="Times New Roman" w:cs="Times New Roman" w:eastAsia="Times New Roman" w:hAnsi="Times New Roman"/>
                <w:sz w:val="14"/>
                <w:szCs w:val="14"/>
                <w:color w:val="auto"/>
              </w:rPr>
              <w:t>(a)</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9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8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217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3415665</wp:posOffset>
            </wp:positionH>
            <wp:positionV relativeFrom="paragraph">
              <wp:posOffset>-264795</wp:posOffset>
            </wp:positionV>
            <wp:extent cx="1028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-264795</wp:posOffset>
            </wp:positionV>
            <wp:extent cx="1028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-264795</wp:posOffset>
            </wp:positionV>
            <wp:extent cx="939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5867400</wp:posOffset>
            </wp:positionH>
            <wp:positionV relativeFrom="paragraph">
              <wp:posOffset>-264795</wp:posOffset>
            </wp:positionV>
            <wp:extent cx="946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65" w:lineRule="exact"/>
        <w:rPr>
          <w:sz w:val="20"/>
          <w:szCs w:val="20"/>
          <w:color w:val="auto"/>
        </w:rPr>
      </w:pPr>
    </w:p>
    <w:p>
      <w:pPr>
        <w:ind w:left="360" w:hanging="358"/>
        <w:spacing w:after="0"/>
        <w:tabs>
          <w:tab w:leader="none" w:pos="3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$18 million classified in accrued expenses and other liabilities on the Condensed Consolidated Balance Sheets as of June 30, 2022 and September 30, 2021.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Hercules asbestos-related receivables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For the Hercules asbestos-related obligations, certain reimbursement obligations pursuant to coverage-in-place agreements with insurance carriers exist.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of June 30, 2022, Ashland’s receivable for recoveries of litigation defense and claims costs from insurers with respect to Hercules amounted to $53 million. During fiscal year 2022, the annual update of the model used for purposes of valuing the asbestos reserve and its impact on valuation of future recoveries from insurers was completed. This model update resulted in an increase of $7 million in the receivable for probable insurance recoveries.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progression of activity in the Hercules insurance receivable is presented in the following table.</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0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Nine months ended</w:t>
            </w: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7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June 30</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receivable - beginning of year</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96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94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Receivable adjustment </w:t>
            </w:r>
            <w:r>
              <w:rPr>
                <w:rFonts w:ascii="Times New Roman" w:cs="Times New Roman" w:eastAsia="Times New Roman" w:hAnsi="Times New Roman"/>
                <w:sz w:val="14"/>
                <w:szCs w:val="14"/>
                <w:color w:val="auto"/>
              </w:rPr>
              <w:t>(a)</w:t>
            </w:r>
          </w:p>
        </w:tc>
        <w:tc>
          <w:tcPr>
            <w:tcW w:w="760" w:type="dxa"/>
            <w:vAlign w:val="bottom"/>
          </w:tcPr>
          <w:p>
            <w:pPr>
              <w:spacing w:after="0"/>
              <w:rPr>
                <w:sz w:val="18"/>
                <w:szCs w:val="18"/>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collected</w:t>
            </w:r>
          </w:p>
        </w:tc>
        <w:tc>
          <w:tcPr>
            <w:tcW w:w="7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Insurance receivable - end of period </w:t>
            </w:r>
            <w:r>
              <w:rPr>
                <w:rFonts w:ascii="Times New Roman" w:cs="Times New Roman" w:eastAsia="Times New Roman" w:hAnsi="Times New Roman"/>
                <w:sz w:val="14"/>
                <w:szCs w:val="14"/>
                <w:color w:val="auto"/>
              </w:rPr>
              <w:t>(b)</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9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-265430</wp:posOffset>
            </wp:positionV>
            <wp:extent cx="1028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-265430</wp:posOffset>
            </wp:positionV>
            <wp:extent cx="1028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-265430</wp:posOffset>
            </wp:positionV>
            <wp:extent cx="939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5833110</wp:posOffset>
            </wp:positionH>
            <wp:positionV relativeFrom="paragraph">
              <wp:posOffset>-265430</wp:posOffset>
            </wp:positionV>
            <wp:extent cx="939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65" w:lineRule="exact"/>
        <w:rPr>
          <w:sz w:val="20"/>
          <w:szCs w:val="20"/>
          <w:color w:val="auto"/>
        </w:rPr>
      </w:pPr>
    </w:p>
    <w:p>
      <w:pPr>
        <w:ind w:left="360" w:hanging="358"/>
        <w:spacing w:after="0" w:line="302" w:lineRule="auto"/>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nine months ended June 30, 2021 includes a reserve adjustment of $1 million related to allowances for credit losses as a result of Ashland’s adoption of the new credit measurement standard. The total allowance for credit losses was $1 million as of June 30, 2022.</w:t>
      </w:r>
    </w:p>
    <w:p>
      <w:pPr>
        <w:spacing w:after="0" w:line="80"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 million and $1 million classified in accounts receivable on the Condensed Consolidated Balance Sheets as of June 30, 2022 and September 30, 2021, respectively.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87" w:right="719" w:bottom="1440" w:gutter="0" w:footer="0" w:header="0"/>
        </w:sectPr>
      </w:pPr>
    </w:p>
    <w:bookmarkStart w:id="22" w:name="page23"/>
    <w:bookmarkEnd w:id="22"/>
    <w:p>
      <w:pPr>
        <w:ind w:left="380"/>
        <w:spacing w:after="0"/>
        <w:rPr>
          <w:sz w:val="20"/>
          <w:szCs w:val="20"/>
          <w:color w:val="auto"/>
        </w:rPr>
      </w:pPr>
      <w:r>
        <w:rPr>
          <w:rFonts w:ascii="Times New Roman" w:cs="Times New Roman" w:eastAsia="Times New Roman" w:hAnsi="Times New Roman"/>
          <w:sz w:val="20"/>
          <w:szCs w:val="20"/>
          <w:i w:val="1"/>
          <w:iCs w:val="1"/>
          <w:color w:val="auto"/>
        </w:rPr>
        <w:t>Asbestos litigation cost projection</w:t>
      </w:r>
    </w:p>
    <w:p>
      <w:pPr>
        <w:spacing w:after="0" w:line="112" w:lineRule="exact"/>
        <w:rPr>
          <w:sz w:val="20"/>
          <w:szCs w:val="20"/>
          <w:color w:val="auto"/>
        </w:rPr>
      </w:pPr>
    </w:p>
    <w:p>
      <w:pPr>
        <w:jc w:val="both"/>
        <w:ind w:left="380" w:right="380"/>
        <w:spacing w:after="0" w:line="238" w:lineRule="auto"/>
        <w:rPr>
          <w:sz w:val="20"/>
          <w:szCs w:val="20"/>
          <w:color w:val="auto"/>
        </w:rPr>
      </w:pPr>
      <w:r>
        <w:rPr>
          <w:rFonts w:ascii="Times New Roman" w:cs="Times New Roman" w:eastAsia="Times New Roman" w:hAnsi="Times New Roman"/>
          <w:sz w:val="20"/>
          <w:szCs w:val="20"/>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Considering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year periods that it is reasonably possible that total future litigation defense and claim settlement costs on an inflated and undiscounted basis could range as high as approximately $456 million for the Ashland asbestos-related litigation (current reserve of $310 million) and approximately $317 million for the Hercules asbestos-related litigation (current reserve of $220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Environmental remediation and asset retirement obligations</w:t>
      </w:r>
    </w:p>
    <w:p>
      <w:pPr>
        <w:spacing w:after="0" w:line="112" w:lineRule="exact"/>
        <w:rPr>
          <w:sz w:val="20"/>
          <w:szCs w:val="20"/>
          <w:color w:val="auto"/>
        </w:rPr>
      </w:pPr>
    </w:p>
    <w:p>
      <w:pPr>
        <w:jc w:val="both"/>
        <w:ind w:left="380" w:right="380"/>
        <w:spacing w:after="0" w:line="243" w:lineRule="auto"/>
        <w:rPr>
          <w:sz w:val="20"/>
          <w:szCs w:val="20"/>
          <w:color w:val="auto"/>
        </w:rPr>
      </w:pPr>
      <w:r>
        <w:rPr>
          <w:rFonts w:ascii="Times New Roman" w:cs="Times New Roman" w:eastAsia="Times New Roman" w:hAnsi="Times New Roman"/>
          <w:sz w:val="20"/>
          <w:szCs w:val="20"/>
          <w:color w:val="auto"/>
        </w:rPr>
        <w:t>Ashland is subject to various federal, state and local environmental laws and regulations that require environmental assessment or remediation efforts (collectively, environmental remediation) at multiple locations. At June 30, 2022, such locations included 76 sites where Ashland has been identified as a potentially responsible party under Superfund or similar state laws, 111 current and former operating facilities (including certain operating facilities conveyed as part of previous divestitures) and about 1,225 service station properties, of which 17 are being actively remediated.</w:t>
      </w:r>
    </w:p>
    <w:p>
      <w:pPr>
        <w:spacing w:after="0" w:line="78"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0"/>
          <w:szCs w:val="20"/>
          <w:color w:val="auto"/>
        </w:rPr>
        <w:t>Ashland’s reserves for environmental remediation and related environmental litigation amounted to $226 million at June 30, 2022 compared to $207 million at September 30, 2021, of which $171 million at June 30, 2022 and $152 million at September 30, 2021 were classified in other noncurrent liabilities on the Condensed Consolidated Balance Sheets. The remaining reserves were classified in accrued expenses and other liabilities on the Condensed Consolidated Balance Sheets.</w:t>
      </w:r>
    </w:p>
    <w:p>
      <w:pPr>
        <w:spacing w:after="0" w:line="77"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changes in the environmental remediation reserves during the nine months ended June 30, 2022 and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Nine months ended</w:t>
            </w:r>
          </w:p>
        </w:tc>
        <w:tc>
          <w:tcPr>
            <w:tcW w:w="12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June 30</w:t>
            </w:r>
          </w:p>
        </w:tc>
        <w:tc>
          <w:tcPr>
            <w:tcW w:w="12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46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 - beginning of period</w:t>
            </w:r>
          </w:p>
        </w:tc>
        <w:tc>
          <w:tcPr>
            <w:tcW w:w="2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88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Disbursements</w:t>
            </w:r>
          </w:p>
        </w:tc>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Changes in obligation estimates and accretion, net</w:t>
            </w:r>
          </w:p>
        </w:tc>
        <w:tc>
          <w:tcPr>
            <w:tcW w:w="2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Reserve - end of period</w:t>
            </w:r>
          </w:p>
        </w:tc>
        <w:tc>
          <w:tcPr>
            <w:tcW w:w="2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8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0" w:type="dxa"/>
            <w:vAlign w:val="bottom"/>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4"/>
        </w:trPr>
        <w:tc>
          <w:tcPr>
            <w:tcW w:w="4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14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446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-685165</wp:posOffset>
            </wp:positionV>
            <wp:extent cx="1543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3" w:name="page24"/>
    <w:bookmarkEnd w:id="23"/>
    <w:p>
      <w:pPr>
        <w:jc w:val="both"/>
        <w:spacing w:after="0" w:line="241" w:lineRule="auto"/>
        <w:rPr>
          <w:sz w:val="20"/>
          <w:szCs w:val="20"/>
          <w:color w:val="auto"/>
        </w:rPr>
      </w:pPr>
      <w:r>
        <w:rPr>
          <w:rFonts w:ascii="Times New Roman" w:cs="Times New Roman" w:eastAsia="Times New Roman" w:hAnsi="Times New Roman"/>
          <w:sz w:val="20"/>
          <w:szCs w:val="20"/>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June 30, 2022 and September 30, 2021, Ashland’s recorded receivable for these probable insurance recoveries was $20 million and $16 million, of which $17 million and $13 million at June 30, 2022 and September 30, 2021, respectively, was classified in other noncurrent assets on the Condensed Consolidated Balance Sheets.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Components of environmental remediation expense included within the selling, general and administrative expense caption of the Statements of Consolidated Comprehensive Income (Loss) are presented in the following table for the three and nine ended June 30, 2022 and 2021.</w:t>
      </w:r>
    </w:p>
    <w:p>
      <w:pPr>
        <w:sectPr>
          <w:pgSz w:w="11900" w:h="16838" w:orient="portrait"/>
          <w:cols w:equalWidth="0" w:num="1">
            <w:col w:w="10480"/>
          </w:cols>
          <w:pgMar w:left="700" w:top="279" w:right="719" w:bottom="1440" w:gutter="0" w:footer="0" w:header="0"/>
        </w:sectPr>
      </w:pPr>
    </w:p>
    <w:p>
      <w:pPr>
        <w:spacing w:after="0" w:line="84"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-120650</wp:posOffset>
            </wp:positionV>
            <wp:extent cx="46888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19"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June 30</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-120650</wp:posOffset>
            </wp:positionV>
            <wp:extent cx="18084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June 30</w:t>
      </w:r>
    </w:p>
    <w:p>
      <w:pPr>
        <w:spacing w:after="0" w:line="9" w:lineRule="exact"/>
        <w:rPr>
          <w:sz w:val="20"/>
          <w:szCs w:val="20"/>
          <w:color w:val="auto"/>
        </w:rPr>
      </w:pPr>
    </w:p>
    <w:p>
      <w:pPr>
        <w:sectPr>
          <w:pgSz w:w="11900" w:h="16838" w:orient="portrait"/>
          <w:cols w:equalWidth="0" w:num="2">
            <w:col w:w="7620" w:space="720"/>
            <w:col w:w="2140"/>
          </w:cols>
          <w:pgMar w:left="700" w:top="279" w:right="719" w:bottom="1440" w:gutter="0" w:footer="0" w:header="0"/>
          <w:type w:val="continuous"/>
        </w:sectPr>
      </w:pPr>
    </w:p>
    <w:tbl>
      <w:tblPr>
        <w:tblLayout w:type="fixed"/>
        <w:tblInd w:w="40" w:type="dxa"/>
        <w:tblCellMar>
          <w:top w:w="0" w:type="dxa"/>
          <w:left w:w="0" w:type="dxa"/>
          <w:bottom w:w="0" w:type="dxa"/>
          <w:right w:w="0" w:type="dxa"/>
        </w:tblCellMar>
      </w:tblPr>
      <w:tr>
        <w:trPr>
          <w:trHeight w:val="210"/>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expense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Accretion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r>
      <w:tr>
        <w:trPr>
          <w:trHeight w:val="216"/>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expense</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Insurance receivable</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50"/>
        </w:trPr>
        <w:tc>
          <w:tcPr>
            <w:tcW w:w="4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Total expense, net of receivable activity </w:t>
            </w:r>
            <w:r>
              <w:rPr>
                <w:rFonts w:ascii="Times New Roman" w:cs="Times New Roman" w:eastAsia="Times New Roman" w:hAnsi="Times New Roman"/>
                <w:sz w:val="14"/>
                <w:szCs w:val="14"/>
                <w:color w:val="auto"/>
              </w:rPr>
              <w:t>(a)</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-685165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-685165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5644515</wp:posOffset>
            </wp:positionH>
            <wp:positionV relativeFrom="paragraph">
              <wp:posOffset>-685165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-685165</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-119380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-102235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-119380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-102235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5644515</wp:posOffset>
            </wp:positionH>
            <wp:positionV relativeFrom="paragraph">
              <wp:posOffset>-119380</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5644515</wp:posOffset>
            </wp:positionH>
            <wp:positionV relativeFrom="paragraph">
              <wp:posOffset>-102235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-119380</wp:posOffset>
            </wp:positionV>
            <wp:extent cx="59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-102235</wp:posOffset>
            </wp:positionV>
            <wp:extent cx="59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5" w:lineRule="exact"/>
        <w:rPr>
          <w:sz w:val="20"/>
          <w:szCs w:val="20"/>
          <w:color w:val="auto"/>
        </w:rPr>
      </w:pPr>
    </w:p>
    <w:p>
      <w:pPr>
        <w:jc w:val="both"/>
        <w:ind w:left="360" w:hanging="358"/>
        <w:spacing w:after="0" w:line="261" w:lineRule="auto"/>
        <w:tabs>
          <w:tab w:leader="none" w:pos="3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expense of $9 million and $11 million for the three and nine months ended June 30, 2022, respectively, and $3 million and $6 million for the three and nine months ended June 30, 2021, respectively, relates to divested businesses which qualified for treatment as discontinued operations for which certain environmental liabilities were retained by Ashland. These amounts are classified within the income from discontinued operations caption of the Statements of Consolidated Comprehensive Income (loss).</w:t>
      </w:r>
    </w:p>
    <w:p>
      <w:pPr>
        <w:spacing w:after="0" w:line="8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$480 million. The largest reserve for any site is 12% of the remediation reserve at June 30,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legal proceedings and claims</w:t>
      </w:r>
    </w:p>
    <w:p>
      <w:pPr>
        <w:spacing w:after="0" w:line="1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June 30, 2022 and September 30, 2021. There is a reasonable possibility that a loss exceeding amounts already recognized may be incurred related to these actions; however, Ashland believes that such potential losses were immaterial as of June 30, 2022.</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279" w:right="7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NOTE M – EARNINGS PER SHARE</w:t>
      </w:r>
    </w:p>
    <w:p>
      <w:pPr>
        <w:spacing w:after="0" w:line="112"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The following is the computation of basic and diluted earnings per share (EPS) from continuing operations attributable to Ashland. Stock appreciation rights (SARs), stock options and warrants available to purchase shares outstanding for each reporting period whose grant price was greater than the average market price of Ashland Common Stock for each applicable period were not included in the computation of income from continuing operations per diluted share because the effect of these instruments would be antidilutive. The total number of these shares outstanding was approximately 1 million at June 30, 2022 and 2021, respectively. Earnings per share is reported under the treasury stock method.</w:t>
      </w:r>
    </w:p>
    <w:p>
      <w:pPr>
        <w:spacing w:after="0" w:line="83"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55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color w:val="auto"/>
              </w:rPr>
              <w:t>Nine months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June 30</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basic and diluted EPS -</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5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58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Denominator for basic EPS - Weighted-</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Share based awards convertible to common shares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58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Denominator for diluted EPS - Adjusted weighted-</w:t>
            </w:r>
          </w:p>
        </w:tc>
        <w:tc>
          <w:tcPr>
            <w:tcW w:w="24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8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average shares and assumed conversions</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5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EPS from continuing operations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-1379220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-1362710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-1379220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-1362710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-1379220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-1362710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-1379220</wp:posOffset>
            </wp:positionV>
            <wp:extent cx="596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-1362710</wp:posOffset>
            </wp:positionV>
            <wp:extent cx="596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-582295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-565150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-582295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-565150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-582295</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-565150</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-582295</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-565150</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N – EQUITY ITEMS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2022 Stock repurchase program</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On May 25, 2022, Ashland's board of directors authorized a new, evergreen $500 million common share repurchase program (2022 stock repurchase program). The new authorization terminates and replaces the company's 2018 $1 billion share repurchase program, which had $150 million outstanding at the date of termination.</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2018 Stock repurchase program</w:t>
      </w:r>
    </w:p>
    <w:p>
      <w:pPr>
        <w:spacing w:after="0" w:line="112"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In September 2021, under the 2018 stock repurchase program, Ashland entered into an accelerated share repurchase agreement (2021 ASR Agreement). Under the 2021 ASR Agreement, Ashland paid an initial purchase price of $450 million and received an initial delivery of 3.9 million shares of common stock during September 2021. The bank exercised its early termination option under the 2021 ASR Agreement in February 2022, and an additional 0.7 million shares were repurchased, bringing the total shares repurchased upon settlement to 4.6 million.</w:t>
      </w:r>
    </w:p>
    <w:p>
      <w:pPr>
        <w:spacing w:after="0" w:line="78"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On March 1, 2022, under the 2018 stock repurchase program, Ashland entered into an agreement to repurchase an aggregate amount of $200 million of Ashland common stock using open-market purchases under rule 10b-18. On April 8, 2022, Ashland completed repurchases under this agreement repurchasing a total of 2.15 million shares for a total amount of $200 million.</w:t>
      </w:r>
    </w:p>
    <w:p>
      <w:pPr>
        <w:spacing w:after="0" w:line="5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91" w:right="7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auto"/>
        </w:rPr>
        <w:t>Stockholder dividends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May 25, 2022, Ashland's Board declared a quarterly cash dividend of $0.335 cents per share on the company's common stock representing a 12 percent increase from the previous quarter. The dividend was paid in the third quarter of fiscal 2022. Dividends of 30 cents per share were paid in the third and fourth quarters of fiscal 2021 and the first and second quarter of fiscal 2022 and 27.5 cents per share were paid in the first and second quarter of fiscal 2021.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Accumulated other comprehensive income (loss)</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Components of other comprehensive income (loss) recorded in the Statements of Consolidated Comprehensive Income (Loss)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4439920</wp:posOffset>
            </wp:positionH>
            <wp:positionV relativeFrom="paragraph">
              <wp:posOffset>34290</wp:posOffset>
            </wp:positionV>
            <wp:extent cx="9398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34290</wp:posOffset>
            </wp:positionV>
            <wp:extent cx="8509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090" cy="171450"/>
                    </a:xfrm>
                    <a:prstGeom prst="rect">
                      <a:avLst/>
                    </a:prstGeom>
                    <a:noFill/>
                  </pic:spPr>
                </pic:pic>
              </a:graphicData>
            </a:graphic>
          </wp:anchor>
        </w:drawing>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55"/>
        </w:trPr>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left="79"/>
              <w:spacing w:after="0" w:line="155" w:lineRule="exact"/>
              <w:rPr>
                <w:sz w:val="20"/>
                <w:szCs w:val="20"/>
                <w:color w:val="auto"/>
              </w:rPr>
            </w:pPr>
            <w:r>
              <w:rPr>
                <w:rFonts w:ascii="Times New Roman" w:cs="Times New Roman" w:eastAsia="Times New Roman" w:hAnsi="Times New Roman"/>
                <w:sz w:val="16"/>
                <w:szCs w:val="16"/>
                <w:color w:val="auto"/>
                <w:w w:val="96"/>
              </w:rPr>
              <w:t>Tax</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199"/>
              <w:spacing w:after="0" w:line="155" w:lineRule="exact"/>
              <w:rPr>
                <w:sz w:val="20"/>
                <w:szCs w:val="20"/>
                <w:color w:val="auto"/>
              </w:rPr>
            </w:pPr>
            <w:r>
              <w:rPr>
                <w:rFonts w:ascii="Times New Roman" w:cs="Times New Roman" w:eastAsia="Times New Roman" w:hAnsi="Times New Roman"/>
                <w:sz w:val="16"/>
                <w:szCs w:val="16"/>
                <w:color w:val="auto"/>
                <w:w w:val="96"/>
              </w:rPr>
              <w:t>Tax</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79"/>
              <w:spacing w:after="0" w:line="162" w:lineRule="exact"/>
              <w:rPr>
                <w:sz w:val="20"/>
                <w:szCs w:val="20"/>
                <w:color w:val="auto"/>
              </w:rPr>
            </w:pPr>
            <w:r>
              <w:rPr>
                <w:rFonts w:ascii="Times New Roman" w:cs="Times New Roman" w:eastAsia="Times New Roman" w:hAnsi="Times New Roman"/>
                <w:sz w:val="16"/>
                <w:szCs w:val="16"/>
                <w:color w:val="auto"/>
              </w:rPr>
              <w:t>Before</w:t>
            </w:r>
          </w:p>
        </w:tc>
        <w:tc>
          <w:tcPr>
            <w:tcW w:w="120" w:type="dxa"/>
            <w:vAlign w:val="bottom"/>
          </w:tcPr>
          <w:p>
            <w:pPr>
              <w:spacing w:after="0"/>
              <w:rPr>
                <w:sz w:val="14"/>
                <w:szCs w:val="14"/>
                <w:color w:val="auto"/>
              </w:rPr>
            </w:pPr>
          </w:p>
        </w:tc>
        <w:tc>
          <w:tcPr>
            <w:tcW w:w="800" w:type="dxa"/>
            <w:vAlign w:val="bottom"/>
          </w:tcPr>
          <w:p>
            <w:pPr>
              <w:jc w:val="center"/>
              <w:ind w:left="59"/>
              <w:spacing w:after="0" w:line="162" w:lineRule="exact"/>
              <w:rPr>
                <w:sz w:val="20"/>
                <w:szCs w:val="20"/>
                <w:color w:val="auto"/>
              </w:rPr>
            </w:pPr>
            <w:r>
              <w:rPr>
                <w:rFonts w:ascii="Times New Roman" w:cs="Times New Roman" w:eastAsia="Times New Roman" w:hAnsi="Times New Roman"/>
                <w:sz w:val="16"/>
                <w:szCs w:val="16"/>
                <w:color w:val="auto"/>
                <w:w w:val="99"/>
              </w:rPr>
              <w:t>(expense)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99"/>
              <w:spacing w:after="0" w:line="162" w:lineRule="exact"/>
              <w:rPr>
                <w:sz w:val="20"/>
                <w:szCs w:val="20"/>
                <w:color w:val="auto"/>
              </w:rPr>
            </w:pPr>
            <w:r>
              <w:rPr>
                <w:rFonts w:ascii="Times New Roman" w:cs="Times New Roman" w:eastAsia="Times New Roman" w:hAnsi="Times New Roman"/>
                <w:sz w:val="16"/>
                <w:szCs w:val="16"/>
                <w:color w:val="auto"/>
              </w:rPr>
              <w:t>Net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59"/>
              <w:spacing w:after="0" w:line="162" w:lineRule="exact"/>
              <w:rPr>
                <w:sz w:val="20"/>
                <w:szCs w:val="20"/>
                <w:color w:val="auto"/>
              </w:rPr>
            </w:pPr>
            <w:r>
              <w:rPr>
                <w:rFonts w:ascii="Times New Roman" w:cs="Times New Roman" w:eastAsia="Times New Roman" w:hAnsi="Times New Roman"/>
                <w:sz w:val="16"/>
                <w:szCs w:val="16"/>
                <w:color w:val="auto"/>
              </w:rPr>
              <w:t>Before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99"/>
              <w:spacing w:after="0" w:line="162" w:lineRule="exact"/>
              <w:rPr>
                <w:sz w:val="20"/>
                <w:szCs w:val="20"/>
                <w:color w:val="auto"/>
              </w:rPr>
            </w:pPr>
            <w:r>
              <w:rPr>
                <w:rFonts w:ascii="Times New Roman" w:cs="Times New Roman" w:eastAsia="Times New Roman" w:hAnsi="Times New Roman"/>
                <w:sz w:val="16"/>
                <w:szCs w:val="16"/>
                <w:color w:val="auto"/>
              </w:rPr>
              <w:t>(expense)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79"/>
              <w:spacing w:after="0" w:line="162" w:lineRule="exact"/>
              <w:rPr>
                <w:sz w:val="20"/>
                <w:szCs w:val="20"/>
                <w:color w:val="auto"/>
              </w:rPr>
            </w:pPr>
            <w:r>
              <w:rPr>
                <w:rFonts w:ascii="Times New Roman" w:cs="Times New Roman" w:eastAsia="Times New Roman" w:hAnsi="Times New Roman"/>
                <w:sz w:val="16"/>
                <w:szCs w:val="16"/>
                <w:color w:val="auto"/>
              </w:rPr>
              <w:t>Net of</w:t>
            </w:r>
          </w:p>
        </w:tc>
        <w:tc>
          <w:tcPr>
            <w:tcW w:w="80" w:type="dxa"/>
            <w:vAlign w:val="bottom"/>
          </w:tcPr>
          <w:p>
            <w:pPr>
              <w:spacing w:after="0"/>
              <w:rPr>
                <w:sz w:val="14"/>
                <w:szCs w:val="14"/>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40" w:type="dxa"/>
            <w:vAlign w:val="bottom"/>
          </w:tcPr>
          <w:p>
            <w:pPr>
              <w:spacing w:after="0"/>
              <w:rPr>
                <w:sz w:val="18"/>
                <w:szCs w:val="18"/>
                <w:color w:val="auto"/>
              </w:rPr>
            </w:pPr>
          </w:p>
        </w:tc>
        <w:tc>
          <w:tcPr>
            <w:tcW w:w="86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tax</w:t>
            </w:r>
          </w:p>
        </w:tc>
        <w:tc>
          <w:tcPr>
            <w:tcW w:w="120" w:type="dxa"/>
            <w:vAlign w:val="bottom"/>
          </w:tcPr>
          <w:p>
            <w:pPr>
              <w:spacing w:after="0"/>
              <w:rPr>
                <w:sz w:val="18"/>
                <w:szCs w:val="18"/>
                <w:color w:val="auto"/>
              </w:rPr>
            </w:pPr>
          </w:p>
        </w:tc>
        <w:tc>
          <w:tcPr>
            <w:tcW w:w="80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benefit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tax</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tax</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w w:val="98"/>
              </w:rPr>
              <w:t>benefit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tax</w:t>
            </w:r>
          </w:p>
        </w:tc>
        <w:tc>
          <w:tcPr>
            <w:tcW w:w="80" w:type="dxa"/>
            <w:vAlign w:val="bottom"/>
          </w:tcPr>
          <w:p>
            <w:pPr>
              <w:spacing w:after="0"/>
              <w:rPr>
                <w:sz w:val="18"/>
                <w:szCs w:val="18"/>
                <w:color w:val="auto"/>
              </w:rPr>
            </w:pPr>
          </w:p>
        </w:tc>
      </w:tr>
      <w:tr>
        <w:trPr>
          <w:trHeight w:val="196"/>
        </w:trPr>
        <w:tc>
          <w:tcPr>
            <w:tcW w:w="3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Unrealized translation gain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92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FF0FC"/>
          </w:tcPr>
          <w:p>
            <w:pPr>
              <w:spacing w:after="0"/>
              <w:rPr>
                <w:sz w:val="17"/>
                <w:szCs w:val="17"/>
                <w:color w:val="auto"/>
              </w:rPr>
            </w:pPr>
          </w:p>
        </w:tc>
      </w:tr>
      <w:tr>
        <w:trPr>
          <w:trHeight w:val="203"/>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 (loss) on commodity hedges</w:t>
            </w: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r>
      <w:tr>
        <w:trPr>
          <w:trHeight w:val="236"/>
        </w:trPr>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tcBorders>
              <w:bottom w:val="single" w:sz="8" w:color="CFF0FC"/>
            </w:tcBorders>
            <w:gridSpan w:val="2"/>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Unrealized translation gain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92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FF0FC"/>
          </w:tcPr>
          <w:p>
            <w:pPr>
              <w:spacing w:after="0"/>
              <w:rPr>
                <w:sz w:val="17"/>
                <w:szCs w:val="17"/>
                <w:color w:val="auto"/>
              </w:rPr>
            </w:pPr>
          </w:p>
        </w:tc>
      </w:tr>
      <w:tr>
        <w:trPr>
          <w:trHeight w:val="203"/>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 (loss) on commodity hedges</w:t>
            </w: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r>
      <w:tr>
        <w:trPr>
          <w:trHeight w:val="236"/>
        </w:trPr>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Borders>
              <w:bottom w:val="single" w:sz="8" w:color="CFF0FC"/>
            </w:tcBorders>
            <w:gridSpan w:val="2"/>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2952750</wp:posOffset>
            </wp:positionH>
            <wp:positionV relativeFrom="paragraph">
              <wp:posOffset>-830580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2952750</wp:posOffset>
            </wp:positionH>
            <wp:positionV relativeFrom="paragraph">
              <wp:posOffset>-814070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-830580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-814070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-830580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-814070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5147310</wp:posOffset>
            </wp:positionH>
            <wp:positionV relativeFrom="paragraph">
              <wp:posOffset>-830580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5147310</wp:posOffset>
            </wp:positionH>
            <wp:positionV relativeFrom="paragraph">
              <wp:posOffset>-814070</wp:posOffset>
            </wp:positionV>
            <wp:extent cx="603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-830580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-814070</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-830580</wp:posOffset>
            </wp:positionV>
            <wp:extent cx="596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-814070</wp:posOffset>
            </wp:positionV>
            <wp:extent cx="596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2952750</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2952750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5147310</wp:posOffset>
            </wp:positionH>
            <wp:positionV relativeFrom="paragraph">
              <wp:posOffset>-24765</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5147310</wp:posOffset>
            </wp:positionH>
            <wp:positionV relativeFrom="paragraph">
              <wp:posOffset>-7620</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-24765</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-7620</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-24765</wp:posOffset>
            </wp:positionV>
            <wp:extent cx="596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-7620</wp:posOffset>
            </wp:positionV>
            <wp:extent cx="596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stockholders’ equity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changes in stockholders’ equity are as follows: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Nine months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June 30</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Common stock and paid in capital</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8"/>
                <w:szCs w:val="18"/>
                <w:color w:val="auto"/>
              </w:rPr>
            </w:pPr>
          </w:p>
        </w:tc>
        <w:tc>
          <w:tcPr>
            <w:tcW w:w="9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18"/>
                <w:szCs w:val="18"/>
                <w:color w:val="auto"/>
              </w:rPr>
            </w:pP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c>
          <w:tcPr>
            <w:tcW w:w="4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Compensation expense and common shares issued </w:t>
            </w:r>
            <w:r>
              <w:rPr>
                <w:rFonts w:ascii="Times New Roman" w:cs="Times New Roman" w:eastAsia="Times New Roman" w:hAnsi="Times New Roman"/>
                <w:sz w:val="14"/>
                <w:szCs w:val="14"/>
                <w:color w:val="auto"/>
              </w:rPr>
              <w:t>(a)</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Common shares purchased under repurchase program </w:t>
            </w:r>
            <w:r>
              <w:rPr>
                <w:rFonts w:ascii="Times New Roman" w:cs="Times New Roman" w:eastAsia="Times New Roman" w:hAnsi="Times New Roman"/>
                <w:sz w:val="14"/>
                <w:szCs w:val="14"/>
                <w:color w:val="auto"/>
              </w:rPr>
              <w:t>(b)</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2,710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Adoption of new accounting pronouncements</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Regular dividends</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2,771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(392 )</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(372 )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(86 )</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(loss) on commodity hedges</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(481 )</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49"/>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3,202</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0.335</w:t>
            </w:r>
          </w:p>
        </w:tc>
        <w:tc>
          <w:tcPr>
            <w:tcW w:w="100" w:type="dxa"/>
            <w:vAlign w:val="bottom"/>
          </w:tcPr>
          <w:p>
            <w:pPr>
              <w:spacing w:after="0"/>
              <w:rPr>
                <w:sz w:val="18"/>
                <w:szCs w:val="18"/>
                <w:color w:val="auto"/>
              </w:rPr>
            </w:pPr>
          </w:p>
        </w:tc>
        <w:tc>
          <w:tcPr>
            <w:tcW w:w="9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0.300</w:t>
            </w:r>
          </w:p>
        </w:tc>
        <w:tc>
          <w:tcPr>
            <w:tcW w:w="120" w:type="dxa"/>
            <w:vAlign w:val="bottom"/>
          </w:tcPr>
          <w:p>
            <w:pPr>
              <w:spacing w:after="0"/>
              <w:rPr>
                <w:sz w:val="18"/>
                <w:szCs w:val="18"/>
                <w:color w:val="auto"/>
              </w:rPr>
            </w:pP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0.935</w:t>
            </w:r>
          </w:p>
        </w:tc>
        <w:tc>
          <w:tcPr>
            <w:tcW w:w="100" w:type="dxa"/>
            <w:vAlign w:val="bottom"/>
          </w:tcPr>
          <w:p>
            <w:pPr>
              <w:spacing w:after="0"/>
              <w:rPr>
                <w:sz w:val="18"/>
                <w:szCs w:val="18"/>
                <w:color w:val="auto"/>
              </w:rPr>
            </w:pPr>
          </w:p>
        </w:tc>
        <w:tc>
          <w:tcPr>
            <w:tcW w:w="4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3810000</wp:posOffset>
            </wp:positionH>
            <wp:positionV relativeFrom="paragraph">
              <wp:posOffset>-1862455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-1862455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-1862455</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-1862455</wp:posOffset>
            </wp:positionV>
            <wp:extent cx="596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3810000</wp:posOffset>
            </wp:positionH>
            <wp:positionV relativeFrom="paragraph">
              <wp:posOffset>-1022350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-1022350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-1022350</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-1022350</wp:posOffset>
            </wp:positionV>
            <wp:extent cx="596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3810000</wp:posOffset>
            </wp:positionH>
            <wp:positionV relativeFrom="paragraph">
              <wp:posOffset>-465455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-465455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-465455</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-465455</wp:posOffset>
            </wp:positionV>
            <wp:extent cx="59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3810000</wp:posOffset>
            </wp:positionH>
            <wp:positionV relativeFrom="paragraph">
              <wp:posOffset>-173990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3810000</wp:posOffset>
            </wp:positionH>
            <wp:positionV relativeFrom="paragraph">
              <wp:posOffset>-156845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-173990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-156845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-173990</wp:posOffset>
            </wp:positionV>
            <wp:extent cx="603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-156845</wp:posOffset>
            </wp:positionV>
            <wp:extent cx="603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-173990</wp:posOffset>
            </wp:positionV>
            <wp:extent cx="596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-156845</wp:posOffset>
            </wp:positionV>
            <wp:extent cx="596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74295</wp:posOffset>
            </wp:positionV>
            <wp:extent cx="65665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95" w:lineRule="exact"/>
        <w:rPr>
          <w:sz w:val="20"/>
          <w:szCs w:val="20"/>
          <w:color w:val="auto"/>
        </w:rPr>
      </w:pPr>
    </w:p>
    <w:p>
      <w:pPr>
        <w:ind w:left="360" w:hanging="358"/>
        <w:spacing w:after="0" w:line="282" w:lineRule="auto"/>
        <w:tabs>
          <w:tab w:leader="none" w:pos="3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issued were 55,006 shares and 24,452 shares for the three months ended June 30, 2022 and 2021, respectively, and 163,656 shares and 165,158 shares for the nine months ended June 30, 2022 and 2021, respectively.</w:t>
      </w:r>
    </w:p>
    <w:p>
      <w:pPr>
        <w:spacing w:after="0" w:line="67"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repurchased were 449,932 and 2,853,312 shares for the three and nine months ended June 30, 2022.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83" w:right="7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NOTE O – STOCK INCENTIVE PLANS</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components of Ashland’s pre-tax stock-based compensation expense included in continuing operations are as follows:</w:t>
      </w:r>
    </w:p>
    <w:p>
      <w:pPr>
        <w:spacing w:after="0" w:line="110"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48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June 30</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14"/>
                <w:szCs w:val="14"/>
                <w:color w:val="auto"/>
              </w:rPr>
              <w:t>(a)</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2021 </w:t>
            </w:r>
            <w:r>
              <w:rPr>
                <w:rFonts w:ascii="Times New Roman" w:cs="Times New Roman" w:eastAsia="Times New Roman" w:hAnsi="Times New Roman"/>
                <w:sz w:val="14"/>
                <w:szCs w:val="14"/>
                <w:color w:val="auto"/>
              </w:rPr>
              <w:t>(b)</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14"/>
                <w:szCs w:val="14"/>
                <w:color w:val="auto"/>
              </w:rPr>
              <w:t>(a)</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xml:space="preserve">2021 </w:t>
            </w:r>
            <w:r>
              <w:rPr>
                <w:rFonts w:ascii="Times New Roman" w:cs="Times New Roman" w:eastAsia="Times New Roman" w:hAnsi="Times New Roman"/>
                <w:sz w:val="14"/>
                <w:szCs w:val="14"/>
                <w:color w:val="auto"/>
              </w:rPr>
              <w:t>(b)</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SARs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Nonvested stock awards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share awards</w:t>
            </w: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8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-265430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-265430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-265430</wp:posOffset>
            </wp:positionV>
            <wp:extent cx="603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-265430</wp:posOffset>
            </wp:positionV>
            <wp:extent cx="596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65" w:lineRule="exact"/>
        <w:rPr>
          <w:sz w:val="20"/>
          <w:szCs w:val="20"/>
          <w:color w:val="auto"/>
        </w:rPr>
      </w:pPr>
    </w:p>
    <w:p>
      <w:pPr>
        <w:ind w:left="740" w:hanging="358"/>
        <w:spacing w:after="0" w:line="271" w:lineRule="auto"/>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$1 million and $3 million of expense related to cash-settled nonvested restricted stock awards during the three and nine months ended June 30, 2022, and $1 million each of expense related to cash-settled performance units during the three and nine months ended June 30, 2022.</w:t>
      </w:r>
    </w:p>
    <w:p>
      <w:pPr>
        <w:ind w:left="740" w:hanging="358"/>
        <w:spacing w:after="0"/>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zero and $2 million of expense related to cash-settled nonvested restricted stock awards during the three and nine months ended June 30, 2021.</w:t>
      </w:r>
    </w:p>
    <w:p>
      <w:pPr>
        <w:spacing w:after="0" w:line="11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91" w:right="7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NOTE P – REVENUE</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Disaggregation of revenue</w:t>
      </w:r>
    </w:p>
    <w:p>
      <w:pPr>
        <w:spacing w:after="0" w:line="98" w:lineRule="exact"/>
        <w:rPr>
          <w:sz w:val="20"/>
          <w:szCs w:val="20"/>
          <w:color w:val="auto"/>
        </w:rPr>
      </w:pPr>
    </w:p>
    <w:p>
      <w:pPr>
        <w:jc w:val="both"/>
        <w:ind w:left="380"/>
        <w:spacing w:after="0"/>
        <w:rPr>
          <w:sz w:val="20"/>
          <w:szCs w:val="20"/>
          <w:color w:val="auto"/>
        </w:rPr>
      </w:pPr>
      <w:r>
        <w:rPr>
          <w:rFonts w:ascii="Times New Roman" w:cs="Times New Roman" w:eastAsia="Times New Roman" w:hAnsi="Times New Roman"/>
          <w:sz w:val="20"/>
          <w:szCs w:val="20"/>
          <w:color w:val="auto"/>
        </w:rPr>
        <w:t>Ashland disaggregates its revenue by segment and geographical region as Ashland believes these categories best depict how management reviews the financial performance of its operations. Ashland includes only U.S. and Canada sales in its North America designation and includes Europe, Middle East and Africa in its Europe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43815</wp:posOffset>
            </wp:positionV>
            <wp:extent cx="6638925" cy="1708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638925" cy="170815"/>
                    </a:xfrm>
                    <a:prstGeom prst="rect">
                      <a:avLst/>
                    </a:prstGeom>
                    <a:noFill/>
                  </pic:spPr>
                </pic:pic>
              </a:graphicData>
            </a:graphic>
          </wp:anchor>
        </w:drawing>
      </w:r>
    </w:p>
    <w:p>
      <w:pPr>
        <w:spacing w:after="0" w:line="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Sales by geography</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176"/>
        </w:trPr>
        <w:tc>
          <w:tcPr>
            <w:tcW w:w="4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740" w:type="dxa"/>
            <w:vAlign w:val="bottom"/>
            <w:tcBorders>
              <w:top w:val="single" w:sz="8" w:color="auto"/>
            </w:tcBorders>
            <w:gridSpan w:val="5"/>
          </w:tcPr>
          <w:p>
            <w:pPr>
              <w:jc w:val="center"/>
              <w:ind w:right="95"/>
              <w:spacing w:after="0" w:line="176" w:lineRule="exact"/>
              <w:rPr>
                <w:sz w:val="20"/>
                <w:szCs w:val="20"/>
                <w:color w:val="auto"/>
              </w:rPr>
            </w:pPr>
            <w:r>
              <w:rPr>
                <w:rFonts w:ascii="Times New Roman" w:cs="Times New Roman" w:eastAsia="Times New Roman" w:hAnsi="Times New Roman"/>
                <w:sz w:val="17"/>
                <w:szCs w:val="17"/>
                <w:color w:val="auto"/>
              </w:rPr>
              <w:t>Three months ended</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gridSpan w:val="5"/>
          </w:tcPr>
          <w:p>
            <w:pPr>
              <w:jc w:val="center"/>
              <w:ind w:right="235"/>
              <w:spacing w:after="0" w:line="176" w:lineRule="exact"/>
              <w:rPr>
                <w:sz w:val="20"/>
                <w:szCs w:val="20"/>
                <w:color w:val="auto"/>
              </w:rPr>
            </w:pPr>
            <w:r>
              <w:rPr>
                <w:rFonts w:ascii="Times New Roman" w:cs="Times New Roman" w:eastAsia="Times New Roman" w:hAnsi="Times New Roman"/>
                <w:sz w:val="17"/>
                <w:szCs w:val="17"/>
                <w:color w:val="auto"/>
              </w:rPr>
              <w:t>Nine months ended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center"/>
              <w:ind w:left="755"/>
              <w:spacing w:after="0"/>
              <w:rPr>
                <w:sz w:val="20"/>
                <w:szCs w:val="20"/>
                <w:color w:val="auto"/>
              </w:rPr>
            </w:pPr>
            <w:r>
              <w:rPr>
                <w:rFonts w:ascii="Times New Roman" w:cs="Times New Roman" w:eastAsia="Times New Roman" w:hAnsi="Times New Roman"/>
                <w:sz w:val="17"/>
                <w:szCs w:val="17"/>
                <w:color w:val="auto"/>
                <w:w w:val="99"/>
              </w:rPr>
              <w:t>June 30</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ind w:left="615"/>
              <w:spacing w:after="0"/>
              <w:rPr>
                <w:sz w:val="20"/>
                <w:szCs w:val="20"/>
                <w:color w:val="auto"/>
              </w:rPr>
            </w:pPr>
            <w:r>
              <w:rPr>
                <w:rFonts w:ascii="Times New Roman" w:cs="Times New Roman" w:eastAsia="Times New Roman" w:hAnsi="Times New Roman"/>
                <w:sz w:val="17"/>
                <w:szCs w:val="17"/>
                <w:color w:val="auto"/>
              </w:rPr>
              <w:t>June 30</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2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Life Sciences</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North America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580" w:type="dxa"/>
            <w:vAlign w:val="bottom"/>
            <w:gridSpan w:val="3"/>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560" w:type="dxa"/>
            <w:vAlign w:val="bottom"/>
            <w:gridSpan w:val="3"/>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Europe</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Asia Pacific</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Latin America &amp; other</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260" w:type="dxa"/>
            <w:vAlign w:val="bottom"/>
            <w:tcBorders>
              <w:bottom w:val="single" w:sz="8" w:color="CFF0FC"/>
            </w:tcBorders>
            <w:gridSpan w:val="2"/>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gridSpan w:val="3"/>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auto"/>
            </w:tcBorders>
            <w:gridSpan w:val="3"/>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5"/>
          </w:tcPr>
          <w:p>
            <w:pPr>
              <w:jc w:val="center"/>
              <w:ind w:right="95"/>
              <w:spacing w:after="0" w:line="174" w:lineRule="exact"/>
              <w:rPr>
                <w:sz w:val="20"/>
                <w:szCs w:val="20"/>
                <w:color w:val="auto"/>
              </w:rPr>
            </w:pPr>
            <w:r>
              <w:rPr>
                <w:rFonts w:ascii="Times New Roman" w:cs="Times New Roman" w:eastAsia="Times New Roman" w:hAnsi="Times New Roman"/>
                <w:sz w:val="17"/>
                <w:szCs w:val="17"/>
                <w:color w:val="auto"/>
              </w:rPr>
              <w:t>Three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gridSpan w:val="5"/>
          </w:tcPr>
          <w:p>
            <w:pPr>
              <w:jc w:val="center"/>
              <w:ind w:right="235"/>
              <w:spacing w:after="0" w:line="174" w:lineRule="exact"/>
              <w:rPr>
                <w:sz w:val="20"/>
                <w:szCs w:val="20"/>
                <w:color w:val="auto"/>
              </w:rPr>
            </w:pPr>
            <w:r>
              <w:rPr>
                <w:rFonts w:ascii="Times New Roman" w:cs="Times New Roman" w:eastAsia="Times New Roman" w:hAnsi="Times New Roman"/>
                <w:sz w:val="17"/>
                <w:szCs w:val="17"/>
                <w:color w:val="auto"/>
              </w:rPr>
              <w:t>Nine months ended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center"/>
              <w:ind w:left="755"/>
              <w:spacing w:after="0"/>
              <w:rPr>
                <w:sz w:val="20"/>
                <w:szCs w:val="20"/>
                <w:color w:val="auto"/>
              </w:rPr>
            </w:pPr>
            <w:r>
              <w:rPr>
                <w:rFonts w:ascii="Times New Roman" w:cs="Times New Roman" w:eastAsia="Times New Roman" w:hAnsi="Times New Roman"/>
                <w:sz w:val="17"/>
                <w:szCs w:val="17"/>
                <w:color w:val="auto"/>
                <w:w w:val="99"/>
              </w:rPr>
              <w:t>June 30</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ind w:left="615"/>
              <w:spacing w:after="0"/>
              <w:rPr>
                <w:sz w:val="20"/>
                <w:szCs w:val="20"/>
                <w:color w:val="auto"/>
              </w:rPr>
            </w:pPr>
            <w:r>
              <w:rPr>
                <w:rFonts w:ascii="Times New Roman" w:cs="Times New Roman" w:eastAsia="Times New Roman" w:hAnsi="Times New Roman"/>
                <w:sz w:val="17"/>
                <w:szCs w:val="17"/>
                <w:color w:val="auto"/>
              </w:rPr>
              <w:t>June 30</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2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Personal Care</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North America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580" w:type="dxa"/>
            <w:vAlign w:val="bottom"/>
            <w:gridSpan w:val="3"/>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560" w:type="dxa"/>
            <w:vAlign w:val="bottom"/>
            <w:gridSpan w:val="3"/>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Europe</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Asia Pacific</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Latin America &amp; other</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260" w:type="dxa"/>
            <w:vAlign w:val="bottom"/>
            <w:tcBorders>
              <w:bottom w:val="single" w:sz="8" w:color="CFF0FC"/>
            </w:tcBorders>
            <w:gridSpan w:val="2"/>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gridSpan w:val="3"/>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auto"/>
            </w:tcBorders>
            <w:gridSpan w:val="3"/>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5"/>
          </w:tcPr>
          <w:p>
            <w:pPr>
              <w:jc w:val="center"/>
              <w:ind w:right="95"/>
              <w:spacing w:after="0" w:line="174" w:lineRule="exact"/>
              <w:rPr>
                <w:sz w:val="20"/>
                <w:szCs w:val="20"/>
                <w:color w:val="auto"/>
              </w:rPr>
            </w:pPr>
            <w:r>
              <w:rPr>
                <w:rFonts w:ascii="Times New Roman" w:cs="Times New Roman" w:eastAsia="Times New Roman" w:hAnsi="Times New Roman"/>
                <w:sz w:val="17"/>
                <w:szCs w:val="17"/>
                <w:color w:val="auto"/>
              </w:rPr>
              <w:t>Three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gridSpan w:val="5"/>
          </w:tcPr>
          <w:p>
            <w:pPr>
              <w:jc w:val="center"/>
              <w:ind w:right="235"/>
              <w:spacing w:after="0" w:line="174" w:lineRule="exact"/>
              <w:rPr>
                <w:sz w:val="20"/>
                <w:szCs w:val="20"/>
                <w:color w:val="auto"/>
              </w:rPr>
            </w:pPr>
            <w:r>
              <w:rPr>
                <w:rFonts w:ascii="Times New Roman" w:cs="Times New Roman" w:eastAsia="Times New Roman" w:hAnsi="Times New Roman"/>
                <w:sz w:val="17"/>
                <w:szCs w:val="17"/>
                <w:color w:val="auto"/>
              </w:rPr>
              <w:t>Nine months ended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center"/>
              <w:ind w:left="755"/>
              <w:spacing w:after="0"/>
              <w:rPr>
                <w:sz w:val="20"/>
                <w:szCs w:val="20"/>
                <w:color w:val="auto"/>
              </w:rPr>
            </w:pPr>
            <w:r>
              <w:rPr>
                <w:rFonts w:ascii="Times New Roman" w:cs="Times New Roman" w:eastAsia="Times New Roman" w:hAnsi="Times New Roman"/>
                <w:sz w:val="17"/>
                <w:szCs w:val="17"/>
                <w:color w:val="auto"/>
                <w:w w:val="99"/>
              </w:rPr>
              <w:t>June 30</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ind w:left="615"/>
              <w:spacing w:after="0"/>
              <w:rPr>
                <w:sz w:val="20"/>
                <w:szCs w:val="20"/>
                <w:color w:val="auto"/>
              </w:rPr>
            </w:pPr>
            <w:r>
              <w:rPr>
                <w:rFonts w:ascii="Times New Roman" w:cs="Times New Roman" w:eastAsia="Times New Roman" w:hAnsi="Times New Roman"/>
                <w:sz w:val="17"/>
                <w:szCs w:val="17"/>
                <w:color w:val="auto"/>
              </w:rPr>
              <w:t>June 30</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2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Specialty Additives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North America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580" w:type="dxa"/>
            <w:vAlign w:val="bottom"/>
            <w:gridSpan w:val="3"/>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560" w:type="dxa"/>
            <w:vAlign w:val="bottom"/>
            <w:gridSpan w:val="3"/>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Europe</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Asia Pacific</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Latin America &amp; other</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260" w:type="dxa"/>
            <w:vAlign w:val="bottom"/>
            <w:tcBorders>
              <w:bottom w:val="single" w:sz="8" w:color="CFF0FC"/>
            </w:tcBorders>
            <w:gridSpan w:val="2"/>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gridSpan w:val="3"/>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auto"/>
            </w:tcBorders>
            <w:gridSpan w:val="3"/>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5"/>
          </w:tcPr>
          <w:p>
            <w:pPr>
              <w:jc w:val="center"/>
              <w:ind w:right="95"/>
              <w:spacing w:after="0" w:line="174" w:lineRule="exact"/>
              <w:rPr>
                <w:sz w:val="20"/>
                <w:szCs w:val="20"/>
                <w:color w:val="auto"/>
              </w:rPr>
            </w:pPr>
            <w:r>
              <w:rPr>
                <w:rFonts w:ascii="Times New Roman" w:cs="Times New Roman" w:eastAsia="Times New Roman" w:hAnsi="Times New Roman"/>
                <w:sz w:val="17"/>
                <w:szCs w:val="17"/>
                <w:color w:val="auto"/>
              </w:rPr>
              <w:t>Three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gridSpan w:val="5"/>
          </w:tcPr>
          <w:p>
            <w:pPr>
              <w:jc w:val="center"/>
              <w:ind w:right="235"/>
              <w:spacing w:after="0" w:line="174" w:lineRule="exact"/>
              <w:rPr>
                <w:sz w:val="20"/>
                <w:szCs w:val="20"/>
                <w:color w:val="auto"/>
              </w:rPr>
            </w:pPr>
            <w:r>
              <w:rPr>
                <w:rFonts w:ascii="Times New Roman" w:cs="Times New Roman" w:eastAsia="Times New Roman" w:hAnsi="Times New Roman"/>
                <w:sz w:val="17"/>
                <w:szCs w:val="17"/>
                <w:color w:val="auto"/>
              </w:rPr>
              <w:t>Nine months ended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center"/>
              <w:ind w:left="755"/>
              <w:spacing w:after="0"/>
              <w:rPr>
                <w:sz w:val="20"/>
                <w:szCs w:val="20"/>
                <w:color w:val="auto"/>
              </w:rPr>
            </w:pPr>
            <w:r>
              <w:rPr>
                <w:rFonts w:ascii="Times New Roman" w:cs="Times New Roman" w:eastAsia="Times New Roman" w:hAnsi="Times New Roman"/>
                <w:sz w:val="17"/>
                <w:szCs w:val="17"/>
                <w:color w:val="auto"/>
                <w:w w:val="99"/>
              </w:rPr>
              <w:t>June 30</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ind w:left="615"/>
              <w:spacing w:after="0"/>
              <w:rPr>
                <w:sz w:val="20"/>
                <w:szCs w:val="20"/>
                <w:color w:val="auto"/>
              </w:rPr>
            </w:pPr>
            <w:r>
              <w:rPr>
                <w:rFonts w:ascii="Times New Roman" w:cs="Times New Roman" w:eastAsia="Times New Roman" w:hAnsi="Times New Roman"/>
                <w:sz w:val="17"/>
                <w:szCs w:val="17"/>
                <w:color w:val="auto"/>
              </w:rPr>
              <w:t>June 30</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2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Intermediates</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North America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580" w:type="dxa"/>
            <w:vAlign w:val="bottom"/>
            <w:gridSpan w:val="3"/>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560" w:type="dxa"/>
            <w:vAlign w:val="bottom"/>
            <w:gridSpan w:val="3"/>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Europe</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Asia Pacific</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Latin America &amp; other</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60" w:type="dxa"/>
            <w:vAlign w:val="bottom"/>
            <w:tcBorders>
              <w:bottom w:val="single" w:sz="8" w:color="CFF0FC"/>
            </w:tcBorders>
            <w:gridSpan w:val="2"/>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-4088130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-4070985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-4088130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-4070985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-4088130</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-4070985</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-4088130</wp:posOffset>
            </wp:positionV>
            <wp:extent cx="596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-4070985</wp:posOffset>
            </wp:positionV>
            <wp:extent cx="596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-2733675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-2716530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-2733675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-2716530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-2733675</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-2716530</wp:posOffset>
            </wp:positionV>
            <wp:extent cx="60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-2733675</wp:posOffset>
            </wp:positionV>
            <wp:extent cx="596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-2716530</wp:posOffset>
            </wp:positionV>
            <wp:extent cx="596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-1379220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-1362075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-1379220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-1362075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-1379220</wp:posOffset>
            </wp:positionV>
            <wp:extent cx="603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-1362075</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-1379220</wp:posOffset>
            </wp:positionV>
            <wp:extent cx="596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-1362075</wp:posOffset>
            </wp:positionV>
            <wp:extent cx="596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03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-24765</wp:posOffset>
            </wp:positionV>
            <wp:extent cx="596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-7620</wp:posOffset>
            </wp:positionV>
            <wp:extent cx="596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Trade receivables</w:t>
      </w:r>
    </w:p>
    <w:p>
      <w:pPr>
        <w:spacing w:after="0" w:line="98" w:lineRule="exact"/>
        <w:rPr>
          <w:sz w:val="20"/>
          <w:szCs w:val="20"/>
          <w:color w:val="auto"/>
        </w:rPr>
      </w:pPr>
    </w:p>
    <w:p>
      <w:pPr>
        <w:jc w:val="both"/>
        <w:ind w:left="380"/>
        <w:spacing w:after="0" w:line="236" w:lineRule="auto"/>
        <w:rPr>
          <w:sz w:val="20"/>
          <w:szCs w:val="20"/>
          <w:color w:val="auto"/>
        </w:rPr>
      </w:pPr>
      <w:r>
        <w:rPr>
          <w:rFonts w:ascii="Times New Roman" w:cs="Times New Roman" w:eastAsia="Times New Roman" w:hAnsi="Times New Roman"/>
          <w:sz w:val="20"/>
          <w:szCs w:val="20"/>
          <w:color w:val="auto"/>
        </w:rPr>
        <w:t>Trade receivables are defined as receivables arising from contracts with customers and are recorded within the accounts receivable caption within the Condensed Consolidated Balance Sheets. Ashland’s trade receivables were $444 million and $308 million as of June 30, 2022 and September 30, 2021, respectively. See Note H for additional information on Ashland’s program to sell certain receivables on a revolving basis to third party banks up to an aggregate purchase limit (U.S Accounts Receivable Sales Program).</w:t>
      </w:r>
    </w:p>
    <w:p>
      <w:pPr>
        <w:spacing w:after="0" w:line="7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83" w:right="7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NOTE Q – REPORTABLE SEGMENT INFORMATION</w:t>
      </w:r>
    </w:p>
    <w:p>
      <w:pPr>
        <w:spacing w:after="0" w:line="98" w:lineRule="exact"/>
        <w:rPr>
          <w:sz w:val="20"/>
          <w:szCs w:val="20"/>
          <w:color w:val="auto"/>
        </w:rPr>
      </w:pPr>
    </w:p>
    <w:p>
      <w:pPr>
        <w:jc w:val="both"/>
        <w:ind w:left="380"/>
        <w:spacing w:after="0" w:line="234" w:lineRule="auto"/>
        <w:rPr>
          <w:sz w:val="20"/>
          <w:szCs w:val="20"/>
          <w:color w:val="auto"/>
        </w:rPr>
      </w:pPr>
      <w:r>
        <w:rPr>
          <w:rFonts w:ascii="Times New Roman" w:cs="Times New Roman" w:eastAsia="Times New Roman" w:hAnsi="Times New Roman"/>
          <w:sz w:val="20"/>
          <w:szCs w:val="20"/>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and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Change in reportable segments</w:t>
      </w:r>
    </w:p>
    <w:p>
      <w:pPr>
        <w:spacing w:after="0" w:line="98"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On February 28, 2022, Ashland completed the sale of its Performance Adhesives segment. The operating results and cash flows for the Performance Adhesives segment have been classified as discontinued operations within the Consolidated Financial Statements for all periods presented. As a result, Ashland's reportable segments include Life Sciences, Personal Care, Specialty Additives and Intermediates.</w:t>
      </w:r>
    </w:p>
    <w:p>
      <w:pPr>
        <w:spacing w:after="0" w:line="58"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Unallocated and Other includes corporate governance activities and certain legacy matters. The historical segment information has been recast to conform to the current segment structure.</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Reportable segment business descriptions</w:t>
      </w:r>
    </w:p>
    <w:p>
      <w:pPr>
        <w:spacing w:after="0" w:line="112"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provide custom formulation, toll processing and particle engineering solutions. Customers include pharmaceutical, food, beverage, nutraceuticals and supplements manufacturers, hospitals and radiologists, and industrial manufacturers.</w:t>
      </w:r>
    </w:p>
    <w:p>
      <w:pPr>
        <w:spacing w:after="0" w:line="78"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Personal Care (formerly Personal Care &amp; Household) is comprised of biofunctionals, preservatives, skin care, sun care, oral care, hair care and household. These businesses have a broad range of nature-based, biodegradable, and performance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78" w:lineRule="exact"/>
        <w:rPr>
          <w:sz w:val="20"/>
          <w:szCs w:val="20"/>
          <w:color w:val="auto"/>
        </w:rPr>
      </w:pPr>
    </w:p>
    <w:p>
      <w:pPr>
        <w:jc w:val="both"/>
        <w:ind w:left="380"/>
        <w:spacing w:after="0" w:line="239" w:lineRule="auto"/>
        <w:rPr>
          <w:sz w:val="20"/>
          <w:szCs w:val="20"/>
          <w:color w:val="auto"/>
        </w:rPr>
      </w:pPr>
      <w:r>
        <w:rPr>
          <w:rFonts w:ascii="Times New Roman" w:cs="Times New Roman" w:eastAsia="Times New Roman" w:hAnsi="Times New Roman"/>
          <w:sz w:val="20"/>
          <w:szCs w:val="20"/>
          <w:color w:val="auto"/>
        </w:rPr>
        <w:t>Specialty Additives is comprised of rheology and performance-enhancing additives serving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86"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Intermediates (formerly 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as a feedstock to Life Sciences, Personal Care, and Specialty Additives for use as a raw material.</w:t>
      </w:r>
    </w:p>
    <w:p>
      <w:pPr>
        <w:spacing w:after="0" w:line="63"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5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83" w:right="719" w:bottom="1440" w:gutter="0" w:footer="0" w:header="0"/>
        </w:sectPr>
      </w:pPr>
    </w:p>
    <w:bookmarkStart w:id="29" w:name="page30"/>
    <w:bookmarkEnd w:id="29"/>
    <w:p>
      <w:pPr>
        <w:ind w:left="380"/>
        <w:spacing w:after="0"/>
        <w:rPr>
          <w:sz w:val="20"/>
          <w:szCs w:val="20"/>
          <w:color w:val="auto"/>
        </w:rPr>
      </w:pPr>
      <w:r>
        <w:rPr>
          <w:rFonts w:ascii="Times New Roman" w:cs="Times New Roman" w:eastAsia="Times New Roman" w:hAnsi="Times New Roman"/>
          <w:sz w:val="20"/>
          <w:szCs w:val="20"/>
          <w:b w:val="1"/>
          <w:bCs w:val="1"/>
          <w:color w:val="auto"/>
        </w:rPr>
        <w:t>Reportable segment results</w:t>
      </w:r>
    </w:p>
    <w:p>
      <w:pPr>
        <w:spacing w:after="0" w:line="112" w:lineRule="exact"/>
        <w:rPr>
          <w:sz w:val="20"/>
          <w:szCs w:val="20"/>
          <w:color w:val="auto"/>
        </w:rPr>
      </w:pPr>
    </w:p>
    <w:p>
      <w:pPr>
        <w:jc w:val="both"/>
        <w:ind w:left="380" w:right="380"/>
        <w:spacing w:after="0" w:line="229" w:lineRule="auto"/>
        <w:rPr>
          <w:sz w:val="20"/>
          <w:szCs w:val="20"/>
          <w:color w:val="auto"/>
        </w:rPr>
      </w:pPr>
      <w:r>
        <w:rPr>
          <w:rFonts w:ascii="Times New Roman" w:cs="Times New Roman" w:eastAsia="Times New Roman" w:hAnsi="Times New Roman"/>
          <w:sz w:val="20"/>
          <w:szCs w:val="20"/>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74" w:lineRule="exact"/>
        <w:rPr>
          <w:sz w:val="20"/>
          <w:szCs w:val="20"/>
          <w:color w:val="auto"/>
        </w:rPr>
      </w:pPr>
    </w:p>
    <w:p>
      <w:pPr>
        <w:jc w:val="both"/>
        <w:ind w:left="380" w:right="380"/>
        <w:spacing w:after="0" w:line="255" w:lineRule="auto"/>
        <w:rPr>
          <w:sz w:val="20"/>
          <w:szCs w:val="20"/>
          <w:color w:val="auto"/>
        </w:rPr>
      </w:pPr>
      <w:r>
        <w:rPr>
          <w:rFonts w:ascii="Times New Roman" w:cs="Times New Roman" w:eastAsia="Times New Roman" w:hAnsi="Times New Roman"/>
          <w:sz w:val="20"/>
          <w:szCs w:val="20"/>
          <w:color w:val="auto"/>
        </w:rPr>
        <w:t>The following table presents various financial information for each reportable segment for the three and nine months ended June 30, 2022 and 2021.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5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 - unaudited)</w:t>
            </w:r>
          </w:p>
        </w:tc>
        <w:tc>
          <w:tcPr>
            <w:tcW w:w="3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June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June 30</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35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130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108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8"/>
                <w:szCs w:val="18"/>
                <w:color w:val="auto"/>
              </w:rPr>
            </w:pPr>
          </w:p>
        </w:tc>
        <w:tc>
          <w:tcPr>
            <w:tcW w:w="120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Intersegment sales </w:t>
            </w:r>
            <w:r>
              <w:rPr>
                <w:rFonts w:ascii="Times New Roman" w:cs="Times New Roman" w:eastAsia="Times New Roman" w:hAnsi="Times New Roman"/>
                <w:sz w:val="14"/>
                <w:szCs w:val="14"/>
                <w:color w:val="auto"/>
              </w:rPr>
              <w:t>(a)</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35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35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Specialty Additives </w:t>
            </w:r>
            <w:r>
              <w:rPr>
                <w:rFonts w:ascii="Times New Roman" w:cs="Times New Roman" w:eastAsia="Times New Roman" w:hAnsi="Times New Roman"/>
                <w:sz w:val="14"/>
                <w:szCs w:val="14"/>
                <w:color w:val="auto"/>
              </w:rPr>
              <w:t>(b)</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(121 )</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50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top w:val="single" w:sz="8" w:color="CFF0FC"/>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EXPENSE</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30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08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20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35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35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 EXPENSE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35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5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4"/>
                <w:szCs w:val="14"/>
                <w:color w:val="auto"/>
              </w:rPr>
              <w:t>(c)</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(120 )</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50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Borders>
              <w:top w:val="single" w:sz="8" w:color="CFF0FC"/>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0" w:type="dxa"/>
            <w:vAlign w:val="bottom"/>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Borders>
              <w:bottom w:val="single" w:sz="8" w:color="auto"/>
            </w:tcBorders>
            <w:gridSpan w:val="2"/>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35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-4371340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-4354195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-4371340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-4354195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-4371340</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-4354195</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-4371340</wp:posOffset>
            </wp:positionV>
            <wp:extent cx="596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-4354195</wp:posOffset>
            </wp:positionV>
            <wp:extent cx="596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-3522345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-3522345</wp:posOffset>
            </wp:positionV>
            <wp:extent cx="603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-3522345</wp:posOffset>
            </wp:positionV>
            <wp:extent cx="596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-3522345</wp:posOffset>
            </wp:positionV>
            <wp:extent cx="68580" cy="1714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-2382520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-2365375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-2382520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-2365375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-2382520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-2365375</wp:posOffset>
            </wp:positionV>
            <wp:extent cx="603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-2382520</wp:posOffset>
            </wp:positionV>
            <wp:extent cx="596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-2365375</wp:posOffset>
            </wp:positionV>
            <wp:extent cx="596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-1525270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-1508125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-1525270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-1508125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-1525270</wp:posOffset>
            </wp:positionV>
            <wp:extent cx="603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-1508125</wp:posOffset>
            </wp:positionV>
            <wp:extent cx="603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-1525270</wp:posOffset>
            </wp:positionV>
            <wp:extent cx="596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-1508125</wp:posOffset>
            </wp:positionV>
            <wp:extent cx="596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-676275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-676275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-676275</wp:posOffset>
            </wp:positionV>
            <wp:extent cx="60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-676275</wp:posOffset>
            </wp:positionV>
            <wp:extent cx="596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30" w:name="page31"/>
    <w:bookmarkEnd w:id="30"/>
    <w:tbl>
      <w:tblPr>
        <w:tblLayout w:type="fixed"/>
        <w:tblInd w:w="4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18"/>
                <w:szCs w:val="18"/>
                <w:color w:val="auto"/>
              </w:rPr>
            </w:pPr>
          </w:p>
        </w:tc>
      </w:tr>
      <w:tr>
        <w:trPr>
          <w:trHeight w:val="234"/>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 - unaudited)</w:t>
            </w:r>
          </w:p>
        </w:tc>
        <w:tc>
          <w:tcPr>
            <w:tcW w:w="16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1640" w:type="dxa"/>
            <w:vAlign w:val="bottom"/>
            <w:shd w:val="clear" w:color="auto" w:fill="CFF0FC"/>
          </w:tcPr>
          <w:p>
            <w:pPr>
              <w:jc w:val="right"/>
              <w:ind w:right="147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760" w:type="dxa"/>
            <w:vAlign w:val="bottom"/>
            <w:gridSpan w:val="3"/>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1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16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1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16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49"/>
        </w:trPr>
        <w:tc>
          <w:tcPr>
            <w:tcW w:w="532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147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16"/>
        </w:trPr>
        <w:tc>
          <w:tcPr>
            <w:tcW w:w="53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4855845</wp:posOffset>
            </wp:positionH>
            <wp:positionV relativeFrom="paragraph">
              <wp:posOffset>-264795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-264795</wp:posOffset>
            </wp:positionV>
            <wp:extent cx="596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-119380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-102235</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-119380</wp:posOffset>
            </wp:positionV>
            <wp:extent cx="596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-102235</wp:posOffset>
            </wp:positionV>
            <wp:extent cx="596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65" w:lineRule="exact"/>
        <w:rPr>
          <w:sz w:val="20"/>
          <w:szCs w:val="20"/>
          <w:color w:val="auto"/>
        </w:rPr>
      </w:pPr>
    </w:p>
    <w:p>
      <w:pPr>
        <w:ind w:left="360" w:hanging="358"/>
        <w:spacing w:after="0"/>
        <w:tabs>
          <w:tab w:leader="none" w:pos="3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sales from Intermediates are accounted for at prices that approximate fair value. All other intersegment transfers are accounted for at cost.</w:t>
      </w:r>
    </w:p>
    <w:p>
      <w:pPr>
        <w:spacing w:after="0" w:line="41"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capital project impairment of $9 million for the nine months ended June 30, 2021 relating to a long-term capital project plan change at a plant facility.</w:t>
      </w:r>
    </w:p>
    <w:p>
      <w:pPr>
        <w:spacing w:after="0" w:line="41" w:lineRule="exact"/>
        <w:rPr>
          <w:rFonts w:ascii="Times New Roman" w:cs="Times New Roman" w:eastAsia="Times New Roman" w:hAnsi="Times New Roman"/>
          <w:sz w:val="14"/>
          <w:szCs w:val="14"/>
          <w:color w:val="auto"/>
        </w:rPr>
      </w:pPr>
    </w:p>
    <w:p>
      <w:pPr>
        <w:ind w:left="360" w:hanging="358"/>
        <w:spacing w:after="0" w:line="282" w:lineRule="auto"/>
        <w:tabs>
          <w:tab w:leader="none" w:pos="3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income (loss) from discontinued operations, other net periodic benefit income (expense) and income (loss) on acquisitions and divestitures, net. See the Statement of Consolidated Comprehensive Income (Loss) for applicable amounts excluded.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594" w:right="7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NOTE R – SUBSEQUENT EVENTS</w:t>
      </w:r>
    </w:p>
    <w:p>
      <w:pPr>
        <w:spacing w:after="0" w:line="112" w:lineRule="exact"/>
        <w:rPr>
          <w:sz w:val="20"/>
          <w:szCs w:val="20"/>
          <w:color w:val="auto"/>
        </w:rPr>
      </w:pPr>
    </w:p>
    <w:p>
      <w:pPr>
        <w:jc w:val="both"/>
        <w:ind w:left="380"/>
        <w:spacing w:after="0" w:line="234" w:lineRule="auto"/>
        <w:rPr>
          <w:sz w:val="20"/>
          <w:szCs w:val="20"/>
          <w:color w:val="auto"/>
        </w:rPr>
      </w:pPr>
      <w:r>
        <w:rPr>
          <w:rFonts w:ascii="Times New Roman" w:cs="Times New Roman" w:eastAsia="Times New Roman" w:hAnsi="Times New Roman"/>
          <w:sz w:val="20"/>
          <w:szCs w:val="20"/>
          <w:color w:val="auto"/>
        </w:rPr>
        <w:t>On July 22, 2022, Ashland LLC and Ashland Services B.V., subsidiaries of Ashland, entered into an amended and restated credit agreement (the 2022 Credit Agreement) with a group of lenders, amending and restating the 2020 Credit Agreement. The 2022 Credit Agreement provides for a $600 million unsecured five-year revolving credit facility (the 2022 Revolving Credit Facility) replacing the 2020 Revolving Credit Facility. After the closing date, proceeds of borrowings under the 2022 Revolving Credit Facility will be used, among other things, to provide ongoing working capital and for other general corporate purposes.</w:t>
      </w:r>
    </w:p>
    <w:p>
      <w:pPr>
        <w:spacing w:after="0" w:line="7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31" w:right="7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GLOBAL HOLDINGS INC. AND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12" w:lineRule="exact"/>
        <w:rPr>
          <w:sz w:val="20"/>
          <w:szCs w:val="20"/>
          <w:color w:val="auto"/>
        </w:rPr>
      </w:pPr>
    </w:p>
    <w:p>
      <w:pPr>
        <w:jc w:val="both"/>
        <w:ind w:left="380"/>
        <w:spacing w:after="0" w:line="251" w:lineRule="auto"/>
        <w:rPr>
          <w:sz w:val="20"/>
          <w:szCs w:val="20"/>
          <w:color w:val="auto"/>
        </w:rPr>
      </w:pPr>
      <w:r>
        <w:rPr>
          <w:rFonts w:ascii="Times New Roman" w:cs="Times New Roman" w:eastAsia="Times New Roman" w:hAnsi="Times New Roman"/>
          <w:sz w:val="19"/>
          <w:szCs w:val="19"/>
          <w:color w:val="auto"/>
        </w:rPr>
        <w:t>This Quarterly Report on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Shareholders,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and expected effects of the COVID-19 pandemic on Ashland’s business,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cost savings and economic conditions (such as prices, supply and demand, cost of raw materials, and the ability to recover raw-material cost increases through price increases), and risks and uncertainties associated with the following: the impact of acquisitions and/or divestitures Ashland has made or may make, including the acquisition of Schülke &amp; Mayr’s personal care business and the sale of the Performance Adhesive business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execution risks associated with Ashland’s growth strategies; the competitive nature of Ashland’s business; severe weather, natural disasters, public health crises (including the COVID-19 pandemic), cyber events and legal proceedings and claims (including product recalls, environmental and asbestos matters); the effects of the COVID-19 pandemic, and the ongoing Ukraine and Russia conflict, on the geographies in which Ashland operates, the end markets Ashland serves and on Ashland’s supply chain and customers; and without limitation, risks and uncertainties affecting Ashland that are contained in “Use of estimates, risks and uncertainties” in Note A of Notes to Consolidated Financial Statements and in Item 1A in its most recent Form 10-K filed with the SEC, which is available on Ashland’s website at http://investor.ashland.com or on the SEC’s website at http://www.sec.gov. Various risks and uncertainties may cause actual results to differ materially from those stated, projected or implied by any forward-looking statements. The extent and duration of the COVID-19 pandemic on our business and operations is uncertain. Factors that influence the impact on our business and operations include the duration and extent of the pandemic, the extent of imposed or recommended containment and mitigation measures, and the general economic consequences of the pandemic.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3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45" w:right="7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9"/>
          <w:szCs w:val="19"/>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4000"/>
        <w:spacing w:after="0" w:line="273" w:lineRule="auto"/>
        <w:rPr>
          <w:sz w:val="20"/>
          <w:szCs w:val="20"/>
          <w:color w:val="auto"/>
        </w:rPr>
      </w:pPr>
      <w:r>
        <w:rPr>
          <w:rFonts w:ascii="Times New Roman" w:cs="Times New Roman" w:eastAsia="Times New Roman" w:hAnsi="Times New Roman"/>
          <w:sz w:val="20"/>
          <w:szCs w:val="20"/>
          <w:b w:val="1"/>
          <w:bCs w:val="1"/>
          <w:color w:val="auto"/>
        </w:rPr>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2" w:lineRule="exact"/>
        <w:rPr>
          <w:sz w:val="20"/>
          <w:szCs w:val="20"/>
          <w:color w:val="auto"/>
        </w:rPr>
      </w:pPr>
    </w:p>
    <w:p>
      <w:pPr>
        <w:jc w:val="both"/>
        <w:ind w:left="380" w:right="160"/>
        <w:spacing w:after="0" w:line="269" w:lineRule="auto"/>
        <w:rPr>
          <w:sz w:val="20"/>
          <w:szCs w:val="20"/>
          <w:color w:val="auto"/>
        </w:rPr>
      </w:pPr>
      <w:r>
        <w:rPr>
          <w:rFonts w:ascii="Times New Roman" w:cs="Times New Roman" w:eastAsia="Times New Roman" w:hAnsi="Times New Roman"/>
          <w:sz w:val="20"/>
          <w:szCs w:val="20"/>
          <w:color w:val="auto"/>
        </w:rPr>
        <w:t>The following discussion should be read in conjunction with the Condensed Consolidated Financial Statements and the accompanying Notes to Condensed Consolidated Financial Statements herein.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Ashland profile</w:t>
      </w:r>
    </w:p>
    <w:p>
      <w:pPr>
        <w:spacing w:after="0" w:line="98" w:lineRule="exact"/>
        <w:rPr>
          <w:sz w:val="20"/>
          <w:szCs w:val="20"/>
          <w:color w:val="auto"/>
        </w:rPr>
      </w:pPr>
    </w:p>
    <w:p>
      <w:pPr>
        <w:jc w:val="both"/>
        <w:ind w:left="380" w:right="160"/>
        <w:spacing w:after="0" w:line="236" w:lineRule="auto"/>
        <w:rPr>
          <w:sz w:val="20"/>
          <w:szCs w:val="20"/>
          <w:color w:val="auto"/>
        </w:rPr>
      </w:pPr>
      <w:r>
        <w:rPr>
          <w:rFonts w:ascii="Times New Roman" w:cs="Times New Roman" w:eastAsia="Times New Roman" w:hAnsi="Times New Roman"/>
          <w:sz w:val="20"/>
          <w:szCs w:val="20"/>
          <w:color w:val="auto"/>
        </w:rPr>
        <w:t>Ashland is a global specialty additives and materials company with a conscious and proactive mindset for sustainability. The Company serves customers in a wide range of consumer and industrial markets, architectural coatings, construction, energy, food and beverage, nutraceuticals, personal care and pharmaceutical. With approximately 3,800 employees worldwide, Ashland serves customers in more than 100 countries.</w:t>
      </w:r>
    </w:p>
    <w:p>
      <w:pPr>
        <w:spacing w:after="0" w:line="81" w:lineRule="exact"/>
        <w:rPr>
          <w:sz w:val="20"/>
          <w:szCs w:val="20"/>
          <w:color w:val="auto"/>
        </w:rPr>
      </w:pPr>
    </w:p>
    <w:p>
      <w:pPr>
        <w:jc w:val="both"/>
        <w:ind w:left="380" w:right="160"/>
        <w:spacing w:after="0"/>
        <w:rPr>
          <w:sz w:val="20"/>
          <w:szCs w:val="20"/>
          <w:color w:val="auto"/>
        </w:rPr>
      </w:pPr>
      <w:r>
        <w:rPr>
          <w:rFonts w:ascii="Times New Roman" w:cs="Times New Roman" w:eastAsia="Times New Roman" w:hAnsi="Times New Roman"/>
          <w:sz w:val="20"/>
          <w:szCs w:val="20"/>
          <w:color w:val="auto"/>
        </w:rPr>
        <w:t>Ashland’s sales generated outside of North America were 67% for the three and nine months ended June 30, 2022, respectively, and 67% and 68% for the three and nine months ended June 30, 2021, respectively. Sales by region expressed as a percentage of total consolidated sales for the three and nine months ended June 30 were as follows:</w:t>
      </w:r>
    </w:p>
    <w:p>
      <w:pPr>
        <w:spacing w:after="0" w:line="163"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476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Sales by Geography</w:t>
            </w:r>
          </w:p>
        </w:tc>
        <w:tc>
          <w:tcPr>
            <w:tcW w:w="218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June 30</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Borders>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color w:val="auto"/>
              </w:rPr>
              <w:t>June 30</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6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14"/>
                <w:szCs w:val="14"/>
                <w:color w:val="auto"/>
              </w:rPr>
              <w:t>(a)</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33 %</w:t>
            </w:r>
          </w:p>
        </w:tc>
        <w:tc>
          <w:tcPr>
            <w:tcW w:w="7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33 %</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33 %</w:t>
            </w:r>
          </w:p>
        </w:tc>
        <w:tc>
          <w:tcPr>
            <w:tcW w:w="7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35 %</w:t>
            </w:r>
          </w:p>
        </w:tc>
        <w:tc>
          <w:tcPr>
            <w:tcW w:w="7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36 %</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35 %</w:t>
            </w:r>
          </w:p>
        </w:tc>
        <w:tc>
          <w:tcPr>
            <w:tcW w:w="7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23 %</w:t>
            </w:r>
          </w:p>
        </w:tc>
        <w:tc>
          <w:tcPr>
            <w:tcW w:w="7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23 %</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24 %</w:t>
            </w:r>
          </w:p>
        </w:tc>
        <w:tc>
          <w:tcPr>
            <w:tcW w:w="7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 &amp; other</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9 %</w:t>
            </w:r>
          </w:p>
        </w:tc>
        <w:tc>
          <w:tcPr>
            <w:tcW w:w="7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8 %</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8 %</w:t>
            </w:r>
          </w:p>
        </w:tc>
        <w:tc>
          <w:tcPr>
            <w:tcW w:w="7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7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100 %</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7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7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-814070</wp:posOffset>
            </wp:positionV>
            <wp:extent cx="6626225" cy="1371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-539115</wp:posOffset>
            </wp:positionV>
            <wp:extent cx="6626225" cy="1371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-256540</wp:posOffset>
            </wp:positionV>
            <wp:extent cx="6626225" cy="1625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626225" cy="162560"/>
                    </a:xfrm>
                    <a:prstGeom prst="rect">
                      <a:avLst/>
                    </a:prstGeom>
                    <a:noFill/>
                  </pic:spPr>
                </pic:pic>
              </a:graphicData>
            </a:graphic>
          </wp:anchor>
        </w:drawing>
      </w:r>
    </w:p>
    <w:p>
      <w:pPr>
        <w:spacing w:after="0" w:line="65" w:lineRule="exact"/>
        <w:rPr>
          <w:sz w:val="20"/>
          <w:szCs w:val="20"/>
          <w:color w:val="auto"/>
        </w:rPr>
      </w:pPr>
    </w:p>
    <w:p>
      <w:pPr>
        <w:ind w:left="740" w:hanging="358"/>
        <w:spacing w:after="0"/>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Ashland includes only U.S. and Canada in its North America designation and includes Europe, Middle East and Africa in its Europe designation.</w:t>
      </w:r>
    </w:p>
    <w:p>
      <w:pPr>
        <w:spacing w:after="0" w:line="2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Reportable segments</w:t>
      </w:r>
    </w:p>
    <w:p>
      <w:pPr>
        <w:spacing w:after="0" w:line="112" w:lineRule="exact"/>
        <w:rPr>
          <w:sz w:val="20"/>
          <w:szCs w:val="20"/>
          <w:color w:val="auto"/>
        </w:rPr>
      </w:pPr>
    </w:p>
    <w:p>
      <w:pPr>
        <w:jc w:val="both"/>
        <w:ind w:left="380" w:right="160"/>
        <w:spacing w:after="0" w:line="255" w:lineRule="auto"/>
        <w:rPr>
          <w:sz w:val="20"/>
          <w:szCs w:val="20"/>
          <w:color w:val="auto"/>
        </w:rPr>
      </w:pPr>
      <w:r>
        <w:rPr>
          <w:rFonts w:ascii="Times New Roman" w:cs="Times New Roman" w:eastAsia="Times New Roman" w:hAnsi="Times New Roman"/>
          <w:sz w:val="19"/>
          <w:szCs w:val="19"/>
          <w:color w:val="auto"/>
        </w:rPr>
        <w:t>On August 31, 2021, Ashland announced its agreement with Arkema, a French société anonyme, to sell the Performance Adhesive business for $1.65 billion. The transaction closed February 28, 2022. Ashland received proceeds from the sale of approximately $1.7 billion, net of transaction costs. A portion of these proceeds were used during the nine months ended June 30, 2022 to reduce outstanding debt and execute an open-market stock repurchase agreement. Ashland intends to use the remaining proceeds to invest in the growth of its other reportable core businesses and explore further actions to optimize its balance sheet through debt reductions or utilization of unused authorized share repurchase program amounts. The divestiture represented a strategic shift in Ashland's business and qualified as a discontinued operation. As a result, the assets, liabilities, operating results and cash flows related to Performance Adhesives have been classified as discontinued operations for all periods presented within the Consolidated Financial Statements. See Notes B and C of the Notes to the Condensed Consolidated Financial Statements for additional information.</w:t>
      </w:r>
    </w:p>
    <w:p>
      <w:pPr>
        <w:spacing w:after="0" w:line="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15" w:right="559" w:bottom="1440" w:gutter="0" w:footer="0" w:header="0"/>
        </w:sectPr>
      </w:pPr>
    </w:p>
    <w:bookmarkStart w:id="34" w:name="page35"/>
    <w:bookmarkEnd w:id="34"/>
    <w:p>
      <w:pPr>
        <w:jc w:val="both"/>
        <w:ind w:left="380" w:right="60"/>
        <w:spacing w:after="0" w:line="249" w:lineRule="auto"/>
        <w:rPr>
          <w:sz w:val="20"/>
          <w:szCs w:val="20"/>
          <w:color w:val="auto"/>
        </w:rPr>
      </w:pPr>
      <w:r>
        <w:rPr>
          <w:rFonts w:ascii="Times New Roman" w:cs="Times New Roman" w:eastAsia="Times New Roman" w:hAnsi="Times New Roman"/>
          <w:sz w:val="20"/>
          <w:szCs w:val="20"/>
          <w:color w:val="auto"/>
        </w:rPr>
        <w:t>As a result, Ashland’s reportable segments include Life Sciences, Personal Care (formerly Personal Care &amp; Household), Specialty Additives and Intermediates (formerly Intermediates and Solvents). Unallocated and Other includes corporate governance activities and certain legacy matters. The contribution to sales by each reportable segment expressed as a percentage of total consolidated sales for the three and nine months ended June 30 was as follows:</w:t>
      </w:r>
    </w:p>
    <w:p>
      <w:pPr>
        <w:spacing w:after="0" w:line="155"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476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Sales by Reportable Segment</w:t>
            </w:r>
          </w:p>
        </w:tc>
        <w:tc>
          <w:tcPr>
            <w:tcW w:w="218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June 30</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Borders>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color w:val="auto"/>
              </w:rPr>
              <w:t>June 30</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6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35 %</w:t>
            </w:r>
          </w:p>
        </w:tc>
        <w:tc>
          <w:tcPr>
            <w:tcW w:w="7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36 %</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35 %</w:t>
            </w:r>
          </w:p>
        </w:tc>
        <w:tc>
          <w:tcPr>
            <w:tcW w:w="7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Personal Care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27 %</w:t>
            </w:r>
          </w:p>
        </w:tc>
        <w:tc>
          <w:tcPr>
            <w:tcW w:w="7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27 %</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28 %</w:t>
            </w:r>
          </w:p>
        </w:tc>
        <w:tc>
          <w:tcPr>
            <w:tcW w:w="7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Specialty Additives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30 %</w:t>
            </w:r>
          </w:p>
        </w:tc>
        <w:tc>
          <w:tcPr>
            <w:tcW w:w="7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31 %</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30 %</w:t>
            </w:r>
          </w:p>
        </w:tc>
        <w:tc>
          <w:tcPr>
            <w:tcW w:w="7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Intermediates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8 %</w:t>
            </w:r>
          </w:p>
        </w:tc>
        <w:tc>
          <w:tcPr>
            <w:tcW w:w="7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7 %</w:t>
            </w:r>
          </w:p>
        </w:tc>
        <w:tc>
          <w:tcPr>
            <w:tcW w:w="7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7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100 %</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7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7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-814070</wp:posOffset>
            </wp:positionV>
            <wp:extent cx="6626225" cy="1371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-539115</wp:posOffset>
            </wp:positionV>
            <wp:extent cx="6626225" cy="1371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-256540</wp:posOffset>
            </wp:positionV>
            <wp:extent cx="6626225" cy="1631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626225" cy="16319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DEVELOPMENTS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Business results current quarter</w:t>
      </w:r>
    </w:p>
    <w:p>
      <w:pPr>
        <w:spacing w:after="0" w:line="98" w:lineRule="exact"/>
        <w:rPr>
          <w:sz w:val="20"/>
          <w:szCs w:val="20"/>
          <w:color w:val="auto"/>
        </w:rPr>
      </w:pPr>
    </w:p>
    <w:p>
      <w:pPr>
        <w:jc w:val="both"/>
        <w:ind w:left="380" w:right="60"/>
        <w:spacing w:after="0" w:line="244" w:lineRule="auto"/>
        <w:rPr>
          <w:sz w:val="20"/>
          <w:szCs w:val="20"/>
          <w:color w:val="auto"/>
        </w:rPr>
      </w:pPr>
      <w:r>
        <w:rPr>
          <w:rFonts w:ascii="Times New Roman" w:cs="Times New Roman" w:eastAsia="Times New Roman" w:hAnsi="Times New Roman"/>
          <w:sz w:val="20"/>
          <w:szCs w:val="20"/>
          <w:color w:val="auto"/>
        </w:rPr>
        <w:t>Ashland recorded net income of $36 million (income of $51 million in continuing operations and expense of $15 million in discontinued operations) and net income of $80 million (income of $72 million in continuing operations and $8 million in discontinued operations) in the current and prior year quarters, respectively. Ashland’s EBITDA of $157 million increased by $39 million for the current quarter, while Ashland’s Adjusted EBITDA of $174 million increased by $45 million for the current quarter, each compared to the prior year quarter (see U.S. GAAP reconciliation below under consolidated review). These increases were primarily driven by disciplined pricing leading to cost recovery in a high-inflation environment and improved product mix partially offset by unfavorable currency exchange and higher selling, general and administration costs.</w:t>
      </w:r>
    </w:p>
    <w:p>
      <w:pPr>
        <w:spacing w:after="0" w:line="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Uncertainty relating to the Ukraine and Russia conflict</w:t>
      </w:r>
    </w:p>
    <w:p>
      <w:pPr>
        <w:spacing w:after="0" w:line="112" w:lineRule="exact"/>
        <w:rPr>
          <w:sz w:val="20"/>
          <w:szCs w:val="20"/>
          <w:color w:val="auto"/>
        </w:rPr>
      </w:pPr>
    </w:p>
    <w:p>
      <w:pPr>
        <w:jc w:val="both"/>
        <w:ind w:left="380" w:right="60"/>
        <w:spacing w:after="0" w:line="242" w:lineRule="auto"/>
        <w:rPr>
          <w:sz w:val="20"/>
          <w:szCs w:val="20"/>
          <w:color w:val="auto"/>
        </w:rPr>
      </w:pPr>
      <w:r>
        <w:rPr>
          <w:rFonts w:ascii="Times New Roman" w:cs="Times New Roman" w:eastAsia="Times New Roman" w:hAnsi="Times New Roman"/>
          <w:sz w:val="20"/>
          <w:szCs w:val="20"/>
          <w:color w:val="auto"/>
        </w:rPr>
        <w:t>Business disruptions, including those related to the ongoing conflict between Ukraine and Russia continue to impact businesses around the globe. While it is impossible to predict the effects of the conflict such as possible escalating geopolitical tensions (including the imposition of existing and additional sanctions by the U.S and the European Union on Russia), worsening macroeconomic and general business conditions, supply chain interruptions and unfavorable energy markets, the impact could be material. Ashland is closely monitoring the situation and maintains business continuity plans that are intended to continue operations or mitigate the effects of events that could disrupt its business.</w:t>
      </w:r>
    </w:p>
    <w:p>
      <w:pPr>
        <w:spacing w:after="0" w:line="80" w:lineRule="exact"/>
        <w:rPr>
          <w:sz w:val="20"/>
          <w:szCs w:val="20"/>
          <w:color w:val="auto"/>
        </w:rPr>
      </w:pPr>
    </w:p>
    <w:p>
      <w:pPr>
        <w:jc w:val="both"/>
        <w:ind w:left="380" w:right="60"/>
        <w:spacing w:after="0" w:line="242" w:lineRule="auto"/>
        <w:rPr>
          <w:sz w:val="20"/>
          <w:szCs w:val="20"/>
          <w:color w:val="auto"/>
        </w:rPr>
      </w:pPr>
      <w:r>
        <w:rPr>
          <w:rFonts w:ascii="Times New Roman" w:cs="Times New Roman" w:eastAsia="Times New Roman" w:hAnsi="Times New Roman"/>
          <w:sz w:val="20"/>
          <w:szCs w:val="20"/>
          <w:color w:val="auto"/>
        </w:rPr>
        <w:t>Ashland does not have manufacturing operations in Russia, Ukraine, or Belarus. Ashland sells (or previously sold) additives and specialty ingredients to manufacturers in these countries for their use in pharmaceuticals, personal care, and coatings applications. Sales to Russia and Belarus were previously limited and our products were primarily used in products and applications that are essential to the population's wellbeing and currently support our customers' humanitarian efforts. We have sales controls in place to ensure that future potential sales into the region are only to support critical pharmaceutical or personal hygiene products which are essential for the general population and in accordance with any applicable sanctions. Sales to Ukraine, Russia, and Belarus represent less than 1% of total sales and less than 1% of total assets (related to accounts receivable).</w:t>
      </w:r>
    </w:p>
    <w:p>
      <w:pPr>
        <w:spacing w:after="0" w:line="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427" w:right="6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Uncertainty relating to the COVID-19 pandemic</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Ashland continues to closely monitor the impact of the COVID-19 pandemic on all aspects of its business and geographies, including how it will impact customers, employees, suppliers, vendors, business partners and distribution channels. Ashland is unable to predict the impact that the COVID-19 pandemic will have on its future financial position and operating results due to numerous uncertainties. These uncertainties include the severity of the virus, the duration of the outbreak, governmental, business or other actions, impacts on Ashland’s supply chain, the effect on customer demand, or changes to Ashland’s operations. The health of Ashland’s workforce and its ability to meet staffing needs throughout the critical functions cannot be predicted and is vital to operations. Further, the impacts of a potential worsening of global economic conditions and the continued disruptions to, and volatility in, the credit and financial markets, consumer spending as well as other unanticipated consequences remain unknown. In addition, Ashland cannot predict the impact that the COVID-19 pandemic will have on its customers, vendors, suppliers and other business partners; however, any material effect on these parties could adversely impact Ashland.</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Ashland continues to successfully navigate the uncertain environment associated with the COVID-19 pandemic. Through the third quarter of fiscal 2022, Ashland has not experienced any additional major operating surprises related to the COVID-19 pandemic, continues to maintain supply chains in a challenging environment, had strong safety performance in the face of unprecedented pressures and improved operating discipline across each of its businesses. Ashland's businesses continued to show resiliency in the face of difficult economic circumstances. While sales were up in the quarter period-over-period, continued supply-chain and labor-shortage challenges inhibited Ashland's ability to meet strong overall customer demand. Ashland continues to carry a large backlog of unconfirmed orders it cannot commit to supply at this time. Ashland’s overall liquidity remains strong and Ashland is able to meet its operating cash needs and other investing and financing cash requirements at this time, including those necessary to grow the business.</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situation surrounding the COVID-19 pandemic remains fluid, and Ashland is actively managing its response in collaboration with customers, government officials, team members and business partners. For further information regarding the impact of the COVID-19 pandemic on the Company, please see Item 1A, Risk Factors in Ashland’s most recent Form 10-K filed with the SEC.</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items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 Adhesives</w:t>
      </w:r>
    </w:p>
    <w:p>
      <w:pPr>
        <w:spacing w:after="0" w:line="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Ashland completed the sale of its Performance Adhesives business segment on February 28, 2022, resulting in proceeds to Ashland of approximately $1.7 billion, net of transaction costs. Ashland recognized an after-tax gain of $732 million within the Income from Discontinued Operations caption of the Statement of Consolidated Comprehensive Income (Loss) for the nine months ended June 30, 2022 related to the sale of Performance Adhesives. Since this transaction represented a strategic shift in Ashland’s business and had a major effect on Ashland’s operations and financial results, the operating results and cash flows related to Performance Adhesives have been reflected as discontinued operations in the statement of Consolidated Comprehensive Income (Loss) and Statements of Condensed Consolidated Cash Flows. See Notes B and C of the Notes to the Condensed Consolidated Financial Statements for more information. Certain indirect corporate costs included within the selling, general and administrative expense caption of the Statement of Consolidated Comprehensive Income (Loss) that were previously allocated to the Performance Adhesives segment do not qualify for classification within discontinued operations and are now reported as selling, general and administrative expense within continuing operations on a consolidated basis and within the Unallocated and other segment. These costs were $1 million and $4 million for the three months ended June 30, 2022 and 2021, respectively, and $8 million and $12 million for the nine months ended June 30, 2022 and 2021, respectively. Ashland is currently implementing plans to eliminate certain of these costs.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3" w:right="719" w:bottom="1440" w:gutter="0" w:footer="0" w:header="0"/>
        </w:sectPr>
      </w:pPr>
    </w:p>
    <w:bookmarkStart w:id="36" w:name="page37"/>
    <w:bookmarkEnd w:id="36"/>
    <w:p>
      <w:pPr>
        <w:ind w:left="380"/>
        <w:spacing w:after="0"/>
        <w:rPr>
          <w:sz w:val="20"/>
          <w:szCs w:val="20"/>
          <w:color w:val="auto"/>
        </w:rPr>
      </w:pPr>
      <w:r>
        <w:rPr>
          <w:rFonts w:ascii="Times New Roman" w:cs="Times New Roman" w:eastAsia="Times New Roman" w:hAnsi="Times New Roman"/>
          <w:sz w:val="20"/>
          <w:szCs w:val="20"/>
          <w:i w:val="1"/>
          <w:iCs w:val="1"/>
          <w:color w:val="auto"/>
        </w:rPr>
        <w:t>Debt Repayment Activities</w:t>
      </w:r>
    </w:p>
    <w:p>
      <w:pPr>
        <w:spacing w:after="0" w:line="112"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Ashland used a portion of the proceeds from the sale of its Performance Adhesives segment, during the second quarter of fiscal 2022, to prepay $250 million of principal on its Term loan A, reduce $240 million of outstanding borrowing under the 2020 Revolving Credit Facility, reduce $102 million of outstanding borrowing under the Foreign Accounts Receivable Securitization Facility, and repay the $23 million outstanding balance on its European short-term loan facility during the nine months ended June 30, 2022.</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2022 Stock repurchase program</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On May 25, 2022, Ashland's board of directors authorized a new, evergreen $500 million common share repurchase program (2022 stock repurchase program). The new authorization terminates and replaces the company's 2018 $1 billion share repurchase program, which had $150 million outstanding at the date of termination.</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2018 Stock repurchase program</w:t>
      </w:r>
    </w:p>
    <w:p>
      <w:pPr>
        <w:spacing w:after="0" w:line="112"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In September 2021, under the 2018 stock repurchase program, Ashland entered into an accelerated share repurchase agreement (2021 ASR Agreement). Under the 2021 ASR Agreement, Ashland paid an initial purchase price of $450 million and received an initial delivery of 3.9 million shares of common stock during September 2021. The bank exercised its early termination option under the 2021 ASR Agreement in February 2022, and an additional 0.7 million shares were repurchased, bringing the total shares repurchased upon settlement to 4.6 million.</w:t>
      </w:r>
    </w:p>
    <w:p>
      <w:pPr>
        <w:spacing w:after="0" w:line="78"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On March 1, 2022, under the 2018 stock repurchase program, Ashland entered into an agreement to repurchase an aggregate amount of $200 million of Ashland common stock using open-market purchases under rule 10b-18. On April 8, 2022, Ashland completed repurchases under this agreement repurchasing a total of 2.15 million shares for a total amount of $200 million.</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Operational business model changes and restructurings</w:t>
      </w:r>
    </w:p>
    <w:p>
      <w:pPr>
        <w:spacing w:after="0" w:line="112"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As previously disclosed, during the second quarter of fiscal year 2020, Ashland changed the manner in which it manages the business moving from a functionally led to a business led organization. This new business-centric operational redesign of core operating systems and processes lead to a realignment in both the selling, general and administrative and research and development costs (SARD) associated with each business. In addition to the realignment of SARD, a productivity review with a focus on cost of goods sold (COGS) was also initiated. Based on these initiatives, Ashland targeted the following savings:</w:t>
      </w:r>
    </w:p>
    <w:p>
      <w:pPr>
        <w:spacing w:after="0" w:line="63" w:lineRule="exact"/>
        <w:rPr>
          <w:sz w:val="20"/>
          <w:szCs w:val="20"/>
          <w:color w:val="auto"/>
        </w:rPr>
      </w:pPr>
    </w:p>
    <w:p>
      <w:pPr>
        <w:ind w:left="1120" w:hanging="363"/>
        <w:spacing w:after="0"/>
        <w:tabs>
          <w:tab w:leader="none" w:pos="11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 million of incremental SARD cost savings</w:t>
      </w:r>
    </w:p>
    <w:p>
      <w:pPr>
        <w:spacing w:after="0" w:line="40" w:lineRule="exact"/>
        <w:rPr>
          <w:rFonts w:ascii="Times New Roman" w:cs="Times New Roman" w:eastAsia="Times New Roman" w:hAnsi="Times New Roman"/>
          <w:sz w:val="20"/>
          <w:szCs w:val="20"/>
          <w:color w:val="auto"/>
        </w:rPr>
      </w:pPr>
    </w:p>
    <w:p>
      <w:pPr>
        <w:ind w:left="1120" w:hanging="363"/>
        <w:spacing w:after="0"/>
        <w:tabs>
          <w:tab w:leader="none" w:pos="11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 million of incremental COGS productivity savings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As of June 30, 2022, Ashland has achieved substantially all of its target run-rate cost savings under these initiatives.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 CONSOLIDATED REVIEW</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Consolidated review</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Net income</w:t>
      </w:r>
    </w:p>
    <w:p>
      <w:pPr>
        <w:spacing w:after="0" w:line="112" w:lineRule="exact"/>
        <w:rPr>
          <w:sz w:val="20"/>
          <w:szCs w:val="20"/>
          <w:color w:val="auto"/>
        </w:rPr>
      </w:pPr>
    </w:p>
    <w:p>
      <w:pPr>
        <w:ind w:left="380"/>
        <w:spacing w:after="0" w:line="269" w:lineRule="auto"/>
        <w:rPr>
          <w:sz w:val="20"/>
          <w:szCs w:val="20"/>
          <w:color w:val="auto"/>
        </w:rPr>
      </w:pPr>
      <w:r>
        <w:rPr>
          <w:rFonts w:ascii="Times New Roman" w:cs="Times New Roman" w:eastAsia="Times New Roman" w:hAnsi="Times New Roman"/>
          <w:sz w:val="20"/>
          <w:szCs w:val="20"/>
          <w:color w:val="auto"/>
        </w:rPr>
        <w:t>Ashland’s net income is primarily affected by results within operating income, net interest and other expense, income taxes, discontinued operations and other significant events or transactions that are unusual or nonrecurring.</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Key financial results for the three months ended June 30, 2022 and 2021 included the following:</w:t>
      </w:r>
    </w:p>
    <w:p>
      <w:pPr>
        <w:spacing w:after="0" w:line="108" w:lineRule="exact"/>
        <w:rPr>
          <w:sz w:val="20"/>
          <w:szCs w:val="20"/>
          <w:color w:val="auto"/>
        </w:rPr>
      </w:pPr>
    </w:p>
    <w:p>
      <w:pPr>
        <w:ind w:left="740" w:hanging="358"/>
        <w:spacing w:after="0" w:line="269" w:lineRule="auto"/>
        <w:tabs>
          <w:tab w:leader="none" w:pos="7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Ashland’s net income amounted to $36 million compared to $80 million for the three months ended June 30, 2022 and 2021, respectively, or income of $0.65 and $1.29 diluted earnings per share, respectively.</w:t>
      </w:r>
    </w:p>
    <w:p>
      <w:pPr>
        <w:spacing w:after="0" w:line="37" w:lineRule="exact"/>
        <w:rPr>
          <w:rFonts w:ascii="Times New Roman" w:cs="Times New Roman" w:eastAsia="Times New Roman" w:hAnsi="Times New Roman"/>
          <w:sz w:val="20"/>
          <w:szCs w:val="20"/>
          <w:color w:val="auto"/>
        </w:rPr>
      </w:pPr>
    </w:p>
    <w:p>
      <w:pPr>
        <w:ind w:left="740" w:hanging="358"/>
        <w:spacing w:after="0" w:line="269" w:lineRule="auto"/>
        <w:tabs>
          <w:tab w:leader="none" w:pos="7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Discontinued operations, which are reported net of taxes, resulted in expense of $15 million and income of $8 million during the three months ended June 30, 2022 and 2021, respectively.</w:t>
      </w:r>
    </w:p>
    <w:p>
      <w:pPr>
        <w:spacing w:after="0" w:line="51" w:lineRule="exact"/>
        <w:rPr>
          <w:rFonts w:ascii="Times New Roman" w:cs="Times New Roman" w:eastAsia="Times New Roman" w:hAnsi="Times New Roman"/>
          <w:sz w:val="20"/>
          <w:szCs w:val="20"/>
          <w:color w:val="auto"/>
        </w:rPr>
      </w:pPr>
    </w:p>
    <w:p>
      <w:pPr>
        <w:ind w:left="740" w:hanging="358"/>
        <w:spacing w:after="0" w:line="269" w:lineRule="auto"/>
        <w:tabs>
          <w:tab w:leader="none" w:pos="7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from continuing operations, which excludes results from discontinued operations, amounted to income of $51 million and $72 million for the three months ended June 30, 2022 and 2021, respectively.</w:t>
      </w:r>
    </w:p>
    <w:p>
      <w:pPr>
        <w:spacing w:after="0" w:line="5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23" w:right="719" w:bottom="1440" w:gutter="0" w:footer="0" w:header="0"/>
        </w:sectPr>
      </w:pPr>
    </w:p>
    <w:bookmarkStart w:id="37" w:name="page38"/>
    <w:bookmarkEnd w:id="37"/>
    <w:p>
      <w:pPr>
        <w:ind w:left="360" w:hanging="358"/>
        <w:spacing w:after="0" w:line="269" w:lineRule="auto"/>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income tax rates were an expense of 2% and a benefit of 57% for the three months ended June 30, 2022 and 2021, respectively, and were significantly impacted by certain tax discrete items in both the current and prior year quarters.</w:t>
      </w:r>
    </w:p>
    <w:p>
      <w:pPr>
        <w:spacing w:after="0" w:line="51" w:lineRule="exact"/>
        <w:rPr>
          <w:rFonts w:ascii="Times New Roman" w:cs="Times New Roman" w:eastAsia="Times New Roman" w:hAnsi="Times New Roman"/>
          <w:sz w:val="20"/>
          <w:szCs w:val="20"/>
          <w:color w:val="auto"/>
        </w:rPr>
      </w:pPr>
    </w:p>
    <w:p>
      <w:pPr>
        <w:jc w:val="both"/>
        <w:ind w:left="360" w:hanging="358"/>
        <w:spacing w:after="0" w:line="254" w:lineRule="auto"/>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incurred pretax net interest and other expense of $59 million and $1 million for the three months ended June 30, 2022 and 2021, respectively. This includes losses of $48 million and gains of $15 million on restricted investments, respectively, for the current and prior year quarters.</w:t>
      </w:r>
    </w:p>
    <w:p>
      <w:pPr>
        <w:spacing w:after="0" w:line="66" w:lineRule="exact"/>
        <w:rPr>
          <w:rFonts w:ascii="Times New Roman" w:cs="Times New Roman" w:eastAsia="Times New Roman" w:hAnsi="Times New Roman"/>
          <w:sz w:val="20"/>
          <w:szCs w:val="20"/>
          <w:color w:val="auto"/>
        </w:rPr>
      </w:pPr>
    </w:p>
    <w:p>
      <w:pPr>
        <w:ind w:left="360" w:hanging="358"/>
        <w:spacing w:after="0"/>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net periodic benefit loss amounted to a loss of $1 million in the current period.</w:t>
      </w:r>
    </w:p>
    <w:p>
      <w:pPr>
        <w:spacing w:after="0" w:line="94" w:lineRule="exact"/>
        <w:rPr>
          <w:rFonts w:ascii="Times New Roman" w:cs="Times New Roman" w:eastAsia="Times New Roman" w:hAnsi="Times New Roman"/>
          <w:sz w:val="20"/>
          <w:szCs w:val="20"/>
          <w:color w:val="auto"/>
        </w:rPr>
      </w:pPr>
    </w:p>
    <w:p>
      <w:pPr>
        <w:ind w:left="360" w:hanging="358"/>
        <w:spacing w:after="0" w:line="269" w:lineRule="auto"/>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on acquisitions and divestitures, was $35 million and $2 million for the three months ended June 30, 2022 and 2021, respectively, reflecting the gain on sale of an excess and unused parcel of land in the current quarter.</w:t>
      </w:r>
    </w:p>
    <w:p>
      <w:pPr>
        <w:spacing w:after="0" w:line="51" w:lineRule="exact"/>
        <w:rPr>
          <w:rFonts w:ascii="Times New Roman" w:cs="Times New Roman" w:eastAsia="Times New Roman" w:hAnsi="Times New Roman"/>
          <w:sz w:val="20"/>
          <w:szCs w:val="20"/>
          <w:color w:val="auto"/>
        </w:rPr>
      </w:pPr>
    </w:p>
    <w:p>
      <w:pPr>
        <w:ind w:left="360" w:hanging="358"/>
        <w:spacing w:after="0"/>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was $77 million and $45 million for the three months ended June 30, 2022 and 2021,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Key financial results for the nine months ended June 30, 2022 and 2021 included the following:</w:t>
      </w:r>
    </w:p>
    <w:p>
      <w:pPr>
        <w:spacing w:after="0" w:line="108" w:lineRule="exact"/>
        <w:rPr>
          <w:sz w:val="20"/>
          <w:szCs w:val="20"/>
          <w:color w:val="auto"/>
        </w:rPr>
      </w:pPr>
    </w:p>
    <w:p>
      <w:pPr>
        <w:ind w:left="360" w:hanging="358"/>
        <w:spacing w:after="0" w:line="269" w:lineRule="auto"/>
        <w:tabs>
          <w:tab w:leader="none" w:pos="3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Ashland’s net income amounted to $870 million compared to $176 million for the nine months ended June 30, 2022 and 2021, respectively, or income of $15.28 and $2.87 diluted earnings per share, respectively.</w:t>
      </w:r>
    </w:p>
    <w:p>
      <w:pPr>
        <w:spacing w:after="0" w:line="37" w:lineRule="exact"/>
        <w:rPr>
          <w:rFonts w:ascii="Times New Roman" w:cs="Times New Roman" w:eastAsia="Times New Roman" w:hAnsi="Times New Roman"/>
          <w:sz w:val="20"/>
          <w:szCs w:val="20"/>
          <w:color w:val="auto"/>
        </w:rPr>
      </w:pPr>
    </w:p>
    <w:p>
      <w:pPr>
        <w:jc w:val="both"/>
        <w:ind w:left="360" w:hanging="358"/>
        <w:spacing w:after="0" w:line="254" w:lineRule="auto"/>
        <w:tabs>
          <w:tab w:leader="none" w:pos="3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Discontinued operations, which are reported net of taxes, resulted in income of $749 million and $37 million during the nine months ended June 30, 2022 and 2021, respectively. The current period includes a $732 million gain on the sale of the Performance Adhesives business segment.</w:t>
      </w:r>
    </w:p>
    <w:p>
      <w:pPr>
        <w:spacing w:after="0" w:line="66" w:lineRule="exact"/>
        <w:rPr>
          <w:rFonts w:ascii="Times New Roman" w:cs="Times New Roman" w:eastAsia="Times New Roman" w:hAnsi="Times New Roman"/>
          <w:sz w:val="20"/>
          <w:szCs w:val="20"/>
          <w:color w:val="auto"/>
        </w:rPr>
      </w:pPr>
    </w:p>
    <w:p>
      <w:pPr>
        <w:ind w:left="360" w:hanging="358"/>
        <w:spacing w:after="0" w:line="269" w:lineRule="auto"/>
        <w:tabs>
          <w:tab w:leader="none" w:pos="3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from continuing operations, which excludes results from discontinued operations, amounted to income of $121 million and $139 million for the nine months ended June 30, 2022 and 2021, respectively.</w:t>
      </w:r>
    </w:p>
    <w:p>
      <w:pPr>
        <w:spacing w:after="0" w:line="51" w:lineRule="exact"/>
        <w:rPr>
          <w:rFonts w:ascii="Times New Roman" w:cs="Times New Roman" w:eastAsia="Times New Roman" w:hAnsi="Times New Roman"/>
          <w:sz w:val="20"/>
          <w:szCs w:val="20"/>
          <w:color w:val="auto"/>
        </w:rPr>
      </w:pPr>
    </w:p>
    <w:p>
      <w:pPr>
        <w:ind w:left="360" w:hanging="358"/>
        <w:spacing w:after="0" w:line="269" w:lineRule="auto"/>
        <w:tabs>
          <w:tab w:leader="none" w:pos="3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income tax rates were an expense of 17% and a benefit of 34% for the nine months ended June 30, 2022 and 2021, respectively, and were significantly impacted by certain tax discrete items in both the current and prior year periods.</w:t>
      </w:r>
    </w:p>
    <w:p>
      <w:pPr>
        <w:spacing w:after="0" w:line="37" w:lineRule="exact"/>
        <w:rPr>
          <w:rFonts w:ascii="Times New Roman" w:cs="Times New Roman" w:eastAsia="Times New Roman" w:hAnsi="Times New Roman"/>
          <w:sz w:val="20"/>
          <w:szCs w:val="20"/>
          <w:color w:val="auto"/>
        </w:rPr>
      </w:pPr>
    </w:p>
    <w:p>
      <w:pPr>
        <w:jc w:val="both"/>
        <w:ind w:left="360" w:hanging="358"/>
        <w:spacing w:after="0" w:line="254" w:lineRule="auto"/>
        <w:tabs>
          <w:tab w:leader="none" w:pos="3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incurred pretax net interest and other expense of $108 million and $18 million for the nine months ended June 30, 2022 and 2021, respectively. This includes losses of $72 million and gains of $26 million on restricted investments, respectively, for the current and prior year periods.</w:t>
      </w:r>
    </w:p>
    <w:p>
      <w:pPr>
        <w:spacing w:after="0" w:line="66" w:lineRule="exact"/>
        <w:rPr>
          <w:rFonts w:ascii="Times New Roman" w:cs="Times New Roman" w:eastAsia="Times New Roman" w:hAnsi="Times New Roman"/>
          <w:sz w:val="20"/>
          <w:szCs w:val="20"/>
          <w:color w:val="auto"/>
        </w:rPr>
      </w:pPr>
    </w:p>
    <w:p>
      <w:pPr>
        <w:ind w:left="360" w:hanging="358"/>
        <w:spacing w:after="0"/>
        <w:tabs>
          <w:tab w:leader="none" w:pos="3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net periodic benefit loss netted to zero for both the current and prior year periods. See Note K for more information.</w:t>
      </w:r>
    </w:p>
    <w:p>
      <w:pPr>
        <w:spacing w:after="0" w:line="107" w:lineRule="exact"/>
        <w:rPr>
          <w:rFonts w:ascii="Times New Roman" w:cs="Times New Roman" w:eastAsia="Times New Roman" w:hAnsi="Times New Roman"/>
          <w:sz w:val="20"/>
          <w:szCs w:val="20"/>
          <w:color w:val="auto"/>
        </w:rPr>
      </w:pPr>
    </w:p>
    <w:p>
      <w:pPr>
        <w:ind w:left="360" w:hanging="358"/>
        <w:spacing w:after="0" w:line="269" w:lineRule="auto"/>
        <w:tabs>
          <w:tab w:leader="none" w:pos="3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on acquisitions and divestitures, was $42 million and $11 million for the nine months ended June 30, 2022 and 2021, respectively, reflecting the gain on sale of two excess and unused parcels of land in the current period.</w:t>
      </w:r>
    </w:p>
    <w:p>
      <w:pPr>
        <w:spacing w:after="0" w:line="37" w:lineRule="exact"/>
        <w:rPr>
          <w:rFonts w:ascii="Times New Roman" w:cs="Times New Roman" w:eastAsia="Times New Roman" w:hAnsi="Times New Roman"/>
          <w:sz w:val="20"/>
          <w:szCs w:val="20"/>
          <w:color w:val="auto"/>
        </w:rPr>
      </w:pPr>
    </w:p>
    <w:p>
      <w:pPr>
        <w:ind w:left="360" w:hanging="358"/>
        <w:spacing w:after="0"/>
        <w:tabs>
          <w:tab w:leader="none" w:pos="3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was $212 million and $111 million for the nine months ended June 30, 2022 and 2021, respectively.</w:t>
      </w:r>
    </w:p>
    <w:p>
      <w:pPr>
        <w:spacing w:after="0" w:line="10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For further information on the items reported above, see the discussion in the comparative Statements of Consolidated Comprehensive Income (Loss) caption review analysis.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7" w:right="7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i w:val="1"/>
          <w:iCs w:val="1"/>
          <w:color w:val="auto"/>
        </w:rPr>
        <w:t>Operating income</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Operating income amounted to income of $77 million and $45 million for the three months ended June 30, 2022 and 2021, respectively. The current and prior year quarters’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72" w:lineRule="exact"/>
        <w:rPr>
          <w:sz w:val="20"/>
          <w:szCs w:val="20"/>
          <w:color w:val="auto"/>
        </w:rPr>
      </w:pPr>
    </w:p>
    <w:p>
      <w:pPr>
        <w:jc w:val="both"/>
        <w:ind w:left="360" w:hanging="358"/>
        <w:spacing w:after="0" w:line="243" w:lineRule="auto"/>
        <w:tabs>
          <w:tab w:leader="none" w:pos="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As a result of these activities, Ashland recorded expenses in the current and prior year quarters. See Note D in the Notes to Condensed Consolidated Financial Statements for further information on the restructuring activities.</w:t>
      </w:r>
    </w:p>
    <w:p>
      <w:pPr>
        <w:spacing w:after="0" w:line="77" w:lineRule="exact"/>
        <w:rPr>
          <w:rFonts w:ascii="Times New Roman" w:cs="Times New Roman" w:eastAsia="Times New Roman" w:hAnsi="Times New Roman"/>
          <w:sz w:val="20"/>
          <w:szCs w:val="20"/>
          <w:color w:val="auto"/>
        </w:rPr>
      </w:pPr>
    </w:p>
    <w:p>
      <w:pPr>
        <w:ind w:left="360" w:hanging="358"/>
        <w:spacing w:after="0" w:line="269" w:lineRule="auto"/>
        <w:tabs>
          <w:tab w:leader="none" w:pos="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adjustment - Ashland recorded non-cash charges related to the fair value adjustment of inventory acquired from Schülke at the date of acquisition during the prior year quarter.</w:t>
      </w:r>
    </w:p>
    <w:p>
      <w:pPr>
        <w:spacing w:after="0" w:line="37" w:lineRule="exact"/>
        <w:rPr>
          <w:rFonts w:ascii="Times New Roman" w:cs="Times New Roman" w:eastAsia="Times New Roman" w:hAnsi="Times New Roman"/>
          <w:sz w:val="20"/>
          <w:szCs w:val="20"/>
          <w:color w:val="auto"/>
        </w:rPr>
      </w:pPr>
    </w:p>
    <w:p>
      <w:pPr>
        <w:jc w:val="both"/>
        <w:ind w:left="360" w:hanging="358"/>
        <w:spacing w:after="0" w:line="246" w:lineRule="auto"/>
        <w:tabs>
          <w:tab w:leader="none" w:pos="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the current and prior year quarters to its environmental liabilities and receivables related to operating facilities and previously divested businesses or non-operational sites. See Note L of the Notes to Condensed Consolidated Financial Statements for more information.</w:t>
      </w:r>
    </w:p>
    <w:p>
      <w:pPr>
        <w:spacing w:after="0" w:line="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Operating income for the three months ended June 30, 2022 and 2021 included depreciation and amortization of $61 million and $63 million, respectively.</w:t>
      </w:r>
    </w:p>
    <w:p>
      <w:pPr>
        <w:spacing w:after="0" w:line="3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Operating income amounted to income of $212 million and $111 million for the nine months ended June 30, 2022 and 2021, respectively. The current and prior year periods'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72" w:lineRule="exact"/>
        <w:rPr>
          <w:sz w:val="20"/>
          <w:szCs w:val="20"/>
          <w:color w:val="auto"/>
        </w:rPr>
      </w:pPr>
    </w:p>
    <w:p>
      <w:pPr>
        <w:jc w:val="both"/>
        <w:ind w:left="360" w:hanging="358"/>
        <w:spacing w:after="0" w:line="243" w:lineRule="auto"/>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As a result of these activities, Ashland recorded expenses in the current and prior year periods. See Note D in the Notes to Condensed Consolidated Financial Statements for further information on the restructuring activities.</w:t>
      </w:r>
    </w:p>
    <w:p>
      <w:pPr>
        <w:spacing w:after="0" w:line="77" w:lineRule="exact"/>
        <w:rPr>
          <w:rFonts w:ascii="Times New Roman" w:cs="Times New Roman" w:eastAsia="Times New Roman" w:hAnsi="Times New Roman"/>
          <w:sz w:val="20"/>
          <w:szCs w:val="20"/>
          <w:color w:val="auto"/>
        </w:rPr>
      </w:pPr>
    </w:p>
    <w:p>
      <w:pPr>
        <w:ind w:left="360" w:hanging="358"/>
        <w:spacing w:after="0" w:line="269" w:lineRule="auto"/>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adjustment - Ashland recorded non-cash charges related to the fair value adjustment of inventory acquired from Schülke at the date of acquisition during the prior year period.</w:t>
      </w:r>
    </w:p>
    <w:p>
      <w:pPr>
        <w:spacing w:after="0" w:line="51" w:lineRule="exact"/>
        <w:rPr>
          <w:rFonts w:ascii="Times New Roman" w:cs="Times New Roman" w:eastAsia="Times New Roman" w:hAnsi="Times New Roman"/>
          <w:sz w:val="20"/>
          <w:szCs w:val="20"/>
          <w:color w:val="auto"/>
        </w:rPr>
      </w:pPr>
    </w:p>
    <w:p>
      <w:pPr>
        <w:ind w:left="360" w:hanging="358"/>
        <w:spacing w:after="0" w:line="255" w:lineRule="auto"/>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nine months ended June 30, 2021, Ashland incurred an impairment charge associated with a long-term capital project plan change at a plant facility.</w:t>
      </w:r>
    </w:p>
    <w:p>
      <w:pPr>
        <w:spacing w:after="0" w:line="64" w:lineRule="exact"/>
        <w:rPr>
          <w:rFonts w:ascii="Times New Roman" w:cs="Times New Roman" w:eastAsia="Times New Roman" w:hAnsi="Times New Roman"/>
          <w:sz w:val="20"/>
          <w:szCs w:val="20"/>
          <w:color w:val="auto"/>
        </w:rPr>
      </w:pPr>
    </w:p>
    <w:p>
      <w:pPr>
        <w:jc w:val="both"/>
        <w:ind w:left="360" w:hanging="358"/>
        <w:spacing w:after="0" w:line="246" w:lineRule="auto"/>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the current and prior year periods to its environmental liabilities and receivables related to operating facilities and previously divested businesses or non-operational sites. See Note L of the Notes to Condensed Consolidated Financial Statements for more information.</w:t>
      </w:r>
    </w:p>
    <w:p>
      <w:pPr>
        <w:spacing w:after="0" w:line="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Operating income for the nine months ended June 30, 2022 and 2021 included depreciation and amortization of $182 million and $180 million, respectively.</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3" w:right="719" w:bottom="1440" w:gutter="0" w:footer="0" w:header="0"/>
        </w:sectPr>
      </w:pPr>
    </w:p>
    <w:bookmarkStart w:id="39" w:name="page40"/>
    <w:bookmarkEnd w:id="39"/>
    <w:p>
      <w:pPr>
        <w:ind w:left="380"/>
        <w:spacing w:after="0"/>
        <w:rPr>
          <w:sz w:val="20"/>
          <w:szCs w:val="20"/>
          <w:color w:val="auto"/>
        </w:rPr>
      </w:pPr>
      <w:r>
        <w:rPr>
          <w:rFonts w:ascii="Times New Roman" w:cs="Times New Roman" w:eastAsia="Times New Roman" w:hAnsi="Times New Roman"/>
          <w:sz w:val="20"/>
          <w:szCs w:val="20"/>
          <w:i w:val="1"/>
          <w:iCs w:val="1"/>
          <w:color w:val="auto"/>
        </w:rPr>
        <w:t>Non-operating key items affecting EBITDA</w:t>
      </w:r>
    </w:p>
    <w:p>
      <w:pPr>
        <w:spacing w:after="0" w:line="112" w:lineRule="exact"/>
        <w:rPr>
          <w:sz w:val="20"/>
          <w:szCs w:val="20"/>
          <w:color w:val="auto"/>
        </w:rPr>
      </w:pPr>
    </w:p>
    <w:p>
      <w:pPr>
        <w:jc w:val="both"/>
        <w:ind w:left="740" w:right="380" w:hanging="358"/>
        <w:spacing w:after="0" w:line="242" w:lineRule="auto"/>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on acquisitions and divestitures, net – Ashland recorded income of $35 and $2 million during the three months ended June 30, 2022 and 2021, respectively, and income of $42 million and $11 million during the nine months ended June 30, 2022 and 2021, respectively. The income for the three and nine months ended June 30, 2022 related to pre-tax gains related to the sale of excess corporate property. Additionally, Ashland recorded a $2 million gain and $3 million expense relating to transaction costs associated with Schülke during the three and nine months ended June 30, 2021, respectively, and a $14 million gain related to the sale of a Specialty Additives facility during the nine months ended June 30, 2021.</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Statements of Consolidated Comprehensive Income (Loss) – caption review</w:t>
      </w:r>
    </w:p>
    <w:p>
      <w:pPr>
        <w:spacing w:after="0" w:line="112"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A comparative analysis of the Statements of Consolidated Comprehensive Income (Loss) by caption is provided as follows for the three and nine months ended June 30, 2022 and 2021.</w:t>
      </w:r>
    </w:p>
    <w:p>
      <w:pPr>
        <w:spacing w:after="0" w:line="149"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29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2600" w:type="dxa"/>
            <w:vAlign w:val="bottom"/>
            <w:tcBorders>
              <w:top w:val="single" w:sz="8" w:color="auto"/>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25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June 30</w:t>
            </w:r>
          </w:p>
        </w:tc>
        <w:tc>
          <w:tcPr>
            <w:tcW w:w="7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644</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543</w:t>
            </w:r>
          </w:p>
        </w:tc>
        <w:tc>
          <w:tcPr>
            <w:tcW w:w="5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1,759</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1,520</w:t>
            </w:r>
          </w:p>
        </w:tc>
        <w:tc>
          <w:tcPr>
            <w:tcW w:w="5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sales for the three and nine months ended June 30, 2022 and 2021.</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6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June 30, 2022</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June 30, 2022</w:t>
            </w:r>
          </w:p>
        </w:tc>
      </w:tr>
      <w:tr>
        <w:trPr>
          <w:trHeight w:val="21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Pricing/product mix</w:t>
            </w:r>
          </w:p>
        </w:tc>
        <w:tc>
          <w:tcPr>
            <w:tcW w:w="180" w:type="dxa"/>
            <w:vAlign w:val="bottom"/>
          </w:tcPr>
          <w:p>
            <w:pPr>
              <w:spacing w:after="0"/>
              <w:rPr>
                <w:sz w:val="18"/>
                <w:szCs w:val="18"/>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w:t>
            </w: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50"/>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sales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-24765</wp:posOffset>
            </wp:positionV>
            <wp:extent cx="1111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1111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0"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Sales for the current quarter increased $101 million compared to the prior year quarter. Favorable volume, including the acquisition of Schülke within the Personal Care reportable segment, and product pricing/product mix associated with cost inflation pricing actions increased sales by $30 million and $97 million, respectively, partially offset by unfavorable foreign currency exchange of $26 million.</w:t>
      </w:r>
    </w:p>
    <w:p>
      <w:pPr>
        <w:spacing w:after="0" w:line="77"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Sales for the current year increased $239 million compared to the prior year period. Favorable volume, including the acquisition of Schülke within the Personal Care reportable segment, and product pricing/product mix associated with cost inflation pricing actions increased sales by $90 million and $193 million, respectively, partially offset by unfavorable foreign currency exchange of $44 million.</w:t>
      </w:r>
    </w:p>
    <w:p>
      <w:pPr>
        <w:spacing w:after="0" w:line="371"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0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800" w:type="dxa"/>
            <w:vAlign w:val="bottom"/>
            <w:tcBorders>
              <w:top w:val="single" w:sz="8" w:color="auto"/>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Nine months ended June 30</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1,139</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as a percent of sales</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80" w:right="380"/>
        <w:spacing w:after="0" w:line="255"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 in cost of sales between the three and nine months ended June 30, 2022 and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Nine months ended</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June 30, 2022</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June 30, 2022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w:t>
            </w:r>
          </w:p>
        </w:tc>
        <w:tc>
          <w:tcPr>
            <w:tcW w:w="2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Volume</w:t>
            </w:r>
          </w:p>
        </w:tc>
        <w:tc>
          <w:tcPr>
            <w:tcW w:w="2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Price/mix</w:t>
            </w:r>
          </w:p>
        </w:tc>
        <w:tc>
          <w:tcPr>
            <w:tcW w:w="2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3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28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cost of sales</w:t>
            </w:r>
          </w:p>
        </w:tc>
        <w:tc>
          <w:tcPr>
            <w:tcW w:w="2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-582295</wp:posOffset>
            </wp:positionV>
            <wp:extent cx="12001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40" w:name="page41"/>
    <w:bookmarkEnd w:id="40"/>
    <w:p>
      <w:pPr>
        <w:jc w:val="both"/>
        <w:ind w:left="380" w:right="380"/>
        <w:spacing w:after="0" w:line="246"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Cost of sales for the current quarter increased $34 million compared to the prior year quarter. Price/mix, which includes cost inflation associated with plant manufacturing and shipping costs, and higher volume, including Schülke, increased cost of sales by $28 million and $18 million, respectively. These increases were partially offset by foreign currency exchange, which decreased cost of sales by $12 million. Disciplined pricing and mix actions by Ashland's commercial teams continue to improve operating margins as gross profit as a percentage of sales expanded 5.4 percentage points during the current quarter.</w:t>
      </w:r>
    </w:p>
    <w:p>
      <w:pPr>
        <w:spacing w:after="0" w:line="77" w:lineRule="exact"/>
        <w:rPr>
          <w:sz w:val="20"/>
          <w:szCs w:val="20"/>
          <w:color w:val="auto"/>
        </w:rPr>
      </w:pPr>
    </w:p>
    <w:p>
      <w:pPr>
        <w:jc w:val="both"/>
        <w:ind w:left="380" w:right="380"/>
        <w:spacing w:after="0" w:line="243"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Cost of sales for the current year increased $99 million compared to the prior year period. Price/mix, which includes cost inflation associated with plant manufacturing and shipping costs, and higher volume, including Schülke, increased cost of sales by $68 million and $54 million, respectively. These increases were partially offset by foreign currency exchange, which decreased cost of sales by $23 million. Disciplined pricing and mix actions by Ashland's commercial teams continue to improve operating margins as gross profit as a percentage of sales expanded 3.6 percentage points during the current period.</w:t>
      </w:r>
    </w:p>
    <w:p>
      <w:pPr>
        <w:spacing w:after="0" w:line="378"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0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 June 30</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percent of sales</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80" w:right="380"/>
        <w:spacing w:after="0" w:line="247"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Selling, general and administrative expense for the current quarter increased $34 million compared to the prior year quarter with expenses as a percent of sales increasing 2.6 percentage points. Key drivers of the fluctuation in selling, general and administrative expense compared to the prior year quarter were:</w:t>
      </w:r>
    </w:p>
    <w:p>
      <w:pPr>
        <w:spacing w:after="0" w:line="73" w:lineRule="exact"/>
        <w:rPr>
          <w:sz w:val="20"/>
          <w:szCs w:val="20"/>
          <w:color w:val="auto"/>
        </w:rPr>
      </w:pPr>
    </w:p>
    <w:p>
      <w:pPr>
        <w:ind w:left="740" w:right="380" w:hanging="358"/>
        <w:spacing w:after="0" w:line="269" w:lineRule="auto"/>
        <w:tabs>
          <w:tab w:leader="none" w:pos="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 of $1 million and income of $3 million during the three months ended June 30, 2022 and 2021, respectively, comprised of key items for severance, lease abandonment and other restructuring costs;</w:t>
      </w:r>
    </w:p>
    <w:p>
      <w:pPr>
        <w:spacing w:after="0" w:line="51" w:lineRule="exact"/>
        <w:rPr>
          <w:rFonts w:ascii="Times New Roman" w:cs="Times New Roman" w:eastAsia="Times New Roman" w:hAnsi="Times New Roman"/>
          <w:sz w:val="20"/>
          <w:szCs w:val="20"/>
          <w:color w:val="auto"/>
        </w:rPr>
      </w:pPr>
    </w:p>
    <w:p>
      <w:pPr>
        <w:ind w:left="740" w:right="380" w:hanging="358"/>
        <w:spacing w:after="0" w:line="269" w:lineRule="auto"/>
        <w:tabs>
          <w:tab w:leader="none" w:pos="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$36 million and $22 million in net environmental-related expenses during the current and prior year quarter, respectively (see Note L for more information); and</w:t>
      </w:r>
    </w:p>
    <w:p>
      <w:pPr>
        <w:spacing w:after="0" w:line="51" w:lineRule="exact"/>
        <w:rPr>
          <w:rFonts w:ascii="Times New Roman" w:cs="Times New Roman" w:eastAsia="Times New Roman" w:hAnsi="Times New Roman"/>
          <w:sz w:val="20"/>
          <w:szCs w:val="20"/>
          <w:color w:val="auto"/>
        </w:rPr>
      </w:pPr>
    </w:p>
    <w:p>
      <w:pPr>
        <w:ind w:left="740" w:hanging="358"/>
        <w:spacing w:after="0"/>
        <w:tabs>
          <w:tab w:leader="none" w:pos="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associated with the following:</w:t>
      </w:r>
    </w:p>
    <w:p>
      <w:pPr>
        <w:spacing w:after="0" w:line="8" w:lineRule="exact"/>
        <w:rPr>
          <w:sz w:val="20"/>
          <w:szCs w:val="20"/>
          <w:color w:val="auto"/>
        </w:rPr>
      </w:pPr>
    </w:p>
    <w:p>
      <w:pPr>
        <w:ind w:left="1540" w:hanging="514"/>
        <w:spacing w:after="0"/>
        <w:tabs>
          <w:tab w:leader="none" w:pos="15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incentive pay of $6 million;</w:t>
      </w:r>
    </w:p>
    <w:p>
      <w:pPr>
        <w:ind w:left="1540" w:hanging="514"/>
        <w:spacing w:after="0"/>
        <w:tabs>
          <w:tab w:leader="none" w:pos="15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deferred and stock compensation expense of $4 million;</w:t>
      </w:r>
    </w:p>
    <w:p>
      <w:pPr>
        <w:ind w:left="1540" w:hanging="514"/>
        <w:spacing w:after="0"/>
        <w:tabs>
          <w:tab w:leader="none" w:pos="15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Lower transition services income from INEOS of $3 million;</w:t>
      </w:r>
    </w:p>
    <w:p>
      <w:pPr>
        <w:ind w:left="1540" w:hanging="514"/>
        <w:spacing w:after="0"/>
        <w:tabs>
          <w:tab w:leader="none" w:pos="15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salary and benefits of $2 million; and</w:t>
      </w:r>
    </w:p>
    <w:p>
      <w:pPr>
        <w:ind w:left="1540" w:hanging="514"/>
        <w:spacing w:after="0"/>
        <w:tabs>
          <w:tab w:leader="none" w:pos="15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Schülke expense of $1 million.</w:t>
      </w:r>
    </w:p>
    <w:p>
      <w:pPr>
        <w:spacing w:after="0" w:line="86" w:lineRule="exact"/>
        <w:rPr>
          <w:sz w:val="20"/>
          <w:szCs w:val="20"/>
          <w:color w:val="auto"/>
        </w:rPr>
      </w:pPr>
    </w:p>
    <w:p>
      <w:pPr>
        <w:jc w:val="both"/>
        <w:ind w:left="380" w:right="380"/>
        <w:spacing w:after="0" w:line="247"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Selling, general and administrative expense for the current period increased $25 million compared to the prior year period with expenses as a percent of sales decreasing 1.0 percentage points. Key drivers of the fluctuation in selling, general and administrative expense compared to the prior year period were:</w:t>
      </w:r>
    </w:p>
    <w:p>
      <w:pPr>
        <w:spacing w:after="0" w:line="73" w:lineRule="exact"/>
        <w:rPr>
          <w:sz w:val="20"/>
          <w:szCs w:val="20"/>
          <w:color w:val="auto"/>
        </w:rPr>
      </w:pPr>
    </w:p>
    <w:p>
      <w:pPr>
        <w:ind w:left="740" w:right="380" w:hanging="358"/>
        <w:spacing w:after="0" w:line="269" w:lineRule="auto"/>
        <w:tabs>
          <w:tab w:leader="none" w:pos="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 of $3 million and $10 million comprised of key items for severance, lease abandonment and other restructuring costs during the nine months ended June 30, 2022 and 2021, respectively;</w:t>
      </w:r>
    </w:p>
    <w:p>
      <w:pPr>
        <w:spacing w:after="0" w:line="51" w:lineRule="exact"/>
        <w:rPr>
          <w:rFonts w:ascii="Times New Roman" w:cs="Times New Roman" w:eastAsia="Times New Roman" w:hAnsi="Times New Roman"/>
          <w:sz w:val="20"/>
          <w:szCs w:val="20"/>
          <w:color w:val="auto"/>
        </w:rPr>
      </w:pPr>
    </w:p>
    <w:p>
      <w:pPr>
        <w:ind w:left="740" w:hanging="358"/>
        <w:spacing w:after="0"/>
        <w:tabs>
          <w:tab w:leader="none" w:pos="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 million decrease related to a capital project impairment during the nine months ended June 30, 2021;</w:t>
      </w:r>
    </w:p>
    <w:p>
      <w:pPr>
        <w:spacing w:after="0" w:line="107" w:lineRule="exact"/>
        <w:rPr>
          <w:rFonts w:ascii="Times New Roman" w:cs="Times New Roman" w:eastAsia="Times New Roman" w:hAnsi="Times New Roman"/>
          <w:sz w:val="20"/>
          <w:szCs w:val="20"/>
          <w:color w:val="auto"/>
        </w:rPr>
      </w:pPr>
    </w:p>
    <w:p>
      <w:pPr>
        <w:ind w:left="740" w:right="380" w:hanging="358"/>
        <w:spacing w:after="0" w:line="269" w:lineRule="auto"/>
        <w:tabs>
          <w:tab w:leader="none" w:pos="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$48 million and $35 million in net environmental-related expenses during the current and prior year period, respectively (see Note L for more information); and</w:t>
      </w:r>
    </w:p>
    <w:p>
      <w:pPr>
        <w:spacing w:after="0" w:line="37" w:lineRule="exact"/>
        <w:rPr>
          <w:rFonts w:ascii="Times New Roman" w:cs="Times New Roman" w:eastAsia="Times New Roman" w:hAnsi="Times New Roman"/>
          <w:sz w:val="20"/>
          <w:szCs w:val="20"/>
          <w:color w:val="auto"/>
        </w:rPr>
      </w:pPr>
    </w:p>
    <w:p>
      <w:pPr>
        <w:ind w:left="740" w:hanging="358"/>
        <w:spacing w:after="0"/>
        <w:tabs>
          <w:tab w:leader="none" w:pos="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associated with the following:</w:t>
      </w:r>
    </w:p>
    <w:p>
      <w:pPr>
        <w:spacing w:after="0" w:line="21" w:lineRule="exact"/>
        <w:rPr>
          <w:sz w:val="20"/>
          <w:szCs w:val="20"/>
          <w:color w:val="auto"/>
        </w:rPr>
      </w:pPr>
    </w:p>
    <w:p>
      <w:pPr>
        <w:ind w:left="1540" w:hanging="514"/>
        <w:spacing w:after="0"/>
        <w:tabs>
          <w:tab w:leader="none" w:pos="15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Lower transition services income from INEOS of $8 million;</w:t>
      </w:r>
    </w:p>
    <w:p>
      <w:pPr>
        <w:ind w:left="1540" w:hanging="514"/>
        <w:spacing w:after="0"/>
        <w:tabs>
          <w:tab w:leader="none" w:pos="15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deferred and stock compensation expense of $7 million;</w:t>
      </w:r>
    </w:p>
    <w:p>
      <w:pPr>
        <w:ind w:left="1540" w:hanging="514"/>
        <w:spacing w:after="0"/>
        <w:tabs>
          <w:tab w:leader="none" w:pos="15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Schülke expense of $6 million;</w:t>
      </w:r>
    </w:p>
    <w:p>
      <w:pPr>
        <w:ind w:left="1540" w:hanging="514"/>
        <w:spacing w:after="0"/>
        <w:tabs>
          <w:tab w:leader="none" w:pos="15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incentive pay of $4 million; and</w:t>
      </w:r>
    </w:p>
    <w:p>
      <w:pPr>
        <w:ind w:left="1540" w:hanging="514"/>
        <w:spacing w:after="0"/>
        <w:tabs>
          <w:tab w:leader="none" w:pos="15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salary, benefits and travel and entertainment expenses of $3 million.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 w:type="dxa"/>
            <w:vAlign w:val="bottom"/>
          </w:tcPr>
          <w:p>
            <w:pPr>
              <w:spacing w:after="0"/>
              <w:rPr>
                <w:sz w:val="19"/>
                <w:szCs w:val="19"/>
                <w:color w:val="auto"/>
              </w:rPr>
            </w:pPr>
          </w:p>
        </w:tc>
        <w:tc>
          <w:tcPr>
            <w:tcW w:w="39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top w:val="single" w:sz="8" w:color="auto"/>
              <w:bottom w:val="single" w:sz="8" w:color="auto"/>
            </w:tcBorders>
          </w:tcPr>
          <w:p>
            <w:pPr>
              <w:spacing w:after="0"/>
              <w:rPr>
                <w:sz w:val="19"/>
                <w:szCs w:val="19"/>
                <w:color w:val="auto"/>
              </w:rPr>
            </w:pPr>
          </w:p>
        </w:tc>
        <w:tc>
          <w:tcPr>
            <w:tcW w:w="2960" w:type="dxa"/>
            <w:vAlign w:val="bottom"/>
            <w:tcBorders>
              <w:top w:val="single" w:sz="8" w:color="auto"/>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860" w:type="dxa"/>
            <w:vAlign w:val="bottom"/>
            <w:tcBorders>
              <w:top w:val="single" w:sz="8" w:color="auto"/>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color w:val="auto"/>
              </w:rPr>
              <w:t>Nine months ended June 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9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4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9"/>
              </w:rPr>
              <w:t>41</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39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Research and development expense remained relatively consistent with the prior year quarter.</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Research and development expense increased $3 million primarily due to increased incentive accruals and the Schülke acquisition.</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2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580" w:type="dxa"/>
            <w:vAlign w:val="bottom"/>
            <w:tcBorders>
              <w:top w:val="single" w:sz="8" w:color="auto"/>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 June 30</w:t>
            </w:r>
          </w:p>
        </w:tc>
        <w:tc>
          <w:tcPr>
            <w:tcW w:w="0" w:type="dxa"/>
            <w:vAlign w:val="bottom"/>
          </w:tcPr>
          <w:p>
            <w:pPr>
              <w:spacing w:after="0"/>
              <w:rPr>
                <w:sz w:val="1"/>
                <w:szCs w:val="1"/>
                <w:color w:val="auto"/>
              </w:rPr>
            </w:pPr>
          </w:p>
        </w:tc>
      </w:tr>
      <w:tr>
        <w:trPr>
          <w:trHeight w:val="209"/>
        </w:trPr>
        <w:tc>
          <w:tcPr>
            <w:tcW w:w="42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Change</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Intangibles amortization expense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The increase in amortization expense remained relatively consistent with the prior year quarter.</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The increase in amortization expense in the current year period is due to the amortization of intangible assets associated with the Schülke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94615</wp:posOffset>
            </wp:positionV>
            <wp:extent cx="93980" cy="1797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94615</wp:posOffset>
            </wp:positionV>
            <wp:extent cx="85090" cy="1797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5090" cy="179705"/>
                    </a:xfrm>
                    <a:prstGeom prst="rect">
                      <a:avLst/>
                    </a:prstGeom>
                    <a:noFill/>
                  </pic:spPr>
                </pic:pic>
              </a:graphicData>
            </a:graphic>
          </wp:anchor>
        </w:drawing>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8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gridSpan w:val="9"/>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00" w:type="dxa"/>
            <w:vAlign w:val="bottom"/>
          </w:tcPr>
          <w:p>
            <w:pPr>
              <w:spacing w:after="0"/>
              <w:rPr>
                <w:sz w:val="19"/>
                <w:szCs w:val="19"/>
                <w:color w:val="auto"/>
              </w:rPr>
            </w:pPr>
          </w:p>
        </w:tc>
        <w:tc>
          <w:tcPr>
            <w:tcW w:w="400" w:type="dxa"/>
            <w:vAlign w:val="bottom"/>
            <w:tcBorders>
              <w:top w:val="single" w:sz="8" w:color="auto"/>
            </w:tcBorders>
            <w:gridSpan w:val="2"/>
          </w:tcPr>
          <w:p>
            <w:pPr>
              <w:spacing w:after="0"/>
              <w:rPr>
                <w:sz w:val="19"/>
                <w:szCs w:val="19"/>
                <w:color w:val="auto"/>
              </w:rPr>
            </w:pPr>
          </w:p>
        </w:tc>
        <w:tc>
          <w:tcPr>
            <w:tcW w:w="2800" w:type="dxa"/>
            <w:vAlign w:val="bottom"/>
            <w:tcBorders>
              <w:top w:val="single" w:sz="8" w:color="auto"/>
            </w:tcBorders>
            <w:gridSpan w:val="9"/>
          </w:tcPr>
          <w:p>
            <w:pPr>
              <w:jc w:val="right"/>
              <w:ind w:right="470"/>
              <w:spacing w:after="0"/>
              <w:rPr>
                <w:sz w:val="20"/>
                <w:szCs w:val="20"/>
                <w:color w:val="auto"/>
              </w:rPr>
            </w:pPr>
            <w:r>
              <w:rPr>
                <w:rFonts w:ascii="Times New Roman" w:cs="Times New Roman" w:eastAsia="Times New Roman" w:hAnsi="Times New Roman"/>
                <w:sz w:val="18"/>
                <w:szCs w:val="18"/>
                <w:color w:val="auto"/>
              </w:rPr>
              <w:t>Nine months ended June 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auto"/>
              <w:bottom w:val="single" w:sz="8" w:color="auto"/>
            </w:tcBorders>
            <w:vMerge w:val="continue"/>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and other income</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gridSpan w:val="2"/>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CFF0FC"/>
            </w:tcBorders>
            <w:gridSpan w:val="2"/>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3046730</wp:posOffset>
            </wp:positionH>
            <wp:positionV relativeFrom="paragraph">
              <wp:posOffset>-24765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-7620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-24765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-7620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4495800</wp:posOffset>
            </wp:positionH>
            <wp:positionV relativeFrom="paragraph">
              <wp:posOffset>-24765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4495800</wp:posOffset>
            </wp:positionH>
            <wp:positionV relativeFrom="paragraph">
              <wp:posOffset>-7620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-24765</wp:posOffset>
            </wp:positionV>
            <wp:extent cx="603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-7620</wp:posOffset>
            </wp:positionV>
            <wp:extent cx="603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5841365</wp:posOffset>
            </wp:positionH>
            <wp:positionV relativeFrom="paragraph">
              <wp:posOffset>-24765</wp:posOffset>
            </wp:positionV>
            <wp:extent cx="603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5841365</wp:posOffset>
            </wp:positionH>
            <wp:positionV relativeFrom="paragraph">
              <wp:posOffset>-7620</wp:posOffset>
            </wp:positionV>
            <wp:extent cx="603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-24765</wp:posOffset>
            </wp:positionV>
            <wp:extent cx="596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-7620</wp:posOffset>
            </wp:positionV>
            <wp:extent cx="596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Other income remained relatively consistent with the prior year quarter.</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Other income of $7 million in the prior year period is primarily due to a gain on sale of corporate property, plant and equipment of roughly $4 million.</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3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tcBorders>
            <w:gridSpan w:val="7"/>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7"/>
          </w:tcPr>
          <w:p>
            <w:pPr>
              <w:jc w:val="right"/>
              <w:ind w:right="390"/>
              <w:spacing w:after="0"/>
              <w:rPr>
                <w:sz w:val="20"/>
                <w:szCs w:val="20"/>
                <w:color w:val="auto"/>
              </w:rPr>
            </w:pPr>
            <w:r>
              <w:rPr>
                <w:rFonts w:ascii="Times New Roman" w:cs="Times New Roman" w:eastAsia="Times New Roman" w:hAnsi="Times New Roman"/>
                <w:sz w:val="18"/>
                <w:szCs w:val="18"/>
                <w:color w:val="auto"/>
              </w:rPr>
              <w:t>Nine months ended June 30</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interest and other expense (income)</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(income) from restricted investments</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financing costs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-24765</wp:posOffset>
            </wp:positionV>
            <wp:extent cx="774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-8255</wp:posOffset>
            </wp:positionV>
            <wp:extent cx="7747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-24765</wp:posOffset>
            </wp:positionV>
            <wp:extent cx="774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-8255</wp:posOffset>
            </wp:positionV>
            <wp:extent cx="7747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-24765</wp:posOffset>
            </wp:positionV>
            <wp:extent cx="857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-8255</wp:posOffset>
            </wp:positionV>
            <wp:extent cx="8572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-24765</wp:posOffset>
            </wp:positionV>
            <wp:extent cx="7747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-8255</wp:posOffset>
            </wp:positionV>
            <wp:extent cx="7747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5927090</wp:posOffset>
            </wp:positionH>
            <wp:positionV relativeFrom="paragraph">
              <wp:posOffset>-24765</wp:posOffset>
            </wp:positionV>
            <wp:extent cx="774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5927090</wp:posOffset>
            </wp:positionH>
            <wp:positionV relativeFrom="paragraph">
              <wp:posOffset>-8255</wp:posOffset>
            </wp:positionV>
            <wp:extent cx="7747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Net interest and other expense increased by $58 million during the current quarter compared to the prior year quarter. Interest expense decreased $3 million primarily due to lower debt levels during the current quarter compared to the prior year quarter. Restricted investments loss of $45 million and income $17 million included realized losses of $48 million compared to gains of $15 million for the three months ended June 30, 2022 and 2021, respectively. See Note E for more information on the restricted investments.</w:t>
      </w:r>
    </w:p>
    <w:p>
      <w:pPr>
        <w:spacing w:after="0" w:line="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Net interest and other expense increased by $90 million during the current period compared to the prior year period. Interest expense decreased $3 million primarily due to lower debt levels during the current period compared to the prior year period. Restricted investments loss of $59 million and income of $36 million included realized losses of $72 million compared to gains of $26 million for the nine months ended June 30, 2022 and 2021, respectively. See Note E for more information on the restricted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4697095</wp:posOffset>
            </wp:positionH>
            <wp:positionV relativeFrom="paragraph">
              <wp:posOffset>51435</wp:posOffset>
            </wp:positionV>
            <wp:extent cx="93980" cy="1797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51435</wp:posOffset>
            </wp:positionV>
            <wp:extent cx="85090" cy="1797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5090" cy="179705"/>
                    </a:xfrm>
                    <a:prstGeom prst="rect">
                      <a:avLst/>
                    </a:prstGeom>
                    <a:noFill/>
                  </pic:spPr>
                </pic:pic>
              </a:graphicData>
            </a:graphic>
          </wp:anchor>
        </w:drawing>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7"/>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00" w:type="dxa"/>
            <w:vAlign w:val="bottom"/>
          </w:tcPr>
          <w:p>
            <w:pPr>
              <w:spacing w:after="0"/>
              <w:rPr>
                <w:sz w:val="19"/>
                <w:szCs w:val="19"/>
                <w:color w:val="auto"/>
              </w:rPr>
            </w:pPr>
          </w:p>
        </w:tc>
        <w:tc>
          <w:tcPr>
            <w:tcW w:w="340" w:type="dxa"/>
            <w:vAlign w:val="bottom"/>
            <w:tcBorders>
              <w:top w:val="single" w:sz="8" w:color="auto"/>
            </w:tcBorders>
            <w:gridSpan w:val="2"/>
          </w:tcPr>
          <w:p>
            <w:pPr>
              <w:spacing w:after="0"/>
              <w:rPr>
                <w:sz w:val="19"/>
                <w:szCs w:val="19"/>
                <w:color w:val="auto"/>
              </w:rPr>
            </w:pPr>
          </w:p>
        </w:tc>
        <w:tc>
          <w:tcPr>
            <w:tcW w:w="2520" w:type="dxa"/>
            <w:vAlign w:val="bottom"/>
            <w:tcBorders>
              <w:top w:val="single" w:sz="8" w:color="auto"/>
            </w:tcBorders>
            <w:gridSpan w:val="7"/>
          </w:tcPr>
          <w:p>
            <w:pPr>
              <w:jc w:val="right"/>
              <w:ind w:right="290"/>
              <w:spacing w:after="0"/>
              <w:rPr>
                <w:sz w:val="20"/>
                <w:szCs w:val="20"/>
                <w:color w:val="auto"/>
              </w:rPr>
            </w:pPr>
            <w:r>
              <w:rPr>
                <w:rFonts w:ascii="Times New Roman" w:cs="Times New Roman" w:eastAsia="Times New Roman" w:hAnsi="Times New Roman"/>
                <w:sz w:val="18"/>
                <w:szCs w:val="18"/>
                <w:color w:val="auto"/>
              </w:rPr>
              <w:t>Nine months ended June 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auto"/>
              <w:bottom w:val="single" w:sz="8" w:color="auto"/>
            </w:tcBorders>
            <w:vMerge w:val="continue"/>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net periodic benefit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Other net periodic benefit loss was minimal in both quarters.</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Other net periodic benefit loss included a $1 million actuarial gain on the remeasurement of a pension plan during the current period and netted to zero in each period. See Note K for more information.</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1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top w:val="single" w:sz="8" w:color="auto"/>
              <w:bottom w:val="single" w:sz="8" w:color="auto"/>
            </w:tcBorders>
          </w:tcPr>
          <w:p>
            <w:pPr>
              <w:spacing w:after="0"/>
              <w:rPr>
                <w:sz w:val="19"/>
                <w:szCs w:val="19"/>
                <w:color w:val="auto"/>
              </w:rPr>
            </w:pPr>
          </w:p>
        </w:tc>
        <w:tc>
          <w:tcPr>
            <w:tcW w:w="2880" w:type="dxa"/>
            <w:vAlign w:val="bottom"/>
            <w:tcBorders>
              <w:top w:val="single" w:sz="8" w:color="auto"/>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 June 30</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on acquisitions and divestitures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-The activity in the current quarter was related to a gain on the sale of excess corporate property. The activity in the prior year quarter related to a $2 million gain in transaction net costs associated with the acquisition of Schülke.</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7" w:right="719" w:bottom="1440" w:gutter="0" w:footer="0" w:header="0"/>
        </w:sectPr>
      </w:pPr>
    </w:p>
    <w:bookmarkStart w:id="42" w:name="page43"/>
    <w:bookmarkEnd w:id="42"/>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The activity in the current year was related to gains on the sale of excess corporate property. The activity in the prior year related to a $3 million expense associated with acquisition related transactional costs (including gains associated with foreign currency derivatives) and a $14 million gain related to the sale of a Specialty Additives facility.</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4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6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840" w:type="dxa"/>
            <w:vAlign w:val="bottom"/>
            <w:tcBorders>
              <w:top w:val="single" w:sz="8" w:color="auto"/>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Nine months ended June 30</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Change</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(26 )  $</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(35 )  $</w:t>
            </w: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-57 %</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6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-34 %</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Ashland’s effective tax rate in any interim period is subject to adjustments related to discrete items and the mix of domestic and foreign operating results. The overall effective tax rate was 2% for the three months ended June 30, 2022 and was impacted by jurisdictional income mix, as well as a net $1 million benefit primarily from favorable return to provision adjustments for certain jurisdictions.</w:t>
      </w:r>
    </w:p>
    <w:p>
      <w:pPr>
        <w:spacing w:after="0" w:line="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overall effective tax rate was a benefit of 57% for the three months ended June 30, 2021 and was impacted by jurisdictional income mix, as well as favorable discrete items of $33 million primarily related to uncertain tax positions.</w:t>
      </w:r>
    </w:p>
    <w:p>
      <w:pPr>
        <w:spacing w:after="0" w:line="5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Ashland’s effective tax rate in any interim period is subject to adjustments related to discrete items and the mix of domestic and foreign operating results. The overall effective tax rate was 17% for the nine months ended June 30, 2022 and was impacted by jurisdictional income mix, as well as net unfavorable discrete items of $3 million, primarily related to restructuring and separation activity partially offset by a favorable valuation allowance for certain foreign tax credits and adjustments to uncertain tax positions.</w:t>
      </w:r>
    </w:p>
    <w:p>
      <w:pPr>
        <w:spacing w:after="0" w:line="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overall effective tax rate was a benefit of 34% for the nine months ended June 30, 2021 and was impacted by jurisdictional income mix, as well as favorable discrete items of $53 million primarily related to the sale of a Specialty Additives facility and adjustments to uncertain tax positions.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income tax expense (benefit)</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7" w:right="719" w:bottom="1440" w:gutter="0" w:footer="0" w:header="0"/>
        </w:sectPr>
      </w:pPr>
    </w:p>
    <w:bookmarkStart w:id="43" w:name="page44"/>
    <w:bookmarkEnd w:id="43"/>
    <w:p>
      <w:pPr>
        <w:ind w:right="60"/>
        <w:spacing w:after="0" w:line="269" w:lineRule="auto"/>
        <w:rPr>
          <w:sz w:val="20"/>
          <w:szCs w:val="20"/>
          <w:color w:val="auto"/>
        </w:rPr>
      </w:pPr>
      <w:r>
        <w:rPr>
          <w:rFonts w:ascii="Times New Roman" w:cs="Times New Roman" w:eastAsia="Times New Roman" w:hAnsi="Times New Roman"/>
          <w:sz w:val="20"/>
          <w:szCs w:val="20"/>
          <w:color w:val="auto"/>
        </w:rPr>
        <w:t>The effective tax rate during the three and nine months ended June 30, 2022 and 2021 was significantly impacted by the following tax specific key items:</w:t>
      </w:r>
    </w:p>
    <w:p>
      <w:pPr>
        <w:spacing w:after="0" w:line="51" w:lineRule="exact"/>
        <w:rPr>
          <w:sz w:val="20"/>
          <w:szCs w:val="20"/>
          <w:color w:val="auto"/>
        </w:rPr>
      </w:pPr>
    </w:p>
    <w:p>
      <w:pPr>
        <w:ind w:left="360" w:hanging="358"/>
        <w:spacing w:after="0"/>
        <w:tabs>
          <w:tab w:leader="none" w:pos="3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 tax positions - Includes the impact from the settlement of uncertain tax positions with various taxing authorities;</w:t>
      </w:r>
    </w:p>
    <w:p>
      <w:pPr>
        <w:spacing w:after="0" w:line="107" w:lineRule="exact"/>
        <w:rPr>
          <w:rFonts w:ascii="Times New Roman" w:cs="Times New Roman" w:eastAsia="Times New Roman" w:hAnsi="Times New Roman"/>
          <w:sz w:val="20"/>
          <w:szCs w:val="20"/>
          <w:color w:val="auto"/>
        </w:rPr>
      </w:pPr>
    </w:p>
    <w:p>
      <w:pPr>
        <w:ind w:left="360" w:hanging="358"/>
        <w:spacing w:after="0"/>
        <w:tabs>
          <w:tab w:leader="none" w:pos="36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Valuation allowances - Includes the impact from the release of certain foreign tax credit valuation allowances during 2022; and</w:t>
      </w:r>
    </w:p>
    <w:p>
      <w:pPr>
        <w:spacing w:after="0" w:line="119" w:lineRule="exact"/>
        <w:rPr>
          <w:rFonts w:ascii="Times New Roman" w:cs="Times New Roman" w:eastAsia="Times New Roman" w:hAnsi="Times New Roman"/>
          <w:sz w:val="19"/>
          <w:szCs w:val="19"/>
          <w:color w:val="auto"/>
        </w:rPr>
      </w:pPr>
    </w:p>
    <w:p>
      <w:pPr>
        <w:ind w:left="360" w:right="60" w:hanging="358"/>
        <w:spacing w:after="0" w:line="269" w:lineRule="auto"/>
        <w:tabs>
          <w:tab w:leader="none" w:pos="3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and separation activity – Includes the impact from company-wide cost reduction programs, and the impact of the sale of a Specialty Additives facility.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calculation of the effective tax rate, excluding these key items.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June 30</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June 30</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Key items (pre-tax) </w:t>
            </w:r>
            <w:r>
              <w:rPr>
                <w:rFonts w:ascii="Times New Roman" w:cs="Times New Roman" w:eastAsia="Times New Roman" w:hAnsi="Times New Roman"/>
                <w:sz w:val="14"/>
                <w:szCs w:val="14"/>
                <w:color w:val="auto"/>
              </w:rPr>
              <w:t>(a)</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income from continuing operations</w:t>
            </w: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before income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rate adjustments:</w:t>
            </w: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effect of key items</w:t>
            </w:r>
          </w:p>
        </w:tc>
        <w:tc>
          <w:tcPr>
            <w:tcW w:w="3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xml:space="preserve">Tax specific key items: </w:t>
            </w:r>
            <w:r>
              <w:rPr>
                <w:rFonts w:ascii="Times New Roman" w:cs="Times New Roman" w:eastAsia="Times New Roman" w:hAnsi="Times New Roman"/>
                <w:sz w:val="14"/>
                <w:szCs w:val="14"/>
                <w:color w:val="auto"/>
              </w:rPr>
              <w:t>(b)</w:t>
            </w: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Uncertain tax positions</w:t>
            </w:r>
          </w:p>
        </w:tc>
        <w:tc>
          <w:tcPr>
            <w:tcW w:w="3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separation activity</w:t>
            </w:r>
          </w:p>
        </w:tc>
        <w:tc>
          <w:tcPr>
            <w:tcW w:w="3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rate adjustments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income tax expense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Effective tax rate, excluding key items (Non-GAAP) </w:t>
            </w:r>
            <w:r>
              <w:rPr>
                <w:rFonts w:ascii="Times New Roman" w:cs="Times New Roman" w:eastAsia="Times New Roman" w:hAnsi="Times New Roman"/>
                <w:sz w:val="16"/>
                <w:szCs w:val="16"/>
                <w:b w:val="1"/>
                <w:bCs w:val="1"/>
                <w:color w:val="auto"/>
              </w:rPr>
              <w:t>(c)</w:t>
            </w:r>
          </w:p>
        </w:tc>
        <w:tc>
          <w:tcPr>
            <w:tcW w:w="3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16 %</w:t>
            </w:r>
          </w:p>
        </w:tc>
        <w:tc>
          <w:tcPr>
            <w:tcW w:w="6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18 %</w:t>
            </w:r>
          </w:p>
        </w:tc>
        <w:tc>
          <w:tcPr>
            <w:tcW w:w="6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-459105</wp:posOffset>
            </wp:positionV>
            <wp:extent cx="102870" cy="1714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-459105</wp:posOffset>
            </wp:positionV>
            <wp:extent cx="93980" cy="1714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5781675</wp:posOffset>
            </wp:positionH>
            <wp:positionV relativeFrom="paragraph">
              <wp:posOffset>-459105</wp:posOffset>
            </wp:positionV>
            <wp:extent cx="94615" cy="1714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71755</wp:posOffset>
            </wp:positionV>
            <wp:extent cx="662622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91" w:lineRule="exact"/>
        <w:rPr>
          <w:sz w:val="20"/>
          <w:szCs w:val="20"/>
          <w:color w:val="auto"/>
        </w:rPr>
      </w:pPr>
    </w:p>
    <w:p>
      <w:pPr>
        <w:ind w:left="360" w:hanging="358"/>
        <w:spacing w:after="0"/>
        <w:tabs>
          <w:tab w:leader="none" w:pos="3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Adjusted EBITDA reconciliation table disclosed in this MD&amp;A for a summary of the key items, before tax.</w:t>
      </w:r>
    </w:p>
    <w:p>
      <w:pPr>
        <w:spacing w:after="0" w:line="17"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additional information on the effect that these tax specific key items had on EPS, see the Adjusted Diluted EPS table disclosed in this MD&amp;A.</w:t>
      </w:r>
    </w:p>
    <w:p>
      <w:pPr>
        <w:spacing w:after="0" w:line="1"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rounding conventions, the effective tax rate presented may not recalculate precisely based on the numbers disclosed within this table.</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Borders>
              <w:top w:val="single" w:sz="8" w:color="auto"/>
              <w:bottom w:val="single" w:sz="8" w:color="auto"/>
            </w:tcBorders>
          </w:tcPr>
          <w:p>
            <w:pPr>
              <w:spacing w:after="0"/>
              <w:rPr>
                <w:sz w:val="19"/>
                <w:szCs w:val="19"/>
                <w:color w:val="auto"/>
              </w:rPr>
            </w:pPr>
          </w:p>
        </w:tc>
        <w:tc>
          <w:tcPr>
            <w:tcW w:w="2620" w:type="dxa"/>
            <w:vAlign w:val="bottom"/>
            <w:tcBorders>
              <w:top w:val="single" w:sz="8" w:color="auto"/>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8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2520" w:type="dxa"/>
            <w:vAlign w:val="bottom"/>
            <w:tcBorders>
              <w:top w:val="single" w:sz="8" w:color="auto"/>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color w:val="auto"/>
              </w:rPr>
              <w:t>Nine months ended June 30</w:t>
            </w:r>
          </w:p>
        </w:tc>
        <w:tc>
          <w:tcPr>
            <w:tcW w:w="7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4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160"/>
        </w:trPr>
        <w:tc>
          <w:tcPr>
            <w:tcW w:w="284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8"/>
                <w:szCs w:val="18"/>
                <w:b w:val="1"/>
                <w:bCs w:val="1"/>
                <w:color w:val="auto"/>
              </w:rPr>
              <w:t>Income (loss) from discontinued</w:t>
            </w:r>
          </w:p>
        </w:tc>
        <w:tc>
          <w:tcPr>
            <w:tcW w:w="3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operations (net of taxes)</w:t>
            </w: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Performance Adhesives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Composites/Marl facility</w:t>
            </w: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2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Valvoline</w:t>
            </w:r>
          </w:p>
        </w:tc>
        <w:tc>
          <w:tcPr>
            <w:tcW w:w="38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Asbestos</w:t>
            </w: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2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Water Technologies</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Distribution</w:t>
            </w: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167"/>
        </w:trPr>
        <w:tc>
          <w:tcPr>
            <w:tcW w:w="3220" w:type="dxa"/>
            <w:vAlign w:val="bottom"/>
            <w:gridSpan w:val="2"/>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Gain (loss) on disposal of discontinued</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operations (net of taxes)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Performance Adhesives</w:t>
            </w: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6"/>
        </w:trPr>
        <w:tc>
          <w:tcPr>
            <w:tcW w:w="2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Composites/Marl facility</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2549525</wp:posOffset>
            </wp:positionH>
            <wp:positionV relativeFrom="paragraph">
              <wp:posOffset>-24765</wp:posOffset>
            </wp:positionV>
            <wp:extent cx="939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-8255</wp:posOffset>
            </wp:positionV>
            <wp:extent cx="939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-24765</wp:posOffset>
            </wp:positionV>
            <wp:extent cx="939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-8255</wp:posOffset>
            </wp:positionV>
            <wp:extent cx="939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-24765</wp:posOffset>
            </wp:positionV>
            <wp:extent cx="939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-8255</wp:posOffset>
            </wp:positionV>
            <wp:extent cx="939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5027295</wp:posOffset>
            </wp:positionH>
            <wp:positionV relativeFrom="paragraph">
              <wp:posOffset>-24765</wp:posOffset>
            </wp:positionV>
            <wp:extent cx="857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5027295</wp:posOffset>
            </wp:positionH>
            <wp:positionV relativeFrom="paragraph">
              <wp:posOffset>-8255</wp:posOffset>
            </wp:positionV>
            <wp:extent cx="8572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-24765</wp:posOffset>
            </wp:positionV>
            <wp:extent cx="857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-8255</wp:posOffset>
            </wp:positionV>
            <wp:extent cx="8572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65"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The activity for Water Technologies, Distribution, Valvoline and Composites/Marl facility during the current and prior year quarters was related to post-closing adjustments. The Performance Adhesives segment sales and pre-tax operating income included in discontinued operations were $94 million and $17 million, respectively, for the prior year quarter. The Performance Adhesives activity for the current quarter related to post-closing adjustments. Asbestos activity in each quarter primarily related to Ashland's annual update.</w:t>
      </w:r>
    </w:p>
    <w:p>
      <w:pPr>
        <w:spacing w:after="0" w:line="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700" w:top="427" w:right="659" w:bottom="1440" w:gutter="0" w:footer="0" w:header="0"/>
        </w:sectPr>
      </w:pPr>
    </w:p>
    <w:bookmarkStart w:id="44" w:name="page45"/>
    <w:bookmarkEnd w:id="44"/>
    <w:p>
      <w:pPr>
        <w:jc w:val="both"/>
        <w:spacing w:after="0" w:line="242"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The activity for Water Technologies, Distribution, Valvoline and Composites/Marl facility during the current and prior year periods was related to post-closing adjustments. The Composites/Marl Facility gain activity for the prior year period included post-closing purchase price dispute adjustments. The Performance Adhesives segment sales and pre-tax operating income included in discontinued operations were $171 million and $34 million, and $266 million and $63 million, respectively, for the current and prior year periods. A $732 million gain on disposal was recorded in the current period associated with the February 28, 2022 closing of the Performance Adhesives business segment divestiture. Asbestos activity in each period primarily related to Ashland's annual update.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comprehensive income (loss)</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 comparative analysis of the components of other comprehensive income is provided below for the three and nine months ended June 30, 2022 and 2021.</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7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tcBorders>
            <w:gridSpan w:val="7"/>
          </w:tcPr>
          <w:p>
            <w:pPr>
              <w:jc w:val="right"/>
              <w:ind w:right="550"/>
              <w:spacing w:after="0"/>
              <w:rPr>
                <w:sz w:val="20"/>
                <w:szCs w:val="20"/>
                <w:color w:val="auto"/>
              </w:rPr>
            </w:pPr>
            <w:r>
              <w:rPr>
                <w:rFonts w:ascii="Times New Roman" w:cs="Times New Roman" w:eastAsia="Times New Roman" w:hAnsi="Times New Roman"/>
                <w:sz w:val="18"/>
                <w:szCs w:val="18"/>
                <w:color w:val="auto"/>
              </w:rPr>
              <w:t>Nine months ended June 30</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Change</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taxes)</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Unrealized gain (loss) on commodity hedges</w:t>
            </w:r>
          </w:p>
        </w:tc>
        <w:tc>
          <w:tcPr>
            <w:tcW w:w="3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3046730</wp:posOffset>
            </wp:positionH>
            <wp:positionV relativeFrom="paragraph">
              <wp:posOffset>-170815</wp:posOffset>
            </wp:positionV>
            <wp:extent cx="11176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-170815</wp:posOffset>
            </wp:positionV>
            <wp:extent cx="11176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-170815</wp:posOffset>
            </wp:positionV>
            <wp:extent cx="7683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-170815</wp:posOffset>
            </wp:positionV>
            <wp:extent cx="11112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-170815</wp:posOffset>
            </wp:positionV>
            <wp:extent cx="11112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Total other comprehensive income (loss), net of tax, for the current quarter decreased $112 million compared to the prior year quarter primarily as a result of the following:</w:t>
      </w:r>
    </w:p>
    <w:p>
      <w:pPr>
        <w:spacing w:after="0" w:line="51" w:lineRule="exact"/>
        <w:rPr>
          <w:sz w:val="20"/>
          <w:szCs w:val="20"/>
          <w:color w:val="auto"/>
        </w:rPr>
      </w:pPr>
    </w:p>
    <w:p>
      <w:pPr>
        <w:jc w:val="both"/>
        <w:ind w:left="740" w:hanging="363"/>
        <w:spacing w:after="0" w:line="236" w:lineRule="auto"/>
        <w:tabs>
          <w:tab w:leader="none" w:pos="7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three months ended June 30, 2022, the change in unrealized gain (loss) from foreign currency translation adjustments resulted in a loss of $86 million compared to a gain of $23 million for the three months ended June 30, 2021. The fluctuations in unrealized translation gains and losses are primarily due to translating foreign subsidiary financial statements from local currencies to U.S. Dollars.</w:t>
      </w:r>
    </w:p>
    <w:p>
      <w:pPr>
        <w:spacing w:after="0" w:line="67" w:lineRule="exact"/>
        <w:rPr>
          <w:rFonts w:ascii="Times New Roman" w:cs="Times New Roman" w:eastAsia="Times New Roman" w:hAnsi="Times New Roman"/>
          <w:sz w:val="20"/>
          <w:szCs w:val="20"/>
          <w:color w:val="auto"/>
        </w:rPr>
      </w:pPr>
    </w:p>
    <w:p>
      <w:pPr>
        <w:ind w:left="740" w:hanging="363"/>
        <w:spacing w:after="0" w:line="255" w:lineRule="auto"/>
        <w:tabs>
          <w:tab w:leader="none" w:pos="7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three months ended June 30, 2022, the change in commodity hedges is primarily due to the fluctuations of the market prices of the underlying commodities.</w:t>
      </w:r>
    </w:p>
    <w:p>
      <w:pPr>
        <w:spacing w:after="0" w:line="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Total other comprehensive income (loss), net of tax, for the current year decreased $146 million compared to the prior year period primarily as a result of the following:</w:t>
      </w:r>
    </w:p>
    <w:p>
      <w:pPr>
        <w:spacing w:after="0" w:line="51" w:lineRule="exact"/>
        <w:rPr>
          <w:sz w:val="20"/>
          <w:szCs w:val="20"/>
          <w:color w:val="auto"/>
        </w:rPr>
      </w:pPr>
    </w:p>
    <w:p>
      <w:pPr>
        <w:jc w:val="both"/>
        <w:ind w:left="740" w:hanging="363"/>
        <w:spacing w:after="0" w:line="236" w:lineRule="auto"/>
        <w:tabs>
          <w:tab w:leader="none" w:pos="7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nine months ended June 30, 2022, the change in unrealized gain (loss) from foreign currency translation adjustments resulted in a loss of $107 million compared to a gain of $37 million for the nine months ended June 30, 2021. The fluctuations in unrealized translation gains and losses are primarily due to translating foreign subsidiary financial statements from local currencies to U.S. Dollars.</w:t>
      </w:r>
    </w:p>
    <w:p>
      <w:pPr>
        <w:spacing w:after="0" w:line="67" w:lineRule="exact"/>
        <w:rPr>
          <w:rFonts w:ascii="Times New Roman" w:cs="Times New Roman" w:eastAsia="Times New Roman" w:hAnsi="Times New Roman"/>
          <w:sz w:val="20"/>
          <w:szCs w:val="20"/>
          <w:color w:val="auto"/>
        </w:rPr>
      </w:pPr>
    </w:p>
    <w:p>
      <w:pPr>
        <w:ind w:left="740" w:hanging="363"/>
        <w:spacing w:after="0" w:line="255" w:lineRule="auto"/>
        <w:tabs>
          <w:tab w:leader="none" w:pos="7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nine months ended June 30, 2022, the change in commodity hedges is primarily due to the fluctuations of the market prices of the underlying commodities.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7" w:right="7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i w:val="1"/>
          <w:iCs w:val="1"/>
          <w:color w:val="auto"/>
        </w:rPr>
        <w:t>Use of non-GAAP measures</w:t>
      </w:r>
    </w:p>
    <w:p>
      <w:pPr>
        <w:spacing w:after="0" w:line="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66" w:lineRule="exact"/>
        <w:rPr>
          <w:sz w:val="20"/>
          <w:szCs w:val="20"/>
          <w:color w:val="auto"/>
        </w:rPr>
      </w:pPr>
    </w:p>
    <w:p>
      <w:pPr>
        <w:ind w:left="360" w:hanging="358"/>
        <w:spacing w:after="0" w:line="255" w:lineRule="auto"/>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EBITDA – net income (loss), plus income tax expense (benefit), net interest and other expenses, and depreciation and amortization.</w:t>
      </w:r>
    </w:p>
    <w:p>
      <w:pPr>
        <w:spacing w:after="0" w:line="51" w:lineRule="exact"/>
        <w:rPr>
          <w:rFonts w:ascii="Times New Roman" w:cs="Times New Roman" w:eastAsia="Times New Roman" w:hAnsi="Times New Roman"/>
          <w:sz w:val="20"/>
          <w:szCs w:val="20"/>
          <w:color w:val="auto"/>
        </w:rPr>
      </w:pPr>
    </w:p>
    <w:p>
      <w:pPr>
        <w:jc w:val="both"/>
        <w:ind w:left="360" w:hanging="358"/>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 EBITDA adjusted for discontinued operations, income (loss) on acquisitions and divestitures, other income and (expense) and key items (including remeasurement gains and losses related to pension and other postretirement plans).</w:t>
      </w:r>
    </w:p>
    <w:p>
      <w:pPr>
        <w:spacing w:after="0" w:line="66" w:lineRule="exact"/>
        <w:rPr>
          <w:rFonts w:ascii="Times New Roman" w:cs="Times New Roman" w:eastAsia="Times New Roman" w:hAnsi="Times New Roman"/>
          <w:sz w:val="20"/>
          <w:szCs w:val="20"/>
          <w:color w:val="auto"/>
        </w:rPr>
      </w:pPr>
    </w:p>
    <w:p>
      <w:pPr>
        <w:ind w:left="360" w:hanging="358"/>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margin – Adjusted EBITDA divided by sales.</w:t>
      </w:r>
    </w:p>
    <w:p>
      <w:pPr>
        <w:spacing w:after="0" w:line="94" w:lineRule="exact"/>
        <w:rPr>
          <w:rFonts w:ascii="Times New Roman" w:cs="Times New Roman" w:eastAsia="Times New Roman" w:hAnsi="Times New Roman"/>
          <w:sz w:val="20"/>
          <w:szCs w:val="20"/>
          <w:color w:val="auto"/>
        </w:rPr>
      </w:pPr>
    </w:p>
    <w:p>
      <w:pPr>
        <w:ind w:left="360" w:hanging="358"/>
        <w:spacing w:after="0" w:line="255" w:lineRule="auto"/>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diluted earnings per share (EPS) – income (loss) from continuing operations, adjusted for key items, net of tax, divided by the average outstanding diluted shares for the applicable period.</w:t>
      </w:r>
    </w:p>
    <w:p>
      <w:pPr>
        <w:spacing w:after="0" w:line="51" w:lineRule="exact"/>
        <w:rPr>
          <w:rFonts w:ascii="Times New Roman" w:cs="Times New Roman" w:eastAsia="Times New Roman" w:hAnsi="Times New Roman"/>
          <w:sz w:val="20"/>
          <w:szCs w:val="20"/>
          <w:color w:val="auto"/>
        </w:rPr>
      </w:pPr>
    </w:p>
    <w:p>
      <w:pPr>
        <w:ind w:left="360" w:hanging="358"/>
        <w:spacing w:after="0" w:line="255" w:lineRule="auto"/>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diluted earnings per share (EPS) excluding intangibles amortization expense – Adjusted earnings per share adjusted for intangibles amortization expense net of tax, divided by the average outstanding diluted shares for the applicable period.</w:t>
      </w:r>
    </w:p>
    <w:p>
      <w:pPr>
        <w:spacing w:after="0" w:line="51" w:lineRule="exact"/>
        <w:rPr>
          <w:rFonts w:ascii="Times New Roman" w:cs="Times New Roman" w:eastAsia="Times New Roman" w:hAnsi="Times New Roman"/>
          <w:sz w:val="20"/>
          <w:szCs w:val="20"/>
          <w:color w:val="auto"/>
        </w:rPr>
      </w:pPr>
    </w:p>
    <w:p>
      <w:pPr>
        <w:ind w:left="360" w:hanging="358"/>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Free cash flow – operating cash flows less capital expenditures.</w:t>
      </w:r>
    </w:p>
    <w:p>
      <w:pPr>
        <w:spacing w:after="0" w:line="94" w:lineRule="exact"/>
        <w:rPr>
          <w:rFonts w:ascii="Times New Roman" w:cs="Times New Roman" w:eastAsia="Times New Roman" w:hAnsi="Times New Roman"/>
          <w:sz w:val="20"/>
          <w:szCs w:val="20"/>
          <w:color w:val="auto"/>
        </w:rPr>
      </w:pPr>
    </w:p>
    <w:p>
      <w:pPr>
        <w:ind w:left="360" w:hanging="358"/>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Ongoing free cash flow – operating cash flows less capital expenditures and certain other adjustments as applicable.</w:t>
      </w:r>
    </w:p>
    <w:p>
      <w:pPr>
        <w:spacing w:after="0" w:line="94" w:lineRule="exact"/>
        <w:rPr>
          <w:rFonts w:ascii="Times New Roman" w:cs="Times New Roman" w:eastAsia="Times New Roman" w:hAnsi="Times New Roman"/>
          <w:sz w:val="20"/>
          <w:szCs w:val="20"/>
          <w:color w:val="auto"/>
        </w:rPr>
      </w:pPr>
    </w:p>
    <w:p>
      <w:pPr>
        <w:ind w:left="360" w:hanging="358"/>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Ongoing free cash flow conversion – ongoing free cash flow divided by adjusted EBITDA.</w:t>
      </w:r>
    </w:p>
    <w:p>
      <w:pPr>
        <w:spacing w:after="0" w:line="9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6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spacing w:after="0" w:line="6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The free cash flow metrics enable Ashland to provide a better indication of the ongoing cash being generated that is ultimately available for both debt and equity holders as well as other investment opportunities. Unlike cash flow provided by operating activities, free cash flow and ongoing free cash flow includes the impact of capital expenditures from continuing operations and other significant items impacting cash flow, providing a more complete picture of current and future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3" w:right="719" w:bottom="1440" w:gutter="0" w:footer="0" w:header="0"/>
        </w:sectPr>
      </w:pPr>
    </w:p>
    <w:bookmarkStart w:id="46" w:name="page47"/>
    <w:bookmarkEnd w:id="46"/>
    <w:p>
      <w:pPr>
        <w:jc w:val="both"/>
        <w:ind w:left="380" w:right="380"/>
        <w:spacing w:after="0" w:line="231" w:lineRule="auto"/>
        <w:rPr>
          <w:sz w:val="20"/>
          <w:szCs w:val="20"/>
          <w:color w:val="auto"/>
        </w:rPr>
      </w:pPr>
      <w:r>
        <w:rPr>
          <w:rFonts w:ascii="Times New Roman" w:cs="Times New Roman" w:eastAsia="Times New Roman" w:hAnsi="Times New Roman"/>
          <w:sz w:val="20"/>
          <w:szCs w:val="20"/>
          <w:color w:val="auto"/>
        </w:rPr>
        <w:t>Although Ashland may provide forward-looking guidance for Adjusted EBITDA, Adjusted diluted EPS and ongoing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71" w:lineRule="exact"/>
        <w:rPr>
          <w:sz w:val="20"/>
          <w:szCs w:val="20"/>
          <w:color w:val="auto"/>
        </w:rPr>
      </w:pPr>
    </w:p>
    <w:p>
      <w:pPr>
        <w:jc w:val="both"/>
        <w:ind w:left="380" w:right="380"/>
        <w:spacing w:after="0" w:line="241" w:lineRule="auto"/>
        <w:rPr>
          <w:sz w:val="20"/>
          <w:szCs w:val="20"/>
          <w:color w:val="auto"/>
        </w:rPr>
      </w:pPr>
      <w:r>
        <w:rPr>
          <w:rFonts w:ascii="Times New Roman" w:cs="Times New Roman" w:eastAsia="Times New Roman" w:hAnsi="Times New Roman"/>
          <w:sz w:val="20"/>
          <w:szCs w:val="20"/>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2020 Credit Agreement are based on similar non-GAAP measures and are defined further in the sections that refer to this metric.</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EBITDA and Adjusted EBITDA</w:t>
      </w:r>
    </w:p>
    <w:p>
      <w:pPr>
        <w:spacing w:after="0" w:line="112" w:lineRule="exact"/>
        <w:rPr>
          <w:sz w:val="20"/>
          <w:szCs w:val="20"/>
          <w:color w:val="auto"/>
        </w:rPr>
      </w:pPr>
    </w:p>
    <w:p>
      <w:pPr>
        <w:jc w:val="both"/>
        <w:ind w:left="380" w:right="380"/>
        <w:spacing w:after="0" w:line="242" w:lineRule="auto"/>
        <w:rPr>
          <w:sz w:val="20"/>
          <w:szCs w:val="20"/>
          <w:color w:val="auto"/>
        </w:rPr>
      </w:pPr>
      <w:r>
        <w:rPr>
          <w:rFonts w:ascii="Times New Roman" w:cs="Times New Roman" w:eastAsia="Times New Roman" w:hAnsi="Times New Roman"/>
          <w:sz w:val="20"/>
          <w:szCs w:val="20"/>
          <w:color w:val="auto"/>
        </w:rPr>
        <w:t>EBITDA totaled income of $157 million and $118 million for the three months ended June 30, 2022 and 2021, respectively, and $1,185 million and $339 million for the nine months ended June 30, 2022 and 2021,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46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Nine months ended</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June 30</w:t>
            </w:r>
          </w:p>
        </w:tc>
        <w:tc>
          <w:tcPr>
            <w:tcW w:w="6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64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5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870</w:t>
            </w:r>
          </w:p>
        </w:tc>
        <w:tc>
          <w:tcPr>
            <w:tcW w:w="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interest and other expense</w:t>
            </w: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1,185</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Key items included in EBITDA:</w:t>
            </w: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separation and other costs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Capital project impairment</w:t>
            </w: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Inventory adjustment</w:t>
            </w: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acquisitions and divestitures</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key items included in EBITDA</w:t>
            </w:r>
          </w:p>
        </w:tc>
        <w:tc>
          <w:tcPr>
            <w:tcW w:w="15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5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46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520" w:type="dxa"/>
            <w:vAlign w:val="bottom"/>
            <w:gridSpan w:val="2"/>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key items included in EBITDA</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loss on securities</w:t>
            </w:r>
          </w:p>
        </w:tc>
        <w:tc>
          <w:tcPr>
            <w:tcW w:w="15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key items, before tax</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8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-1173480</wp:posOffset>
            </wp:positionV>
            <wp:extent cx="1111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-1173480</wp:posOffset>
            </wp:positionV>
            <wp:extent cx="1111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-1173480</wp:posOffset>
            </wp:positionV>
            <wp:extent cx="946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-590550</wp:posOffset>
            </wp:positionV>
            <wp:extent cx="1111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-590550</wp:posOffset>
            </wp:positionV>
            <wp:extent cx="1111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-590550</wp:posOffset>
            </wp:positionV>
            <wp:extent cx="9461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47" w:name="page48"/>
    <w:bookmarkEnd w:id="47"/>
    <w:p>
      <w:pPr>
        <w:ind w:left="380"/>
        <w:spacing w:after="0"/>
        <w:rPr>
          <w:sz w:val="20"/>
          <w:szCs w:val="20"/>
          <w:color w:val="auto"/>
        </w:rPr>
      </w:pPr>
      <w:r>
        <w:rPr>
          <w:rFonts w:ascii="Times New Roman" w:cs="Times New Roman" w:eastAsia="Times New Roman" w:hAnsi="Times New Roman"/>
          <w:sz w:val="20"/>
          <w:szCs w:val="20"/>
          <w:i w:val="1"/>
          <w:iCs w:val="1"/>
          <w:color w:val="auto"/>
        </w:rPr>
        <w:t>Diluted EPS and Adjusted Diluted EPS</w:t>
      </w:r>
    </w:p>
    <w:p>
      <w:pPr>
        <w:spacing w:after="0" w:line="112" w:lineRule="exact"/>
        <w:rPr>
          <w:sz w:val="20"/>
          <w:szCs w:val="20"/>
          <w:color w:val="auto"/>
        </w:rPr>
      </w:pPr>
    </w:p>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The following table reflects the U.S. GAAP calculation for the income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enhances their ability to compare period-to-period financial results.</w:t>
      </w:r>
    </w:p>
    <w:p>
      <w:pPr>
        <w:spacing w:after="0" w:line="180"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6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June 30</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EPS from continuing operations (as reported)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0.93</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Key items, before tax:</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Restructuring, separation and other costs</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1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 project impairment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adjustment</w:t>
            </w:r>
          </w:p>
        </w:tc>
        <w:tc>
          <w:tcPr>
            <w:tcW w:w="1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Unrealized (gain) loss on securities</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(0.42 )</w:t>
            </w: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 on acquisitions and divestitures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(0.63 )</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(0.73 )</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(0.17 )</w:t>
            </w: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Key items, before tax</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0.91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Tax effect of key items </w:t>
            </w:r>
            <w:r>
              <w:rPr>
                <w:rFonts w:ascii="Times New Roman" w:cs="Times New Roman" w:eastAsia="Times New Roman" w:hAnsi="Times New Roman"/>
                <w:sz w:val="14"/>
                <w:szCs w:val="14"/>
                <w:color w:val="auto"/>
              </w:rPr>
              <w:t>(a)</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(0.29 )</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Key items, after tax</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Tax specific key items: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Restructuring and separation activity</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Uncertain tax positions</w:t>
            </w: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(0.52 )</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(0.63 )</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Tax specific key items </w:t>
            </w:r>
            <w:r>
              <w:rPr>
                <w:rFonts w:ascii="Times New Roman" w:cs="Times New Roman" w:eastAsia="Times New Roman" w:hAnsi="Times New Roman"/>
                <w:sz w:val="14"/>
                <w:szCs w:val="14"/>
                <w:color w:val="auto"/>
              </w:rPr>
              <w:t>(b)</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(0.52 )</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(0.85 )</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key items</w:t>
            </w: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0.62</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(0.49 )</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(0.60 )</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EPS from continuing operations (non-GAAP)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Amortization expense adjustment (net of tax) (c)</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164"/>
        </w:trPr>
        <w:tc>
          <w:tcPr>
            <w:tcW w:w="618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Adjusted diluted EPS from continuing operations (non-GAAP) excluding</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5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0.98</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4.24</w:t>
            </w:r>
          </w:p>
        </w:tc>
        <w:tc>
          <w:tcPr>
            <w:tcW w:w="5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94"/>
        </w:trPr>
        <w:tc>
          <w:tcPr>
            <w:tcW w:w="6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intangibles amortization expense</w:t>
            </w:r>
          </w:p>
        </w:tc>
        <w:tc>
          <w:tcPr>
            <w:tcW w:w="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-959485</wp:posOffset>
            </wp:positionV>
            <wp:extent cx="11176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-959485</wp:posOffset>
            </wp:positionV>
            <wp:extent cx="10287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-959485</wp:posOffset>
            </wp:positionV>
            <wp:extent cx="1028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-668020</wp:posOffset>
            </wp:positionV>
            <wp:extent cx="11176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-668020</wp:posOffset>
            </wp:positionV>
            <wp:extent cx="1028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-668020</wp:posOffset>
            </wp:positionV>
            <wp:extent cx="1028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-359410</wp:posOffset>
            </wp:positionV>
            <wp:extent cx="11176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-359410</wp:posOffset>
            </wp:positionV>
            <wp:extent cx="10287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-359410</wp:posOffset>
            </wp:positionV>
            <wp:extent cx="10287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5" w:lineRule="exact"/>
        <w:rPr>
          <w:sz w:val="20"/>
          <w:szCs w:val="20"/>
          <w:color w:val="auto"/>
        </w:rPr>
      </w:pPr>
    </w:p>
    <w:p>
      <w:pPr>
        <w:ind w:left="740" w:hanging="358"/>
        <w:spacing w:after="0"/>
        <w:tabs>
          <w:tab w:leader="none" w:pos="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diluted EPS impact from the tax effect of the key items that are identified above.</w:t>
      </w:r>
    </w:p>
    <w:p>
      <w:pPr>
        <w:spacing w:after="0" w:line="41" w:lineRule="exact"/>
        <w:rPr>
          <w:rFonts w:ascii="Times New Roman" w:cs="Times New Roman" w:eastAsia="Times New Roman" w:hAnsi="Times New Roman"/>
          <w:sz w:val="14"/>
          <w:szCs w:val="14"/>
          <w:color w:val="auto"/>
        </w:rPr>
      </w:pPr>
    </w:p>
    <w:p>
      <w:pPr>
        <w:jc w:val="both"/>
        <w:ind w:left="740" w:hanging="358"/>
        <w:spacing w:after="0" w:line="282" w:lineRule="auto"/>
        <w:tabs>
          <w:tab w:leader="none" w:pos="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diluted EPS impact from tax specific financial transactions, tax law changes or other matters that fall within the definition of key items. For additional explanation of these tax specific key items, see the income tax expense (benefit) discussion within the Statements of Consolidated Comprehensive Income (Loss) caption review section above.</w:t>
      </w:r>
    </w:p>
    <w:p>
      <w:pPr>
        <w:spacing w:after="0" w:line="161" w:lineRule="exact"/>
        <w:rPr>
          <w:rFonts w:ascii="Times New Roman" w:cs="Times New Roman" w:eastAsia="Times New Roman" w:hAnsi="Times New Roman"/>
          <w:sz w:val="14"/>
          <w:szCs w:val="14"/>
          <w:color w:val="auto"/>
        </w:rPr>
      </w:pPr>
    </w:p>
    <w:p>
      <w:pPr>
        <w:ind w:left="740" w:hanging="358"/>
        <w:spacing w:after="0" w:line="282" w:lineRule="auto"/>
        <w:tabs>
          <w:tab w:leader="none" w:pos="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adjustment (net of tax) tax rates were 20% and 21% for the three months ended June 30, 2022 and 2021, respectively, and 20% and 21% for the nine months ended June 30,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 REPORTABLE SEGMENT REVIEW</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Ashland’s reportable segments include Life Sciences, Personal Care (formerly Personal Care and Household), Specialty Additives, and Intermediates (formerly Intermediates and Solvents). Unallocated and Other includes corporate governance activities and certain legacy matters.</w:t>
      </w:r>
    </w:p>
    <w:p>
      <w:pPr>
        <w:spacing w:after="0" w:line="5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23" w:right="719" w:bottom="1440" w:gutter="0" w:footer="0" w:header="0"/>
        </w:sectPr>
      </w:pPr>
    </w:p>
    <w:bookmarkStart w:id="48" w:name="page49"/>
    <w:bookmarkEnd w:id="48"/>
    <w:p>
      <w:pPr>
        <w:jc w:val="both"/>
        <w:spacing w:after="0" w:line="241" w:lineRule="auto"/>
        <w:rPr>
          <w:sz w:val="20"/>
          <w:szCs w:val="20"/>
          <w:color w:val="auto"/>
        </w:rPr>
      </w:pPr>
      <w:r>
        <w:rPr>
          <w:rFonts w:ascii="Times New Roman" w:cs="Times New Roman" w:eastAsia="Times New Roman" w:hAnsi="Times New Roman"/>
          <w:sz w:val="20"/>
          <w:szCs w:val="20"/>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discloses sales, operating income, depreciation and amortization and EBITDA by reportable segment for the three and nine months ended June 30, 2022 and 2021.</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5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color w:val="auto"/>
              </w:rPr>
              <w:t>Three months ended</w:t>
            </w: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Nine months ended</w:t>
            </w: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3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6"/>
                <w:szCs w:val="16"/>
                <w:color w:val="auto"/>
              </w:rPr>
              <w:t>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color w:val="auto"/>
              </w:rPr>
              <w:t>June 30</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millions - unaudited)</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7"/>
                <w:szCs w:val="17"/>
                <w:color w:val="auto"/>
              </w:rPr>
            </w:pPr>
          </w:p>
        </w:tc>
        <w:tc>
          <w:tcPr>
            <w:tcW w:w="13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7"/>
                <w:szCs w:val="17"/>
                <w:color w:val="auto"/>
              </w:rPr>
            </w:pPr>
          </w:p>
        </w:tc>
      </w:tr>
      <w:tr>
        <w:trPr>
          <w:trHeight w:val="19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SALES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Life Sciences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7"/>
                <w:szCs w:val="17"/>
                <w:color w:val="auto"/>
              </w:rPr>
            </w:pPr>
          </w:p>
        </w:tc>
        <w:tc>
          <w:tcPr>
            <w:tcW w:w="1300" w:type="dxa"/>
            <w:vAlign w:val="bottom"/>
            <w:gridSpan w:val="2"/>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7"/>
                <w:szCs w:val="17"/>
                <w:color w:val="auto"/>
              </w:rPr>
            </w:pPr>
          </w:p>
        </w:tc>
        <w:tc>
          <w:tcPr>
            <w:tcW w:w="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Pr>
          <w:p>
            <w:pPr>
              <w:spacing w:after="0"/>
              <w:rPr>
                <w:sz w:val="17"/>
                <w:szCs w:val="17"/>
                <w:color w:val="auto"/>
              </w:rPr>
            </w:pPr>
          </w:p>
        </w:tc>
        <w:tc>
          <w:tcPr>
            <w:tcW w:w="74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80" w:type="dxa"/>
            <w:vAlign w:val="bottom"/>
          </w:tcPr>
          <w:p>
            <w:pPr>
              <w:spacing w:after="0"/>
              <w:rPr>
                <w:sz w:val="17"/>
                <w:szCs w:val="17"/>
                <w:color w:val="auto"/>
              </w:rPr>
            </w:pPr>
          </w:p>
        </w:tc>
      </w:tr>
      <w:tr>
        <w:trPr>
          <w:trHeight w:val="203"/>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Personal Care</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80" w:type="dxa"/>
            <w:vAlign w:val="bottom"/>
            <w:shd w:val="clear" w:color="auto" w:fill="CFF0FC"/>
          </w:tcPr>
          <w:p>
            <w:pPr>
              <w:spacing w:after="0"/>
              <w:rPr>
                <w:sz w:val="17"/>
                <w:szCs w:val="17"/>
                <w:color w:val="auto"/>
              </w:rPr>
            </w:pPr>
          </w:p>
        </w:tc>
      </w:tr>
      <w:tr>
        <w:trPr>
          <w:trHeight w:val="20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Specialty Additives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80" w:type="dxa"/>
            <w:vAlign w:val="bottom"/>
          </w:tcPr>
          <w:p>
            <w:pPr>
              <w:spacing w:after="0"/>
              <w:rPr>
                <w:sz w:val="17"/>
                <w:szCs w:val="17"/>
                <w:color w:val="auto"/>
              </w:rPr>
            </w:pPr>
          </w:p>
        </w:tc>
      </w:tr>
      <w:tr>
        <w:trPr>
          <w:trHeight w:val="203"/>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Intermediates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FF0FC"/>
          </w:tcPr>
          <w:p>
            <w:pPr>
              <w:spacing w:after="0"/>
              <w:rPr>
                <w:sz w:val="17"/>
                <w:szCs w:val="17"/>
                <w:color w:val="auto"/>
              </w:rPr>
            </w:pPr>
          </w:p>
        </w:tc>
      </w:tr>
      <w:tr>
        <w:trPr>
          <w:trHeight w:val="20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 xml:space="preserve">Intersegment sales </w:t>
            </w:r>
            <w:r>
              <w:rPr>
                <w:rFonts w:ascii="Times New Roman" w:cs="Times New Roman" w:eastAsia="Times New Roman" w:hAnsi="Times New Roman"/>
                <w:sz w:val="16"/>
                <w:szCs w:val="16"/>
                <w:color w:val="auto"/>
              </w:rPr>
              <w:t>(a)</w:t>
            </w: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(23 )</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(57 )</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(29 )</w:t>
            </w:r>
          </w:p>
        </w:tc>
      </w:tr>
      <w:tr>
        <w:trPr>
          <w:trHeight w:val="236"/>
        </w:trPr>
        <w:tc>
          <w:tcPr>
            <w:tcW w:w="35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Life Sciences</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FF0FC"/>
          </w:tcPr>
          <w:p>
            <w:pPr>
              <w:spacing w:after="0"/>
              <w:rPr>
                <w:sz w:val="17"/>
                <w:szCs w:val="17"/>
                <w:color w:val="auto"/>
              </w:rPr>
            </w:pPr>
          </w:p>
        </w:tc>
      </w:tr>
      <w:tr>
        <w:trPr>
          <w:trHeight w:val="20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Personal Care</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7"/>
                <w:szCs w:val="17"/>
                <w:color w:val="auto"/>
              </w:rPr>
            </w:pPr>
          </w:p>
        </w:tc>
      </w:tr>
      <w:tr>
        <w:trPr>
          <w:trHeight w:val="203"/>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 xml:space="preserve">Specialty Additives </w:t>
            </w:r>
            <w:r>
              <w:rPr>
                <w:rFonts w:ascii="Times New Roman" w:cs="Times New Roman" w:eastAsia="Times New Roman" w:hAnsi="Times New Roman"/>
                <w:sz w:val="16"/>
                <w:szCs w:val="16"/>
                <w:color w:val="auto"/>
              </w:rPr>
              <w:t>(b)</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FF0FC"/>
          </w:tcPr>
          <w:p>
            <w:pPr>
              <w:spacing w:after="0"/>
              <w:rPr>
                <w:sz w:val="17"/>
                <w:szCs w:val="17"/>
                <w:color w:val="auto"/>
              </w:rPr>
            </w:pPr>
          </w:p>
        </w:tc>
      </w:tr>
      <w:tr>
        <w:trPr>
          <w:trHeight w:val="20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Intermediates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7"/>
                <w:szCs w:val="17"/>
                <w:color w:val="auto"/>
              </w:rPr>
            </w:pPr>
          </w:p>
        </w:tc>
      </w:tr>
      <w:tr>
        <w:trPr>
          <w:trHeight w:val="202"/>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Unallocated and other</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(64 )</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(34 )</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(121 )</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(92 )</w:t>
            </w:r>
          </w:p>
        </w:tc>
      </w:tr>
      <w:tr>
        <w:trPr>
          <w:trHeight w:val="20"/>
        </w:trPr>
        <w:tc>
          <w:tcPr>
            <w:tcW w:w="35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35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7"/>
                <w:szCs w:val="17"/>
                <w:color w:val="auto"/>
              </w:rPr>
            </w:pPr>
          </w:p>
        </w:tc>
        <w:tc>
          <w:tcPr>
            <w:tcW w:w="1300" w:type="dxa"/>
            <w:vAlign w:val="bottom"/>
            <w:gridSpan w:val="2"/>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7"/>
                <w:szCs w:val="17"/>
                <w:color w:val="auto"/>
              </w:rPr>
            </w:pPr>
          </w:p>
        </w:tc>
        <w:tc>
          <w:tcPr>
            <w:tcW w:w="74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DEPRECIATION EXPENSE</w:t>
            </w: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Life Sciences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7"/>
                <w:szCs w:val="17"/>
                <w:color w:val="auto"/>
              </w:rPr>
            </w:pPr>
          </w:p>
        </w:tc>
        <w:tc>
          <w:tcPr>
            <w:tcW w:w="1300" w:type="dxa"/>
            <w:vAlign w:val="bottom"/>
            <w:gridSpan w:val="2"/>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74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7"/>
                <w:szCs w:val="17"/>
                <w:color w:val="auto"/>
              </w:rPr>
            </w:pPr>
          </w:p>
        </w:tc>
      </w:tr>
      <w:tr>
        <w:trPr>
          <w:trHeight w:val="203"/>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Personal Care</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FF0FC"/>
          </w:tcPr>
          <w:p>
            <w:pPr>
              <w:spacing w:after="0"/>
              <w:rPr>
                <w:sz w:val="17"/>
                <w:szCs w:val="17"/>
                <w:color w:val="auto"/>
              </w:rPr>
            </w:pPr>
          </w:p>
        </w:tc>
      </w:tr>
      <w:tr>
        <w:trPr>
          <w:trHeight w:val="20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Specialty Additives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7"/>
                <w:szCs w:val="17"/>
                <w:color w:val="auto"/>
              </w:rPr>
            </w:pPr>
          </w:p>
        </w:tc>
      </w:tr>
      <w:tr>
        <w:trPr>
          <w:trHeight w:val="203"/>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Intermediates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FF0FC"/>
          </w:tcPr>
          <w:p>
            <w:pPr>
              <w:spacing w:after="0"/>
              <w:rPr>
                <w:sz w:val="17"/>
                <w:szCs w:val="17"/>
                <w:color w:val="auto"/>
              </w:rPr>
            </w:pPr>
          </w:p>
        </w:tc>
      </w:tr>
      <w:tr>
        <w:trPr>
          <w:trHeight w:val="20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Unallocated and other</w:t>
            </w: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r>
      <w:tr>
        <w:trPr>
          <w:trHeight w:val="236"/>
        </w:trPr>
        <w:tc>
          <w:tcPr>
            <w:tcW w:w="35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AMORTIZATION EXPENSE</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Life Sciences</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FF0FC"/>
          </w:tcPr>
          <w:p>
            <w:pPr>
              <w:spacing w:after="0"/>
              <w:rPr>
                <w:sz w:val="17"/>
                <w:szCs w:val="17"/>
                <w:color w:val="auto"/>
              </w:rPr>
            </w:pPr>
          </w:p>
        </w:tc>
      </w:tr>
      <w:tr>
        <w:trPr>
          <w:trHeight w:val="20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Personal Care</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7"/>
                <w:szCs w:val="17"/>
                <w:color w:val="auto"/>
              </w:rPr>
            </w:pPr>
          </w:p>
        </w:tc>
      </w:tr>
      <w:tr>
        <w:trPr>
          <w:trHeight w:val="203"/>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Specialty Additives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FF0FC"/>
          </w:tcPr>
          <w:p>
            <w:pPr>
              <w:spacing w:after="0"/>
              <w:rPr>
                <w:sz w:val="17"/>
                <w:szCs w:val="17"/>
                <w:color w:val="auto"/>
              </w:rPr>
            </w:pPr>
          </w:p>
        </w:tc>
      </w:tr>
      <w:tr>
        <w:trPr>
          <w:trHeight w:val="20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Intermediates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35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EBITDA </w:t>
            </w:r>
            <w:r>
              <w:rPr>
                <w:rFonts w:ascii="Times New Roman" w:cs="Times New Roman" w:eastAsia="Times New Roman" w:hAnsi="Times New Roman"/>
                <w:sz w:val="16"/>
                <w:szCs w:val="16"/>
                <w:color w:val="auto"/>
              </w:rPr>
              <w:t>(c)</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Life Sciences</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shd w:val="clear" w:color="auto" w:fill="CFF0FC"/>
          </w:tcPr>
          <w:p>
            <w:pPr>
              <w:spacing w:after="0"/>
              <w:rPr>
                <w:sz w:val="17"/>
                <w:szCs w:val="17"/>
                <w:color w:val="auto"/>
              </w:rPr>
            </w:pPr>
          </w:p>
        </w:tc>
      </w:tr>
      <w:tr>
        <w:trPr>
          <w:trHeight w:val="20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Personal Care</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7"/>
                <w:szCs w:val="17"/>
                <w:color w:val="auto"/>
              </w:rPr>
            </w:pPr>
          </w:p>
        </w:tc>
      </w:tr>
      <w:tr>
        <w:trPr>
          <w:trHeight w:val="203"/>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Specialty Additives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FF0FC"/>
          </w:tcPr>
          <w:p>
            <w:pPr>
              <w:spacing w:after="0"/>
              <w:rPr>
                <w:sz w:val="17"/>
                <w:szCs w:val="17"/>
                <w:color w:val="auto"/>
              </w:rPr>
            </w:pPr>
          </w:p>
        </w:tc>
      </w:tr>
      <w:tr>
        <w:trPr>
          <w:trHeight w:val="20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Intermediates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7"/>
                <w:szCs w:val="17"/>
                <w:color w:val="auto"/>
              </w:rPr>
            </w:pPr>
          </w:p>
        </w:tc>
      </w:tr>
      <w:tr>
        <w:trPr>
          <w:trHeight w:val="203"/>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Unallocated and other</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(64 )</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(33 )</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(120 )</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(91 )</w:t>
            </w:r>
          </w:p>
        </w:tc>
      </w:tr>
      <w:tr>
        <w:trPr>
          <w:trHeight w:val="20"/>
        </w:trPr>
        <w:tc>
          <w:tcPr>
            <w:tcW w:w="35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35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7"/>
                <w:szCs w:val="17"/>
                <w:color w:val="auto"/>
              </w:rPr>
            </w:pPr>
          </w:p>
        </w:tc>
        <w:tc>
          <w:tcPr>
            <w:tcW w:w="1300" w:type="dxa"/>
            <w:vAlign w:val="bottom"/>
            <w:gridSpan w:val="2"/>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7"/>
                <w:szCs w:val="17"/>
                <w:color w:val="auto"/>
              </w:rPr>
            </w:pPr>
          </w:p>
        </w:tc>
        <w:tc>
          <w:tcPr>
            <w:tcW w:w="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Pr>
          <w:p>
            <w:pPr>
              <w:spacing w:after="0"/>
              <w:rPr>
                <w:sz w:val="17"/>
                <w:szCs w:val="17"/>
                <w:color w:val="auto"/>
              </w:rPr>
            </w:pPr>
          </w:p>
        </w:tc>
        <w:tc>
          <w:tcPr>
            <w:tcW w:w="74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80" w:type="dxa"/>
            <w:vAlign w:val="bottom"/>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3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3166745</wp:posOffset>
            </wp:positionH>
            <wp:positionV relativeFrom="paragraph">
              <wp:posOffset>-3771265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-3754120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-3771265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-3754120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-3771265</wp:posOffset>
            </wp:positionV>
            <wp:extent cx="603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-3754120</wp:posOffset>
            </wp:positionV>
            <wp:extent cx="603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-3771265</wp:posOffset>
            </wp:positionV>
            <wp:extent cx="596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-3754120</wp:posOffset>
            </wp:positionV>
            <wp:extent cx="596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-2973705</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-2973705</wp:posOffset>
            </wp:positionV>
            <wp:extent cx="6032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-2973705</wp:posOffset>
            </wp:positionV>
            <wp:extent cx="596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-2973705</wp:posOffset>
            </wp:positionV>
            <wp:extent cx="68580" cy="16319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-1902460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-1885315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-1902460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-1885315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-1902460</wp:posOffset>
            </wp:positionV>
            <wp:extent cx="603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-1885315</wp:posOffset>
            </wp:positionV>
            <wp:extent cx="603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-1902460</wp:posOffset>
            </wp:positionV>
            <wp:extent cx="596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-1885315</wp:posOffset>
            </wp:positionV>
            <wp:extent cx="596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-1096645</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-1079500</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-1096645</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-1079500</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-1096645</wp:posOffset>
            </wp:positionV>
            <wp:extent cx="6032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-1079500</wp:posOffset>
            </wp:positionV>
            <wp:extent cx="6032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-1096645</wp:posOffset>
            </wp:positionV>
            <wp:extent cx="596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-1079500</wp:posOffset>
            </wp:positionV>
            <wp:extent cx="596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-299720</wp:posOffset>
            </wp:positionV>
            <wp:extent cx="685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-299720</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-299720</wp:posOffset>
            </wp:positionV>
            <wp:extent cx="6032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-299720</wp:posOffset>
            </wp:positionV>
            <wp:extent cx="596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87" w:lineRule="exact"/>
        <w:rPr>
          <w:sz w:val="20"/>
          <w:szCs w:val="20"/>
          <w:color w:val="auto"/>
        </w:rPr>
      </w:pPr>
    </w:p>
    <w:p>
      <w:pPr>
        <w:ind w:left="360" w:hanging="358"/>
        <w:spacing w:after="0"/>
        <w:tabs>
          <w:tab w:leader="none" w:pos="3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sales from Intermediates are accounted for at prices that approximate fair value. All other intersegment transfers are accounted for at cost.</w:t>
      </w:r>
    </w:p>
    <w:p>
      <w:pPr>
        <w:spacing w:after="0" w:line="41"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capital project impairment of $9 million for the nine months ended June 30, 2021 relating to a long-term capital project plan change at a plant facility.</w:t>
      </w:r>
    </w:p>
    <w:p>
      <w:pPr>
        <w:spacing w:after="0" w:line="41" w:lineRule="exact"/>
        <w:rPr>
          <w:rFonts w:ascii="Times New Roman" w:cs="Times New Roman" w:eastAsia="Times New Roman" w:hAnsi="Times New Roman"/>
          <w:sz w:val="14"/>
          <w:szCs w:val="14"/>
          <w:color w:val="auto"/>
        </w:rPr>
      </w:pPr>
    </w:p>
    <w:p>
      <w:pPr>
        <w:ind w:left="360" w:hanging="358"/>
        <w:spacing w:after="0" w:line="282" w:lineRule="auto"/>
        <w:tabs>
          <w:tab w:leader="none" w:pos="3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income (loss) from discontinued operations, other net periodic benefit income (expense) and net income (loss) on divestitures, net. See the Statement of Consolidated Comprehensive Income (Loss) for applicable amounts excluded.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7" w:right="719" w:bottom="1440" w:gutter="0" w:footer="0" w:header="0"/>
        </w:sectPr>
      </w:pPr>
    </w:p>
    <w:bookmarkStart w:id="49" w:name="page50"/>
    <w:bookmarkEnd w:id="49"/>
    <w:p>
      <w:pPr>
        <w:ind w:left="380"/>
        <w:spacing w:after="0"/>
        <w:rPr>
          <w:sz w:val="20"/>
          <w:szCs w:val="20"/>
          <w:color w:val="auto"/>
        </w:rPr>
      </w:pPr>
      <w:r>
        <w:rPr>
          <w:rFonts w:ascii="Times New Roman" w:cs="Times New Roman" w:eastAsia="Times New Roman" w:hAnsi="Times New Roman"/>
          <w:sz w:val="20"/>
          <w:szCs w:val="20"/>
          <w:b w:val="1"/>
          <w:bCs w:val="1"/>
          <w:color w:val="auto"/>
        </w:rPr>
        <w:t>Life Sciences</w:t>
      </w:r>
    </w:p>
    <w:p>
      <w:pPr>
        <w:spacing w:after="0" w:line="112" w:lineRule="exact"/>
        <w:rPr>
          <w:sz w:val="20"/>
          <w:szCs w:val="20"/>
          <w:color w:val="auto"/>
        </w:rPr>
      </w:pPr>
    </w:p>
    <w:p>
      <w:pPr>
        <w:jc w:val="both"/>
        <w:ind w:left="380" w:right="380"/>
        <w:spacing w:after="0" w:line="242" w:lineRule="auto"/>
        <w:rPr>
          <w:sz w:val="20"/>
          <w:szCs w:val="20"/>
          <w:color w:val="auto"/>
        </w:rPr>
      </w:pPr>
      <w:r>
        <w:rPr>
          <w:rFonts w:ascii="Times New Roman" w:cs="Times New Roman" w:eastAsia="Times New Roman" w:hAnsi="Times New Roman"/>
          <w:sz w:val="20"/>
          <w:szCs w:val="20"/>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providing custom formulation, toll processing and particle engineering solutions. Customers include pharmaceutical, food, beverage, nutraceuticals and supplements manufacturers, hospitals and radiologists and industrial manufacturers.</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June 2022 quarter compared to June 2021 quarter</w:t>
      </w:r>
    </w:p>
    <w:p>
      <w:pPr>
        <w:spacing w:after="0" w:line="112" w:lineRule="exact"/>
        <w:rPr>
          <w:sz w:val="20"/>
          <w:szCs w:val="20"/>
          <w:color w:val="auto"/>
        </w:rPr>
      </w:pPr>
    </w:p>
    <w:p>
      <w:pPr>
        <w:jc w:val="both"/>
        <w:ind w:left="380" w:right="380"/>
        <w:spacing w:after="0" w:line="247" w:lineRule="auto"/>
        <w:rPr>
          <w:sz w:val="20"/>
          <w:szCs w:val="20"/>
          <w:color w:val="auto"/>
        </w:rPr>
      </w:pPr>
      <w:r>
        <w:rPr>
          <w:rFonts w:ascii="Times New Roman" w:cs="Times New Roman" w:eastAsia="Times New Roman" w:hAnsi="Times New Roman"/>
          <w:sz w:val="20"/>
          <w:szCs w:val="20"/>
          <w:color w:val="auto"/>
        </w:rPr>
        <w:t>Life Sciences’ sales increased $35 million to $228 million in the current quarter. Favorable pricing/mix and higher volume increased sales by $26 million and $18 million, respectively, while unfavorable foreign currency exchange decreased sales by $9 million.</w:t>
      </w:r>
    </w:p>
    <w:p>
      <w:pPr>
        <w:spacing w:after="0" w:line="73"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Operating income increased $14 million to income of $51 million for the current quarter. Favorable price/mix and higher volume increased operating income by $24 million and $6 million, respectively, partially offset by unfavorable foreign currency exchange and higher costs which decreased operating income by $6 million and $10 million, respectively. Current quarter EBITDA increased $14 million to $67 million. EBITDA margin increased 1.9 percentage points in the current quarter to 29.4%.</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Fiscal 2022 year-to-date compared to fiscal 2021 year-to-date</w:t>
      </w:r>
    </w:p>
    <w:p>
      <w:pPr>
        <w:spacing w:after="0" w:line="112"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Life Sciences’ sales increased $54 million to $602 million in the current period. Favorable pricing/mix and higher volume increased sales by $44 million and $25 million, respectively, while unfavorable foreign currency decreased sales by $15 million.</w:t>
      </w:r>
    </w:p>
    <w:p>
      <w:pPr>
        <w:spacing w:after="0" w:line="51"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0"/>
          <w:szCs w:val="20"/>
          <w:color w:val="auto"/>
        </w:rPr>
        <w:t>Operating income increased $14 million to income of $115 million for the current period. Favorable price/mix and higher volume increased operating income by $28 million and $8 million, respectively, while unfavorable foreign currency and higher costs decreased operating income by $9 million and $13 million, respectively. Current period EBITDA increased $13 million to $161. EBITDA margin decreased 0.3 percentage points in the current period to 26.7%.</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112" w:lineRule="exact"/>
        <w:rPr>
          <w:sz w:val="20"/>
          <w:szCs w:val="20"/>
          <w:color w:val="auto"/>
        </w:rPr>
      </w:pPr>
    </w:p>
    <w:p>
      <w:pPr>
        <w:jc w:val="both"/>
        <w:ind w:left="380" w:right="380"/>
        <w:spacing w:after="0" w:line="241" w:lineRule="auto"/>
        <w:rPr>
          <w:sz w:val="20"/>
          <w:szCs w:val="20"/>
          <w:color w:val="auto"/>
        </w:rPr>
      </w:pPr>
      <w:r>
        <w:rPr>
          <w:rFonts w:ascii="Times New Roman" w:cs="Times New Roman" w:eastAsia="Times New Roman" w:hAnsi="Times New Roman"/>
          <w:sz w:val="20"/>
          <w:szCs w:val="20"/>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Statements of Consolidated Comprehensive Income (Loss) caption.</w:t>
      </w:r>
    </w:p>
    <w:p>
      <w:pPr>
        <w:spacing w:after="0" w:line="68" w:lineRule="exact"/>
        <w:rPr>
          <w:sz w:val="20"/>
          <w:szCs w:val="20"/>
          <w:color w:val="auto"/>
        </w:rPr>
      </w:pPr>
    </w:p>
    <w:p>
      <w:pPr>
        <w:jc w:val="both"/>
        <w:ind w:left="380" w:right="380"/>
        <w:spacing w:after="0" w:line="274" w:lineRule="auto"/>
        <w:rPr>
          <w:sz w:val="20"/>
          <w:szCs w:val="20"/>
          <w:color w:val="auto"/>
        </w:rPr>
      </w:pPr>
      <w:r>
        <w:rPr>
          <w:rFonts w:ascii="Times New Roman" w:cs="Times New Roman" w:eastAsia="Times New Roman" w:hAnsi="Times New Roman"/>
          <w:sz w:val="19"/>
          <w:szCs w:val="19"/>
          <w:color w:val="auto"/>
        </w:rPr>
        <w:t>The following EBITDA presentation for the three and nine months ended June 30, 2022 and 2021 is provided as a means to enhance the understanding of financial measurements that Ashland has internally determined to be relevant measures of comparison for the results of Life Sciences. Life Sciences had no key items for the three and nine months ended June 30, 2022 or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45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Life Sciences</w:t>
            </w:r>
          </w:p>
        </w:tc>
        <w:tc>
          <w:tcPr>
            <w:tcW w:w="9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Nine months ended June 30</w:t>
            </w:r>
          </w:p>
        </w:tc>
        <w:tc>
          <w:tcPr>
            <w:tcW w:w="4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5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2021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10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4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4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-445135</wp:posOffset>
            </wp:positionV>
            <wp:extent cx="8572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-427990</wp:posOffset>
            </wp:positionV>
            <wp:extent cx="8572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-445135</wp:posOffset>
            </wp:positionV>
            <wp:extent cx="8572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-427990</wp:posOffset>
            </wp:positionV>
            <wp:extent cx="8572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-445135</wp:posOffset>
            </wp:positionV>
            <wp:extent cx="7747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-427990</wp:posOffset>
            </wp:positionV>
            <wp:extent cx="774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0" w:name="page51"/>
    <w:bookmarkEnd w:id="50"/>
    <w:p>
      <w:pPr>
        <w:ind w:left="380"/>
        <w:spacing w:after="0"/>
        <w:rPr>
          <w:sz w:val="20"/>
          <w:szCs w:val="20"/>
          <w:color w:val="auto"/>
        </w:rPr>
      </w:pPr>
      <w:r>
        <w:rPr>
          <w:rFonts w:ascii="Times New Roman" w:cs="Times New Roman" w:eastAsia="Times New Roman" w:hAnsi="Times New Roman"/>
          <w:sz w:val="20"/>
          <w:szCs w:val="20"/>
          <w:b w:val="1"/>
          <w:bCs w:val="1"/>
          <w:color w:val="auto"/>
        </w:rPr>
        <w:t>Personal Care</w:t>
      </w:r>
    </w:p>
    <w:p>
      <w:pPr>
        <w:spacing w:after="0" w:line="112" w:lineRule="exact"/>
        <w:rPr>
          <w:sz w:val="20"/>
          <w:szCs w:val="20"/>
          <w:color w:val="auto"/>
        </w:rPr>
      </w:pPr>
    </w:p>
    <w:p>
      <w:pPr>
        <w:jc w:val="both"/>
        <w:ind w:left="380" w:right="380"/>
        <w:spacing w:after="0" w:line="256" w:lineRule="auto"/>
        <w:rPr>
          <w:sz w:val="20"/>
          <w:szCs w:val="20"/>
          <w:color w:val="auto"/>
        </w:rPr>
      </w:pPr>
      <w:r>
        <w:rPr>
          <w:rFonts w:ascii="Times New Roman" w:cs="Times New Roman" w:eastAsia="Times New Roman" w:hAnsi="Times New Roman"/>
          <w:sz w:val="19"/>
          <w:szCs w:val="19"/>
          <w:color w:val="auto"/>
        </w:rPr>
        <w:t>Personal Care is comprised of biofunctionals, preservatives, skin care, sun care, oral care, hair care and household. These businesses have a broad range of nature-based, biodegradable, and performance-enhancing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 As previously disclosed, on April 30, 2021 Ashland completed the $312 million acquisition of the personal care business from Schülke.</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June 2022 quarter compared to June 2021 quarter</w:t>
      </w:r>
    </w:p>
    <w:p>
      <w:pPr>
        <w:spacing w:after="0" w:line="112" w:lineRule="exact"/>
        <w:rPr>
          <w:sz w:val="20"/>
          <w:szCs w:val="20"/>
          <w:color w:val="auto"/>
        </w:rPr>
      </w:pPr>
    </w:p>
    <w:p>
      <w:pPr>
        <w:jc w:val="both"/>
        <w:ind w:left="380" w:right="380"/>
        <w:spacing w:after="0" w:line="247" w:lineRule="auto"/>
        <w:rPr>
          <w:sz w:val="20"/>
          <w:szCs w:val="20"/>
          <w:color w:val="auto"/>
        </w:rPr>
      </w:pPr>
      <w:r>
        <w:rPr>
          <w:rFonts w:ascii="Times New Roman" w:cs="Times New Roman" w:eastAsia="Times New Roman" w:hAnsi="Times New Roman"/>
          <w:sz w:val="20"/>
          <w:szCs w:val="20"/>
          <w:color w:val="auto"/>
        </w:rPr>
        <w:t>Personal Care's sales increased $25 million to $172 million in the current quarter. Favorable product pricing/mix and volume, including the impact of the Schülke acquisition, increased sales by $13 million and $19 million, respectively. Unfavorable currency exchange decreased sales by $7 million.</w:t>
      </w:r>
    </w:p>
    <w:p>
      <w:pPr>
        <w:spacing w:after="0" w:line="73" w:lineRule="exact"/>
        <w:rPr>
          <w:sz w:val="20"/>
          <w:szCs w:val="20"/>
          <w:color w:val="auto"/>
        </w:rPr>
      </w:pPr>
    </w:p>
    <w:p>
      <w:pPr>
        <w:jc w:val="both"/>
        <w:ind w:left="380" w:right="380"/>
        <w:spacing w:after="0" w:line="243" w:lineRule="auto"/>
        <w:rPr>
          <w:sz w:val="20"/>
          <w:szCs w:val="20"/>
          <w:color w:val="auto"/>
        </w:rPr>
      </w:pPr>
      <w:r>
        <w:rPr>
          <w:rFonts w:ascii="Times New Roman" w:cs="Times New Roman" w:eastAsia="Times New Roman" w:hAnsi="Times New Roman"/>
          <w:sz w:val="20"/>
          <w:szCs w:val="20"/>
          <w:color w:val="auto"/>
        </w:rPr>
        <w:t>Operating income increased $9 million to income of $25 million for the current quarter. Favorable price/mix, favorable impact of the Schülke acquisition and higher volume increased operating income by $6 million, $3 million and $3 million, respectively. Unfavorable currency exchange and increased operating costs decreased operating income by $2 million and $1 million, respectively. Current quarter EBITDA increased $9 million to $46 million while Adjusted EBITDA increased $7 million to $46 million. Adjusted EBITDA margin increased 0.2 percentage points in the current quarter to 26.7%.</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Fiscal 2022 year-to-date compared to fiscal 2021 year-to-date</w:t>
      </w:r>
    </w:p>
    <w:p>
      <w:pPr>
        <w:spacing w:after="0" w:line="11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Personal Care’s sales increased $81 million to $490 million in the current period. Favorable product pricing/mix and volume, including the impact of the Schülke acquisition, increased sales by $24 million and $70 million, respectively. Unfavorable currency exchange decreased sales by $13 million.</w:t>
      </w:r>
    </w:p>
    <w:p>
      <w:pPr>
        <w:spacing w:after="0" w:line="53" w:lineRule="exact"/>
        <w:rPr>
          <w:sz w:val="20"/>
          <w:szCs w:val="20"/>
          <w:color w:val="auto"/>
        </w:rPr>
      </w:pPr>
    </w:p>
    <w:p>
      <w:pPr>
        <w:jc w:val="both"/>
        <w:ind w:left="380" w:right="380"/>
        <w:spacing w:after="0" w:line="246" w:lineRule="auto"/>
        <w:rPr>
          <w:sz w:val="20"/>
          <w:szCs w:val="20"/>
          <w:color w:val="auto"/>
        </w:rPr>
      </w:pPr>
      <w:r>
        <w:rPr>
          <w:rFonts w:ascii="Times New Roman" w:cs="Times New Roman" w:eastAsia="Times New Roman" w:hAnsi="Times New Roman"/>
          <w:sz w:val="20"/>
          <w:szCs w:val="20"/>
          <w:color w:val="auto"/>
        </w:rPr>
        <w:t>Operating income increased $18 million to income of $67 million for the current period. Favorable price/mix, lower costs, favorable impact of the Schülke acquisition and higher volume increased operating income by $3 million, $6 million, $6 million and $7 million, respectively. Unfavorable currency exchange decreased operating income by $4 million. Current period EBITDA increased $22 million to $130 million while Adjusted EBITDA increased $20 million to $130 million. Adjusted EBITDA margin decreased 0.4 percentage points in the current period to 26.5%.</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98"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The following EBITDA presentation for the three and nine months ended June 30, 2022 and 2021 is provided as a means to enhance the understanding of financial measurements that Ashland has internally determined to be relevant measures of comparison for the results of Personal Care. The key items during the three and nine months ended June 30, 2021 related to inventory adjustments within Personal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6816090</wp:posOffset>
            </wp:positionH>
            <wp:positionV relativeFrom="paragraph">
              <wp:posOffset>46990</wp:posOffset>
            </wp:positionV>
            <wp:extent cx="85090" cy="1797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5090" cy="17970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43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Personal Care</w:t>
            </w:r>
          </w:p>
        </w:tc>
        <w:tc>
          <w:tcPr>
            <w:tcW w:w="8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June 30</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3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4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Inventory adjustment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4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43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-745490</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-728345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-745490</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-728345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-745490</wp:posOffset>
            </wp:positionV>
            <wp:extent cx="6032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-728345</wp:posOffset>
            </wp:positionV>
            <wp:extent cx="6032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-745490</wp:posOffset>
            </wp:positionV>
            <wp:extent cx="596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-728345</wp:posOffset>
            </wp:positionV>
            <wp:extent cx="596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-436880</wp:posOffset>
            </wp:positionV>
            <wp:extent cx="685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-419735</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-436880</wp:posOffset>
            </wp:positionV>
            <wp:extent cx="6858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-419735</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-436880</wp:posOffset>
            </wp:positionV>
            <wp:extent cx="6032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-419735</wp:posOffset>
            </wp:positionV>
            <wp:extent cx="6032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-436880</wp:posOffset>
            </wp:positionV>
            <wp:extent cx="596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-419735</wp:posOffset>
            </wp:positionV>
            <wp:extent cx="596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51" w:name="page52"/>
    <w:bookmarkEnd w:id="51"/>
    <w:p>
      <w:pPr>
        <w:ind w:left="380"/>
        <w:spacing w:after="0"/>
        <w:rPr>
          <w:sz w:val="20"/>
          <w:szCs w:val="20"/>
          <w:color w:val="auto"/>
        </w:rPr>
      </w:pPr>
      <w:r>
        <w:rPr>
          <w:rFonts w:ascii="Times New Roman" w:cs="Times New Roman" w:eastAsia="Times New Roman" w:hAnsi="Times New Roman"/>
          <w:sz w:val="20"/>
          <w:szCs w:val="20"/>
          <w:b w:val="1"/>
          <w:bCs w:val="1"/>
          <w:color w:val="auto"/>
        </w:rPr>
        <w:t>Specialty Additives</w:t>
      </w:r>
    </w:p>
    <w:p>
      <w:pPr>
        <w:spacing w:after="0" w:line="112" w:lineRule="exact"/>
        <w:rPr>
          <w:sz w:val="20"/>
          <w:szCs w:val="20"/>
          <w:color w:val="auto"/>
        </w:rPr>
      </w:pPr>
    </w:p>
    <w:p>
      <w:pPr>
        <w:jc w:val="both"/>
        <w:ind w:left="380" w:right="380"/>
        <w:spacing w:after="0" w:line="241" w:lineRule="auto"/>
        <w:rPr>
          <w:sz w:val="20"/>
          <w:szCs w:val="20"/>
          <w:color w:val="auto"/>
        </w:rPr>
      </w:pPr>
      <w:r>
        <w:rPr>
          <w:rFonts w:ascii="Times New Roman" w:cs="Times New Roman" w:eastAsia="Times New Roman" w:hAnsi="Times New Roman"/>
          <w:sz w:val="20"/>
          <w:szCs w:val="20"/>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June 2022 quarter compared to June 2021 quarter</w:t>
      </w:r>
    </w:p>
    <w:p>
      <w:pPr>
        <w:spacing w:after="0" w:line="98"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Specialty Additives’ sales increased $25 million to $194 million in the current quarter. Favorable product pricing/mix increased sales by $35 million. Unfavorable volume, unfavorable currency exchange decreased sales by $2 million and $8 million, respectively.</w:t>
      </w:r>
    </w:p>
    <w:p>
      <w:pPr>
        <w:spacing w:after="0" w:line="66"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Operating income increased $20 million to income of $35 million for the current quarter. Favorable pricing/mix increased operating income by $25 million. Higher costs and unfavorable foreign currency decreased operating income by $3 million and $2 million, respectively. Current quarter EBITDA increased $20 million to $56 million while Adjusted EBITDA increased $18 million to $57 million. Adjusted EBITDA margin increased 6.3 percentage points in the current quarter to 29.4%.</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Fiscal 2022 year-to-date compared to fiscal 2021 year-to-date</w:t>
      </w:r>
    </w:p>
    <w:p>
      <w:pPr>
        <w:spacing w:after="0" w:line="112"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Specialty Additives’ sales increased $58 million to $532 million in the current period. Favorable product pricing/mix and volume increased sales by $66 million and $5 million, respectively. Unfavorable currency exchange decreased sales by $13 million.</w:t>
      </w:r>
    </w:p>
    <w:p>
      <w:pPr>
        <w:spacing w:after="0" w:line="51" w:lineRule="exact"/>
        <w:rPr>
          <w:sz w:val="20"/>
          <w:szCs w:val="20"/>
          <w:color w:val="auto"/>
        </w:rPr>
      </w:pPr>
    </w:p>
    <w:p>
      <w:pPr>
        <w:jc w:val="both"/>
        <w:ind w:left="380" w:right="380"/>
        <w:spacing w:after="0" w:line="243" w:lineRule="auto"/>
        <w:rPr>
          <w:sz w:val="20"/>
          <w:szCs w:val="20"/>
          <w:color w:val="auto"/>
        </w:rPr>
      </w:pPr>
      <w:r>
        <w:rPr>
          <w:rFonts w:ascii="Times New Roman" w:cs="Times New Roman" w:eastAsia="Times New Roman" w:hAnsi="Times New Roman"/>
          <w:sz w:val="20"/>
          <w:szCs w:val="20"/>
          <w:color w:val="auto"/>
        </w:rPr>
        <w:t>Operating income increased $43 million to income of $79 million for the current period. Favorable volume, favorable pricing/mix and a capital project impairment in the prior year period increased operating income by $40 million, $1 million and $9 million, respectively. Higher costs and unfavorable foreign currency decreased operating income by $6 million and $1 million, respectively. Current period EBITDA increased $42 million to $141 million while Adjusted EBITDA increased $31 million to $142 million. Adjusted EBITDA margin increased 3.3 percentage points in the current period to 26.7%.</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112"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0"/>
          <w:szCs w:val="20"/>
          <w:color w:val="auto"/>
        </w:rPr>
        <w:t>The following EBITDA presentation for the three and nine months ended June 30, 2022 and 2021 is provided as a means to enhance the understanding of financial measurements that Ashland has internally determined to be relevant measures of comparison for the results of Specialty Additives. The key items related to a capital project impairment for the nine months ended June 30, 2021 and environmental reserve adjustments for the three and nine ended June 30, 2022 and 2021.</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43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880" w:type="dxa"/>
            <w:vAlign w:val="bottom"/>
            <w:tcBorders>
              <w:top w:val="single" w:sz="8" w:color="auto"/>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color w:val="auto"/>
              </w:rPr>
              <w:t>Specialty Additives</w:t>
            </w: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Nine months ended June 30</w:t>
            </w:r>
          </w:p>
        </w:tc>
        <w:tc>
          <w:tcPr>
            <w:tcW w:w="48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3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4"/>
              </w:rPr>
              <w:t>2021</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2021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14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4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Environmental reserve adjustments</w:t>
            </w:r>
          </w:p>
        </w:tc>
        <w:tc>
          <w:tcPr>
            <w:tcW w:w="240" w:type="dxa"/>
            <w:vAlign w:val="bottom"/>
          </w:tcPr>
          <w:p>
            <w:pPr>
              <w:spacing w:after="0"/>
              <w:rPr>
                <w:sz w:val="17"/>
                <w:szCs w:val="17"/>
                <w:color w:val="auto"/>
              </w:rPr>
            </w:pPr>
          </w:p>
        </w:tc>
        <w:tc>
          <w:tcPr>
            <w:tcW w:w="11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project impairment</w:t>
            </w: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c>
          <w:tcPr>
            <w:tcW w:w="11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43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-890905</wp:posOffset>
            </wp:positionV>
            <wp:extent cx="10287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-873760</wp:posOffset>
            </wp:positionV>
            <wp:extent cx="10287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-890905</wp:posOffset>
            </wp:positionV>
            <wp:extent cx="10287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-873760</wp:posOffset>
            </wp:positionV>
            <wp:extent cx="10287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-890905</wp:posOffset>
            </wp:positionV>
            <wp:extent cx="939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-873760</wp:posOffset>
            </wp:positionV>
            <wp:extent cx="9398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-591185</wp:posOffset>
            </wp:positionV>
            <wp:extent cx="10287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-591185</wp:posOffset>
            </wp:positionV>
            <wp:extent cx="10287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-591185</wp:posOffset>
            </wp:positionV>
            <wp:extent cx="9398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52" w:name="page53"/>
    <w:bookmarkEnd w:id="52"/>
    <w:p>
      <w:pPr>
        <w:ind w:left="380"/>
        <w:spacing w:after="0"/>
        <w:rPr>
          <w:sz w:val="20"/>
          <w:szCs w:val="20"/>
          <w:color w:val="auto"/>
        </w:rPr>
      </w:pPr>
      <w:r>
        <w:rPr>
          <w:rFonts w:ascii="Times New Roman" w:cs="Times New Roman" w:eastAsia="Times New Roman" w:hAnsi="Times New Roman"/>
          <w:sz w:val="20"/>
          <w:szCs w:val="20"/>
          <w:b w:val="1"/>
          <w:bCs w:val="1"/>
          <w:color w:val="auto"/>
        </w:rPr>
        <w:t>Intermediates</w:t>
      </w:r>
    </w:p>
    <w:p>
      <w:pPr>
        <w:spacing w:after="0" w:line="112"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to Life Sciences, Personal Care, and Specialty Additives for use as a raw material.</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June 2022 quarter compared to June 2021 quarter</w:t>
      </w:r>
    </w:p>
    <w:p>
      <w:pPr>
        <w:spacing w:after="0" w:line="98"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Intermediates’ sales increased $24 million to $73 million in the current quarter. Improved product pricing/mix increased sales by $29 million, partially offset by unfavorable volumes and unfavorable foreign currency exchange which decreases sales by $3 million and $2 million, respectively.</w:t>
      </w:r>
    </w:p>
    <w:p>
      <w:pPr>
        <w:spacing w:after="0" w:line="66"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0"/>
          <w:szCs w:val="20"/>
          <w:color w:val="auto"/>
        </w:rPr>
        <w:t>Operating income increased $19 million to $30 million for the current quarter. Price/mix and lower costs increased operating income by $20 million and $2 million, respectively, and was partially offset by lower volume and unfavorable foreign currency which decreased operating income by $2 million and $1 million, respectively. Current quarter EBITDA increased $18 million to $33 million. EBITDA margin increased 14.6 percentage points in the current quarter to 45.2%.</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Fiscal 2022 year-to-date compared to fiscal 2021 year-to-date</w:t>
      </w:r>
    </w:p>
    <w:p>
      <w:pPr>
        <w:spacing w:after="0" w:line="11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Intermediates’ sales increased $74 million to $192 million in the current period. Improved product pricing/mix increased sales by $81 million. That increase was partially offset by lower volumes and unfavorable foreign currency exchange which decreased sales by $4 million and $3 million, respectively.</w:t>
      </w:r>
    </w:p>
    <w:p>
      <w:pPr>
        <w:spacing w:after="0" w:line="66"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0"/>
          <w:szCs w:val="20"/>
          <w:color w:val="auto"/>
        </w:rPr>
        <w:t>Operating income increased $55 million to $72 million for the current period. Price/mix and lower operating costs increased operating income by $58 million and $3 million, respectively. Unfavorable volume and unfavorable currency exchange decreased operating income by $3 million each, respectively. Current period EBITDA increased $55 million to $82 million. EBITDA margin increased 19.8 percentage points in the current period to 42.7%.</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112"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0"/>
          <w:szCs w:val="20"/>
          <w:color w:val="auto"/>
        </w:rPr>
        <w:t>The following EBITDA presentation (as defined and described in the section above) for the three and nine months ended June 30, 2022 and 2021 is provided as a means to enhance the understanding of financial measurements that Ashland has internally determined to be relevant measures of comparison for the results of Intermediates. Intermediates had no key items for the three and nine months ended June 30, 2022 or 2021.</w:t>
      </w:r>
    </w:p>
    <w:p>
      <w:pPr>
        <w:spacing w:after="0" w:line="80"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5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Intermediates</w:t>
            </w: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Nine months ended June 30</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6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9"/>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-25400</wp:posOffset>
            </wp:positionV>
            <wp:extent cx="8572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8572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8572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8572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7683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7683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Unallocated and other</w:t>
      </w:r>
    </w:p>
    <w:p>
      <w:pPr>
        <w:spacing w:after="0" w:line="98"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key components of the Unallocated and other segment’s operating income (loss) for the three and nine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6816090</wp:posOffset>
            </wp:positionH>
            <wp:positionV relativeFrom="paragraph">
              <wp:posOffset>34290</wp:posOffset>
            </wp:positionV>
            <wp:extent cx="85090" cy="1797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5090" cy="17970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45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2520" w:type="dxa"/>
            <w:vAlign w:val="bottom"/>
            <w:tcBorders>
              <w:top w:val="single" w:sz="8" w:color="auto"/>
              <w:bottom w:val="single" w:sz="8" w:color="auto"/>
            </w:tcBorders>
            <w:gridSpan w:val="6"/>
          </w:tcPr>
          <w:p>
            <w:pPr>
              <w:jc w:val="right"/>
              <w:ind w:right="561"/>
              <w:spacing w:after="0"/>
              <w:rPr>
                <w:sz w:val="20"/>
                <w:szCs w:val="20"/>
                <w:color w:val="auto"/>
              </w:rPr>
            </w:pPr>
            <w:r>
              <w:rPr>
                <w:rFonts w:ascii="Times New Roman" w:cs="Times New Roman" w:eastAsia="Times New Roman" w:hAnsi="Times New Roman"/>
                <w:sz w:val="18"/>
                <w:szCs w:val="18"/>
                <w:color w:val="auto"/>
              </w:rPr>
              <w:t>Unallocated and Other</w:t>
            </w: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Pr>
          <w:p>
            <w:pPr>
              <w:spacing w:after="0"/>
              <w:rPr>
                <w:sz w:val="18"/>
                <w:szCs w:val="18"/>
                <w:color w:val="auto"/>
              </w:rPr>
            </w:pPr>
          </w:p>
        </w:tc>
        <w:tc>
          <w:tcPr>
            <w:tcW w:w="28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4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June 30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520" w:type="dxa"/>
            <w:vAlign w:val="bottom"/>
            <w:tcBorders>
              <w:bottom w:val="single" w:sz="8" w:color="auto"/>
            </w:tcBorders>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activities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expenses</w:t>
            </w:r>
          </w:p>
        </w:tc>
        <w:tc>
          <w:tcPr>
            <w:tcW w:w="22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(34 )</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 (primarily governance and legacy expenses)</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(28 )</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5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(64 )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-590550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-590550</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-590550</wp:posOffset>
            </wp:positionV>
            <wp:extent cx="6032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-590550</wp:posOffset>
            </wp:positionV>
            <wp:extent cx="596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53" w:name="page54"/>
    <w:bookmarkEnd w:id="53"/>
    <w:p>
      <w:pPr>
        <w:ind w:left="380"/>
        <w:spacing w:after="0"/>
        <w:rPr>
          <w:sz w:val="20"/>
          <w:szCs w:val="20"/>
          <w:color w:val="auto"/>
        </w:rPr>
      </w:pPr>
      <w:r>
        <w:rPr>
          <w:rFonts w:ascii="Times New Roman" w:cs="Times New Roman" w:eastAsia="Times New Roman" w:hAnsi="Times New Roman"/>
          <w:sz w:val="20"/>
          <w:szCs w:val="20"/>
          <w:i w:val="1"/>
          <w:iCs w:val="1"/>
          <w:color w:val="auto"/>
        </w:rPr>
        <w:t>June 2022 quarter compared to June 2021 quarter</w:t>
      </w:r>
    </w:p>
    <w:p>
      <w:pPr>
        <w:spacing w:after="0" w:line="98" w:lineRule="exact"/>
        <w:rPr>
          <w:sz w:val="20"/>
          <w:szCs w:val="20"/>
          <w:color w:val="auto"/>
        </w:rPr>
      </w:pPr>
    </w:p>
    <w:p>
      <w:pPr>
        <w:jc w:val="both"/>
        <w:ind w:left="380" w:right="380"/>
        <w:spacing w:after="0" w:line="246" w:lineRule="auto"/>
        <w:rPr>
          <w:sz w:val="20"/>
          <w:szCs w:val="20"/>
          <w:color w:val="auto"/>
        </w:rPr>
      </w:pPr>
      <w:r>
        <w:rPr>
          <w:rFonts w:ascii="Times New Roman" w:cs="Times New Roman" w:eastAsia="Times New Roman" w:hAnsi="Times New Roman"/>
          <w:sz w:val="20"/>
          <w:szCs w:val="20"/>
          <w:color w:val="auto"/>
        </w:rPr>
        <w:t>Unallocated and other recorded expense of $64 million and $34 million for the three months ended June 30, 2022 and 2021, respectively. The current and prior year quarter included expense of $2 million and $2 million, respectively, for restructuring activities mainly comprised of severance, lease abandonment and other restructuring costs related to company-wide cost reduction programs during the current and prior year quarter, respectively, as well as stranded costs of $1 million and $4 million associated with the Performance Adhesives divestiture.</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current quarter and prior year quarter included $34 million and $18 million for environmental expenses, respectively.</w:t>
      </w:r>
    </w:p>
    <w:p>
      <w:pPr>
        <w:spacing w:after="0" w:line="108" w:lineRule="exact"/>
        <w:rPr>
          <w:sz w:val="20"/>
          <w:szCs w:val="20"/>
          <w:color w:val="auto"/>
        </w:rPr>
      </w:pPr>
    </w:p>
    <w:p>
      <w:pPr>
        <w:jc w:val="both"/>
        <w:ind w:left="380" w:right="380"/>
        <w:spacing w:after="0" w:line="255" w:lineRule="auto"/>
        <w:rPr>
          <w:sz w:val="20"/>
          <w:szCs w:val="20"/>
          <w:color w:val="auto"/>
        </w:rPr>
      </w:pPr>
      <w:r>
        <w:rPr>
          <w:rFonts w:ascii="Times New Roman" w:cs="Times New Roman" w:eastAsia="Times New Roman" w:hAnsi="Times New Roman"/>
          <w:sz w:val="20"/>
          <w:szCs w:val="20"/>
          <w:color w:val="auto"/>
        </w:rPr>
        <w:t>Other expenses increase of $14 million is primarily a result of increased incentive compensation expense in the current quarter as well as decreased transition services income associated with the Composites sale from INEOS in the current period.</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Fiscal 2022 year-to-date compared to fiscal 2021 year-to-date</w:t>
      </w:r>
    </w:p>
    <w:p>
      <w:pPr>
        <w:spacing w:after="0" w:line="112" w:lineRule="exact"/>
        <w:rPr>
          <w:sz w:val="20"/>
          <w:szCs w:val="20"/>
          <w:color w:val="auto"/>
        </w:rPr>
      </w:pPr>
    </w:p>
    <w:p>
      <w:pPr>
        <w:jc w:val="both"/>
        <w:ind w:left="380" w:right="380"/>
        <w:spacing w:after="0" w:line="243" w:lineRule="auto"/>
        <w:rPr>
          <w:sz w:val="20"/>
          <w:szCs w:val="20"/>
          <w:color w:val="auto"/>
        </w:rPr>
      </w:pPr>
      <w:r>
        <w:rPr>
          <w:rFonts w:ascii="Times New Roman" w:cs="Times New Roman" w:eastAsia="Times New Roman" w:hAnsi="Times New Roman"/>
          <w:sz w:val="20"/>
          <w:szCs w:val="20"/>
          <w:color w:val="auto"/>
        </w:rPr>
        <w:t>Unallocated and other recorded expense of $121 million and $92 million for the nine months ended June 30, 2022 and 2021, respectively. The current and prior year period included expense of $11 million and $22 million, respectively, for restructuring activities mainly comprised of severance, lease abandonment and other restructuring costs related to company-wide cost reduction programs during the current and prior year period, respectively, as well as stranded costs of $8 million and $12 million associated with the Performance Adhesives divestiture.</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current period and prior year period included $45 million and $30 million for environmental expenses, respectively.</w:t>
      </w:r>
    </w:p>
    <w:p>
      <w:pPr>
        <w:spacing w:after="0" w:line="108"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Other expenses increase of $25 million is primarily a result of increased incentive compensation expense, a gain of $4 million in the prior year period associated with excess corporate property sales as well as decreased transition services income associated with the Composites sale from INEOS in the current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POSITION</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98" w:lineRule="exact"/>
        <w:rPr>
          <w:sz w:val="20"/>
          <w:szCs w:val="20"/>
          <w:color w:val="auto"/>
        </w:rPr>
      </w:pPr>
    </w:p>
    <w:p>
      <w:pPr>
        <w:jc w:val="both"/>
        <w:ind w:left="380" w:right="380"/>
        <w:spacing w:after="0" w:line="242" w:lineRule="auto"/>
        <w:rPr>
          <w:sz w:val="20"/>
          <w:szCs w:val="20"/>
          <w:color w:val="auto"/>
        </w:rPr>
      </w:pPr>
      <w:r>
        <w:rPr>
          <w:rFonts w:ascii="Times New Roman" w:cs="Times New Roman" w:eastAsia="Times New Roman" w:hAnsi="Times New Roman"/>
          <w:sz w:val="20"/>
          <w:szCs w:val="20"/>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 For information regarding the impact of COVID-19 on the Company, including on its liquidity and capital resources, please see item 1A, in Ashland’s most recent Form 10-K filed with the SEC.</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Cash flows</w:t>
      </w:r>
    </w:p>
    <w:p>
      <w:pPr>
        <w:spacing w:after="0" w:line="112"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Ashland’s cash flows from operating, investing and financing activities, as reflected in the Statements of Condensed Consolidated Cash Flows, are summarized as follows for the nine months ended June 30, 2022 and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6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10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June 30</w:t>
            </w:r>
          </w:p>
        </w:tc>
        <w:tc>
          <w:tcPr>
            <w:tcW w:w="10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69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94"/>
              </w:rPr>
              <w:t>2021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(used) by:</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 from continuing operations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 from continuing operations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 from continuing operations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1,348</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420" w:type="dxa"/>
            <w:vAlign w:val="bottom"/>
          </w:tcPr>
          <w:p>
            <w:pPr>
              <w:spacing w:after="0"/>
              <w:rPr>
                <w:sz w:val="24"/>
                <w:szCs w:val="24"/>
                <w:color w:val="auto"/>
              </w:rPr>
            </w:pPr>
          </w:p>
        </w:tc>
        <w:tc>
          <w:tcPr>
            <w:tcW w:w="698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6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-445135</wp:posOffset>
            </wp:positionV>
            <wp:extent cx="11112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-427990</wp:posOffset>
            </wp:positionV>
            <wp:extent cx="11112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54" w:name="page55"/>
    <w:bookmarkEnd w:id="54"/>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Cash and cash equivalents increased $419 million for the nine months ended June 30, 2022 compared to a $192 million decrease for the nine months ended June 30, 2021.</w:t>
      </w:r>
    </w:p>
    <w:p>
      <w:pPr>
        <w:spacing w:after="0" w:line="51"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20"/>
          <w:szCs w:val="20"/>
          <w:color w:val="auto"/>
        </w:rPr>
        <w:t>The $419 million increase for the nine months ended June 30, 2022 was primarily driven by the proceeds of the sale of the Performance Adhesives business segment of approximately $1.7 billion, net of transaction costs within discontinued operations cash flows, and $14 million of operating cash flows from continuing operations offset by short-term debt repayments of $365 million, long-term debt repayments of $250 million, $247 million of cash tax payment within discontinued operations cash flows related to the sale of Performance Adhesives, and $200 million of stock repurchase activity.</w:t>
      </w:r>
    </w:p>
    <w:p>
      <w:pPr>
        <w:spacing w:after="0" w:line="78"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The $192 million decrease for the nine months ended June 30, 2021 was primarily driven by repayment of short-term debt of $185 million and the purchase of the Schülke business for $308 million offset by $314 million of operating cash flows from continuing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Statements of Condensed Consolidated Cash Flows for additional details.</w:t>
      </w:r>
    </w:p>
    <w:p>
      <w:pPr>
        <w:spacing w:after="0" w:line="108"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20"/>
          <w:szCs w:val="20"/>
          <w:color w:val="auto"/>
        </w:rPr>
        <w:t>Ashland expects cash tax payments of roughly $83 million to occur during the last three months of fiscal 2022 for taxes associated with the Performance Adhesives sale.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Free cash flow and other liquidity resources</w:t>
      </w:r>
    </w:p>
    <w:p>
      <w:pPr>
        <w:spacing w:after="0" w:line="112"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The following represents Ashland’s calculation of free cash flow and ongoing free cash flows for the disclosed periods. Free cash flow does not reflect adjustments for certain non-discretionary cash flows such as mandatory debt repayments.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6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7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flows provided by operating activities from continuing operations</w:t>
            </w:r>
          </w:p>
        </w:tc>
        <w:tc>
          <w:tcPr>
            <w:tcW w:w="76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7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tcPr>
          <w:p>
            <w:pPr>
              <w:spacing w:after="0"/>
              <w:rPr>
                <w:sz w:val="18"/>
                <w:szCs w:val="18"/>
                <w:color w:val="auto"/>
              </w:rPr>
            </w:pP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flows</w:t>
            </w:r>
          </w:p>
        </w:tc>
        <w:tc>
          <w:tcPr>
            <w:tcW w:w="7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Cash (inflows) outflows from U.S. Accounts Receivable Sales Program </w:t>
            </w:r>
            <w:r>
              <w:rPr>
                <w:rFonts w:ascii="Times New Roman" w:cs="Times New Roman" w:eastAsia="Times New Roman" w:hAnsi="Times New Roman"/>
                <w:sz w:val="14"/>
                <w:szCs w:val="14"/>
                <w:color w:val="auto"/>
              </w:rPr>
              <w:t>(a)</w:t>
            </w: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80" w:type="dxa"/>
            <w:vAlign w:val="bottom"/>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Restructuring-related payments </w:t>
            </w:r>
            <w:r>
              <w:rPr>
                <w:rFonts w:ascii="Times New Roman" w:cs="Times New Roman" w:eastAsia="Times New Roman" w:hAnsi="Times New Roman"/>
                <w:sz w:val="14"/>
                <w:szCs w:val="14"/>
                <w:color w:val="auto"/>
              </w:rPr>
              <w:t>(b)</w:t>
            </w:r>
          </w:p>
        </w:tc>
        <w:tc>
          <w:tcPr>
            <w:tcW w:w="76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Environmental and related litigation payments </w:t>
            </w:r>
            <w:r>
              <w:rPr>
                <w:rFonts w:ascii="Times New Roman" w:cs="Times New Roman" w:eastAsia="Times New Roman" w:hAnsi="Times New Roman"/>
                <w:sz w:val="14"/>
                <w:szCs w:val="14"/>
                <w:color w:val="auto"/>
              </w:rPr>
              <w:t>(c)</w:t>
            </w:r>
          </w:p>
        </w:tc>
        <w:tc>
          <w:tcPr>
            <w:tcW w:w="7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Ongoing free cash flow</w:t>
            </w:r>
          </w:p>
        </w:tc>
        <w:tc>
          <w:tcPr>
            <w:tcW w:w="7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9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14"/>
                <w:szCs w:val="14"/>
                <w:color w:val="auto"/>
              </w:rPr>
              <w:t>(d)</w:t>
            </w:r>
          </w:p>
        </w:tc>
        <w:tc>
          <w:tcPr>
            <w:tcW w:w="76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Ongoing free cash flow conversion </w:t>
            </w:r>
            <w:r>
              <w:rPr>
                <w:rFonts w:ascii="Times New Roman" w:cs="Times New Roman" w:eastAsia="Times New Roman" w:hAnsi="Times New Roman"/>
                <w:sz w:val="14"/>
                <w:szCs w:val="14"/>
                <w:color w:val="auto"/>
              </w:rPr>
              <w:t>(e)</w:t>
            </w:r>
          </w:p>
        </w:tc>
        <w:tc>
          <w:tcPr>
            <w:tcW w:w="76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8 %</w:t>
            </w:r>
          </w:p>
        </w:tc>
        <w:tc>
          <w:tcPr>
            <w:tcW w:w="5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5635625</wp:posOffset>
            </wp:positionH>
            <wp:positionV relativeFrom="paragraph">
              <wp:posOffset>-1288415</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5635625</wp:posOffset>
            </wp:positionH>
            <wp:positionV relativeFrom="paragraph">
              <wp:posOffset>-730885</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74295</wp:posOffset>
            </wp:positionV>
            <wp:extent cx="662622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95" w:lineRule="exact"/>
        <w:rPr>
          <w:sz w:val="20"/>
          <w:szCs w:val="20"/>
          <w:color w:val="auto"/>
        </w:rPr>
      </w:pPr>
    </w:p>
    <w:p>
      <w:pPr>
        <w:ind w:left="360" w:hanging="358"/>
        <w:spacing w:after="0"/>
        <w:tabs>
          <w:tab w:leader="none" w:pos="3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activity associated with the U.S. Accounts Receivable Sales Program impacting each period presented.</w:t>
      </w:r>
    </w:p>
    <w:p>
      <w:pPr>
        <w:spacing w:after="0" w:line="41"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payments incurred during each period.</w:t>
      </w:r>
    </w:p>
    <w:p>
      <w:pPr>
        <w:spacing w:after="0" w:line="41"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outflows associated with environmental and related litigation payments which will be reimbursed by the environmental trust.</w:t>
      </w:r>
    </w:p>
    <w:p>
      <w:pPr>
        <w:spacing w:after="0" w:line="41"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adjusted EBITDA reconciliation.</w:t>
      </w:r>
    </w:p>
    <w:p>
      <w:pPr>
        <w:spacing w:after="0" w:line="41"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Ongoing free cash flow divided by Adjusted EBITDA.</w:t>
      </w:r>
    </w:p>
    <w:p>
      <w:pPr>
        <w:spacing w:after="0" w:line="1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700" w:top="319" w:right="659" w:bottom="1440" w:gutter="0" w:footer="0" w:header="0"/>
        </w:sectPr>
      </w:pPr>
    </w:p>
    <w:bookmarkStart w:id="55" w:name="page56"/>
    <w:bookmarkEnd w:id="55"/>
    <w:p>
      <w:pPr>
        <w:jc w:val="both"/>
        <w:spacing w:after="0" w:line="242" w:lineRule="auto"/>
        <w:rPr>
          <w:sz w:val="20"/>
          <w:szCs w:val="20"/>
          <w:color w:val="auto"/>
        </w:rPr>
      </w:pPr>
      <w:r>
        <w:rPr>
          <w:rFonts w:ascii="Times New Roman" w:cs="Times New Roman" w:eastAsia="Times New Roman" w:hAnsi="Times New Roman"/>
          <w:sz w:val="20"/>
          <w:szCs w:val="20"/>
          <w:color w:val="auto"/>
        </w:rPr>
        <w:t>Working capital (current assets minus current liabilities, excluding long-term debt due within one year) amounted to $1,267 million and $792 million as of June 30, 2022 and September 30, 2021, respectively. The increase in working capital was the primary reason of the $194 million decline in ongoing free cash flows between periods primarily as a result of increased inventories to navigate supply-chain issues as well as cost inflation and increased accounts receivable as a result of higher sales volumes. Higher cash tax payments of $32 million also negatively impacted ongoing free cash flows between periods. Liquid assets (cash, cash equivalents and accounts receivable) amounted to 203% and 65% of current liabilities (excluding current liabilities held for sale) as of June 30, 2022 and September 30, 2021, respectively.</w:t>
      </w:r>
    </w:p>
    <w:p>
      <w:pPr>
        <w:spacing w:after="0" w:line="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summary reflects Ashland’s cash, unused borrowing capacity and liquidity as of June 30, 2022 and September 30, 2021.</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76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jc w:val="center"/>
              <w:ind w:left="1630"/>
              <w:spacing w:after="0"/>
              <w:rPr>
                <w:sz w:val="20"/>
                <w:szCs w:val="20"/>
                <w:color w:val="auto"/>
              </w:rPr>
            </w:pPr>
            <w:r>
              <w:rPr>
                <w:rFonts w:ascii="Times New Roman" w:cs="Times New Roman" w:eastAsia="Times New Roman" w:hAnsi="Times New Roman"/>
                <w:sz w:val="18"/>
                <w:szCs w:val="18"/>
                <w:color w:val="auto"/>
              </w:rPr>
              <w:t>June 30</w:t>
            </w:r>
          </w:p>
        </w:tc>
        <w:tc>
          <w:tcPr>
            <w:tcW w:w="6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investment securities</w:t>
            </w:r>
          </w:p>
        </w:tc>
        <w:tc>
          <w:tcPr>
            <w:tcW w:w="26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8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629</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Restricted investments </w:t>
            </w:r>
            <w:r>
              <w:rPr>
                <w:rFonts w:ascii="Times New Roman" w:cs="Times New Roman" w:eastAsia="Times New Roman" w:hAnsi="Times New Roman"/>
                <w:sz w:val="14"/>
                <w:szCs w:val="14"/>
                <w:color w:val="auto"/>
              </w:rPr>
              <w:t>(a)</w:t>
            </w:r>
          </w:p>
        </w:tc>
        <w:tc>
          <w:tcPr>
            <w:tcW w:w="26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407</w:t>
            </w:r>
          </w:p>
        </w:tc>
        <w:tc>
          <w:tcPr>
            <w:tcW w:w="4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4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Unused borrowing capacity and liquidity</w:t>
            </w:r>
          </w:p>
        </w:tc>
        <w:tc>
          <w:tcPr>
            <w:tcW w:w="26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68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581</w:t>
            </w:r>
          </w:p>
        </w:tc>
        <w:tc>
          <w:tcPr>
            <w:tcW w:w="480" w:type="dxa"/>
            <w:vAlign w:val="bottom"/>
          </w:tcPr>
          <w:p>
            <w:pPr>
              <w:spacing w:after="0"/>
              <w:rPr>
                <w:sz w:val="18"/>
                <w:szCs w:val="18"/>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 accounts receivable securitization (foreign)</w:t>
            </w:r>
          </w:p>
        </w:tc>
        <w:tc>
          <w:tcPr>
            <w:tcW w:w="26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4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sales program (U.S.)</w:t>
            </w:r>
          </w:p>
        </w:tc>
        <w:tc>
          <w:tcPr>
            <w:tcW w:w="268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tcPr>
          <w:p>
            <w:pPr>
              <w:spacing w:after="0"/>
              <w:rPr>
                <w:sz w:val="20"/>
                <w:szCs w:val="20"/>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74295</wp:posOffset>
            </wp:positionV>
            <wp:extent cx="662622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95" w:lineRule="exact"/>
        <w:rPr>
          <w:sz w:val="20"/>
          <w:szCs w:val="20"/>
          <w:color w:val="auto"/>
        </w:rPr>
      </w:pPr>
    </w:p>
    <w:p>
      <w:pPr>
        <w:ind w:left="360" w:hanging="358"/>
        <w:spacing w:after="0" w:line="282" w:lineRule="auto"/>
        <w:tabs>
          <w:tab w:leader="none" w:pos="3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$269 million and $333 million related to the Asbestos trust and $138 million and $88 million related to the Environmental trust as of June 30, 2022 and September 30, 2021, respectively.</w:t>
      </w:r>
    </w:p>
    <w:p>
      <w:pPr>
        <w:spacing w:after="0" w:line="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borrowing capacity remaining under the $600 million revolving credit facility was $581 million due to an outstanding balance of zero, as well as a reduction of $19 million for letters of credit outstanding at June 30, 2022. In total, Ashland’s available liquidity position, which includes cash, the revolving credit facility and foreign accounts receivable securitization facility, was $1,315 million at June 30, 2022, compared to $566 million at September 30, 2021. Ashland had $58 million of available liquidity under the U.S. Accounts Receivable Sales Program as of June 30, 2022. Ashland also maintained $407 million of restricted investments to pay for future asbestos claims and environmental remediation and related litigation.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resources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summary reflects Ashland’s debt as of June 30, 2022 and September 30, 2021.</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4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(includes current portion of long-term debt)</w:t>
            </w:r>
          </w:p>
        </w:tc>
        <w:tc>
          <w:tcPr>
            <w:tcW w:w="126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Long-term debt (less current portion and debt issuance cost discounts) </w:t>
            </w:r>
            <w:r>
              <w:rPr>
                <w:rFonts w:ascii="Times New Roman" w:cs="Times New Roman" w:eastAsia="Times New Roman" w:hAnsi="Times New Roman"/>
                <w:sz w:val="14"/>
                <w:szCs w:val="14"/>
                <w:color w:val="auto"/>
              </w:rPr>
              <w:t>(a)</w:t>
            </w:r>
          </w:p>
        </w:tc>
        <w:tc>
          <w:tcPr>
            <w:tcW w:w="1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1,596</w:t>
            </w:r>
          </w:p>
        </w:tc>
      </w:tr>
      <w:tr>
        <w:trPr>
          <w:trHeight w:val="250"/>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1260" w:type="dxa"/>
            <w:vAlign w:val="bottom"/>
            <w:tcBorders>
              <w:bottom w:val="single" w:sz="8" w:color="auto"/>
            </w:tcBorders>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1,970</w:t>
            </w:r>
          </w:p>
        </w:tc>
      </w:tr>
      <w:tr>
        <w:trPr>
          <w:trHeight w:val="115"/>
        </w:trPr>
        <w:tc>
          <w:tcPr>
            <w:tcW w:w="64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5344160</wp:posOffset>
            </wp:positionH>
            <wp:positionV relativeFrom="paragraph">
              <wp:posOffset>-119380</wp:posOffset>
            </wp:positionV>
            <wp:extent cx="7747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-102235</wp:posOffset>
            </wp:positionV>
            <wp:extent cx="7747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360" w:hanging="358"/>
        <w:spacing w:after="0"/>
        <w:tabs>
          <w:tab w:leader="none" w:pos="3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 million and $17 million of debt issuance cost discounts as of June 30, 2022 and September 30, 2021</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respectively.</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Debt as a percent of capital employed was 29% and 42% at June 30, 2022 and at September 30, 2021, respectively. At June 30, 2022, Ashland’s total debt had an outstanding principal balance of $1,354 million, discounts of $37 million, and debt issuance costs of $15 million. There are no maturities of long-term debt due within the next five years.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credit ratings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Ashland’s corporate credit ratings remained unchanged at BB+ by Standard &amp; Poor’s and Ba1 by Moody’s Investor Services. As of June 30, 2022, both Moody’s Investor Services and Standard &amp; Poor's outlook remained at stable. Subsequent changes to these ratings or outlook may have an effect on Ashland’s borrowing rate or ability to access capital markets in the future.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7" w:right="7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i w:val="1"/>
          <w:iCs w:val="1"/>
          <w:color w:val="auto"/>
        </w:rPr>
        <w:t>Ashland debt covenant restrictions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Ashland's current credit agreement (the 2020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June 30, 2022, Ashland is in compliance with all debt agreement covenant restrictions under the 2020 Credit Agreement.</w:t>
      </w:r>
    </w:p>
    <w:p>
      <w:pPr>
        <w:spacing w:after="0" w:line="6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The maximum consolidated net leverage ratio permitted under the 2020 Credit Agreement is 4.0. The 2020 Credit Agreement defines the consolidated net leverage ratio as the ratio of consolidated indebtedness minus unrestricted cash and cash equivalents to consolidated EBITDA (Covenant Adjusted EBITDA) for any measurement period. In general, the 2020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above in the “consolidated review” section. In general, consolidated indebtedness includes debt plus all purchase money indebtedness, banker’s acceptances and bank guaranties, deferred purchase price of property or services, attributable indebtedness and guarantees. At June 30, 2022, Ashland’s calculation of the consolidated net leverage ratio was 1.2.</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minimum required consolidated interest coverage ratio under the 2020 Credit Agreement is 3.0. The 2020 Credit Agreement defines the consolidated interest coverage ratio as the ratio of Covenant Adjusted EBITDA to consolidated interest charges for any measurement period. At June 30, 2022, Ashland’s calculation of the consolidated interest coverage ratio was 9.7.</w:t>
      </w:r>
    </w:p>
    <w:p>
      <w:pPr>
        <w:spacing w:after="0" w:line="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Any change in Covenant Adjusted EBITDA of $100 million would have an approximate 0.2x effect on the consolidated net leverage ratio and a 1.7x effect on the consolidated interest coverage ratio. The change in consolidated indebtedness of $100 million would affect the consolidated leverage ratio by approximately 0.2x.</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capital resources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Total equity</w:t>
      </w:r>
    </w:p>
    <w:p>
      <w:pPr>
        <w:spacing w:after="0" w:line="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Total equity increased by $514 million since September 30, 2021 to $3,266 million at June 30, 2022. The increase of $514 million was due to net income of $870 million and compensation expense and common shares issued of $5 million offset by $2 million of deferred losses on commodity hedges, stock repurchase activity of $200 million, dividends of $52 million, and deferred translation loss of $107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2022 Stock repurchase program</w:t>
      </w:r>
    </w:p>
    <w:p>
      <w:pPr>
        <w:spacing w:after="0" w:line="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May 25, 2022, Ashland's board of directors authorized a new, evergreen $500 million common share repurchase program (2022 stock repurchase program). The new authorization terminates and replaces the company's 2018 $1 billion share repurchase program, which had $150 million outstanding at the date of termination.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2018 Stock repurchase program</w:t>
      </w:r>
    </w:p>
    <w:p>
      <w:pPr>
        <w:spacing w:after="0" w:line="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September 2021, under the 2018 stock repurchase program, Ashland entered into an accelerated share repurchase agreement (2021 ASR Agreement). Under the 2021 ASR Agreement, Ashland paid an initial purchase price of $450 million and received an initial delivery of 3.9 million shares of common stock during September 2021. The bank exercised its early termination option under the 2021 ASR Agreement in February 2022, and an additional 0.7 million shares were repurchased, bringing the total shares repurchased upon settlement to 4.6 million.</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March 1, 2022, under the 2018 stock repurchase program, Ashland entered into an agreement to repurchase an aggregate amount of $200 million of Ashland common stock using open-market purchases under rule 10b-18. On April 8, 2022, Ashland completed repurchases under this agreement repurchasing a total of 2.15 million shares for a total amount of $200 million.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3" w:right="719" w:bottom="1440" w:gutter="0" w:footer="0" w:header="0"/>
        </w:sectPr>
      </w:pPr>
    </w:p>
    <w:bookmarkStart w:id="57" w:name="page58"/>
    <w:bookmarkEnd w:id="57"/>
    <w:p>
      <w:pPr>
        <w:ind w:left="380"/>
        <w:spacing w:after="0"/>
        <w:rPr>
          <w:sz w:val="20"/>
          <w:szCs w:val="20"/>
          <w:color w:val="auto"/>
        </w:rPr>
      </w:pPr>
      <w:r>
        <w:rPr>
          <w:rFonts w:ascii="Times New Roman" w:cs="Times New Roman" w:eastAsia="Times New Roman" w:hAnsi="Times New Roman"/>
          <w:sz w:val="20"/>
          <w:szCs w:val="20"/>
          <w:i w:val="1"/>
          <w:iCs w:val="1"/>
          <w:color w:val="auto"/>
        </w:rPr>
        <w:t>Stockholder dividends</w:t>
      </w:r>
    </w:p>
    <w:p>
      <w:pPr>
        <w:spacing w:after="0" w:line="98"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On May 25, 2022, Ashland's Board declared a quarterly cash dividend of $0.335 cents per share on the company's common stock representing a 12 percent increase from the previous quarter. The dividend was paid in the third quarter of fiscal 2022. Dividends of 30 cents per share were paid in the third quarter of fiscal 2021 and the first and second quarter of fiscal 2022 and 27.5 cents per share were paid in the first and second quarter of fiscal 2021.</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Capital expenditures</w:t>
      </w:r>
    </w:p>
    <w:p>
      <w:pPr>
        <w:spacing w:after="0" w:line="98"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20"/>
          <w:szCs w:val="20"/>
          <w:color w:val="auto"/>
        </w:rPr>
        <w:t>Capital expenditures were $67 million for the nine months ended June 30, 2022 compared to $74 million for the nine months ended June 30,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w:t>
      </w:r>
    </w:p>
    <w:p>
      <w:pPr>
        <w:spacing w:after="0" w:line="98" w:lineRule="exact"/>
        <w:rPr>
          <w:sz w:val="20"/>
          <w:szCs w:val="20"/>
          <w:color w:val="auto"/>
        </w:rPr>
      </w:pPr>
    </w:p>
    <w:p>
      <w:pPr>
        <w:jc w:val="both"/>
        <w:ind w:left="380"/>
        <w:spacing w:after="0" w:line="232" w:lineRule="auto"/>
        <w:rPr>
          <w:sz w:val="20"/>
          <w:szCs w:val="20"/>
          <w:color w:val="auto"/>
        </w:rPr>
      </w:pPr>
      <w:r>
        <w:rPr>
          <w:rFonts w:ascii="Times New Roman" w:cs="Times New Roman" w:eastAsia="Times New Roman" w:hAnsi="Times New Roman"/>
          <w:sz w:val="20"/>
          <w:szCs w:val="20"/>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2021.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nine months ended June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98" w:lineRule="exact"/>
        <w:rPr>
          <w:sz w:val="20"/>
          <w:szCs w:val="20"/>
          <w:color w:val="auto"/>
        </w:rPr>
      </w:pPr>
    </w:p>
    <w:p>
      <w:pPr>
        <w:jc w:val="both"/>
        <w:ind w:left="380"/>
        <w:spacing w:after="0"/>
        <w:rPr>
          <w:sz w:val="20"/>
          <w:szCs w:val="20"/>
          <w:color w:val="auto"/>
        </w:rPr>
      </w:pPr>
      <w:r>
        <w:rPr>
          <w:rFonts w:ascii="Times New Roman" w:cs="Times New Roman" w:eastAsia="Times New Roman" w:hAnsi="Times New Roman"/>
          <w:sz w:val="20"/>
          <w:szCs w:val="20"/>
          <w:color w:val="auto"/>
        </w:rPr>
        <w:t>Ashland issued its outlook for fiscal 2022 in November 2021. Ashland now expects Sales and Adjusted EBITDA for fiscal year 2022 to be above the previously communicated ranges. This increased outlook assumes a headwind from negative foreign currency in the fiscal fourth quarter of approximately $30 million impacting Sales and $10 million impacting Adjusted EBITDA.</w:t>
      </w:r>
    </w:p>
    <w:p>
      <w:pPr>
        <w:spacing w:after="0" w:line="69"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32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PREVIOUS</w:t>
            </w:r>
          </w:p>
        </w:tc>
        <w:tc>
          <w:tcPr>
            <w:tcW w:w="320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NEW</w:t>
            </w:r>
          </w:p>
        </w:tc>
      </w:tr>
      <w:tr>
        <w:trPr>
          <w:trHeight w:val="238"/>
        </w:trPr>
        <w:tc>
          <w:tcPr>
            <w:tcW w:w="33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FY 2022 Outlook</w:t>
            </w:r>
          </w:p>
        </w:tc>
        <w:tc>
          <w:tcPr>
            <w:tcW w:w="32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FY 2022 Outlook</w:t>
            </w:r>
          </w:p>
        </w:tc>
      </w:tr>
      <w:tr>
        <w:trPr>
          <w:trHeight w:val="21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tc>
        <w:tc>
          <w:tcPr>
            <w:tcW w:w="390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39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$2.25 - $2.35 billion</w:t>
            </w:r>
          </w:p>
        </w:tc>
        <w:tc>
          <w:tcPr>
            <w:tcW w:w="3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$2.35 - $2.40 billion</w:t>
            </w: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900" w:type="dxa"/>
            <w:vAlign w:val="bottom"/>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rPr>
              <w:t>$550 - $570 million</w:t>
            </w:r>
          </w:p>
        </w:tc>
        <w:tc>
          <w:tcPr>
            <w:tcW w:w="320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$580 - $590 million</w:t>
            </w:r>
          </w:p>
        </w:tc>
      </w:tr>
      <w:tr>
        <w:trPr>
          <w:trHeight w:val="135"/>
        </w:trPr>
        <w:tc>
          <w:tcPr>
            <w:tcW w:w="3320" w:type="dxa"/>
            <w:vAlign w:val="bottom"/>
            <w:tcBorders>
              <w:bottom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c>
          <w:tcPr>
            <w:tcW w:w="3200" w:type="dxa"/>
            <w:vAlign w:val="bottom"/>
            <w:tcBorders>
              <w:bottom w:val="single" w:sz="8" w:color="auto"/>
            </w:tcBorders>
          </w:tcPr>
          <w:p>
            <w:pPr>
              <w:spacing w:after="0"/>
              <w:rPr>
                <w:sz w:val="11"/>
                <w:szCs w:val="11"/>
                <w:color w:val="auto"/>
              </w:rPr>
            </w:pPr>
          </w:p>
        </w:tc>
      </w:tr>
    </w:tbl>
    <w:p>
      <w:pPr>
        <w:spacing w:after="0" w:line="85"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 is unable to reconcile forward-looking adjusted EBITDA to forward-looking net income, the most closely comparable GAAP financial measure, because the information needed to provide such reconciliation would require unreasonable efforts.</w:t>
      </w:r>
    </w:p>
    <w:p>
      <w:pPr>
        <w:spacing w:after="0" w:line="5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23" w:right="7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Ashland’s market risk exposure at June 30, 2022 is generally consistent with the types of market risk exposures presented in Ashland’s Annual Report on Form 10-K for the fiscal year ended September 30,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108"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Disclosure Controls and Procedures </w:t>
      </w:r>
      <w:r>
        <w:rPr>
          <w:rFonts w:ascii="Times New Roman" w:cs="Times New Roman" w:eastAsia="Times New Roman" w:hAnsi="Times New Roman"/>
          <w:sz w:val="20"/>
          <w:szCs w:val="20"/>
          <w:color w:val="auto"/>
        </w:rPr>
        <w:t>- As of the end of the period covered by this quarterly report, Ashland, under the supervision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June 30, 2022.</w:t>
      </w:r>
    </w:p>
    <w:p>
      <w:pPr>
        <w:spacing w:after="0" w:line="73"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Changes in Internal Control over Financial Reporting </w:t>
      </w:r>
      <w:r>
        <w:rPr>
          <w:rFonts w:ascii="Times New Roman" w:cs="Times New Roman" w:eastAsia="Times New Roman" w:hAnsi="Times New Roman"/>
          <w:sz w:val="20"/>
          <w:szCs w:val="20"/>
          <w:color w:val="auto"/>
        </w:rPr>
        <w:t>- During the three months ended June 30, 2022, there were no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15" w:right="719" w:bottom="1440" w:gutter="0" w:footer="0" w:header="0"/>
        </w:sectPr>
      </w:pPr>
    </w:p>
    <w:bookmarkStart w:id="59" w:name="page60"/>
    <w:bookmarkEnd w:id="59"/>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98"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20"/>
          <w:szCs w:val="20"/>
          <w:color w:val="auto"/>
        </w:rPr>
        <w:t>The following is a description of Ashland’s material legal proceedings. Ashland’s threshold for disclosing material environmental legal proceedings involving a governmental authority where potential monetary sanctions are involved is $1 million.</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Asbestos-Related Litigation</w:t>
      </w:r>
    </w:p>
    <w:p>
      <w:pPr>
        <w:spacing w:after="0" w:line="98" w:lineRule="exact"/>
        <w:rPr>
          <w:sz w:val="20"/>
          <w:szCs w:val="20"/>
          <w:color w:val="auto"/>
        </w:rPr>
      </w:pPr>
    </w:p>
    <w:p>
      <w:pPr>
        <w:jc w:val="both"/>
        <w:ind w:left="380"/>
        <w:spacing w:after="0" w:line="236" w:lineRule="auto"/>
        <w:rPr>
          <w:sz w:val="20"/>
          <w:szCs w:val="20"/>
          <w:color w:val="auto"/>
        </w:rPr>
      </w:pPr>
      <w:r>
        <w:rPr>
          <w:rFonts w:ascii="Times New Roman" w:cs="Times New Roman" w:eastAsia="Times New Roman" w:hAnsi="Times New Roman"/>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67" w:lineRule="exact"/>
        <w:rPr>
          <w:sz w:val="20"/>
          <w:szCs w:val="20"/>
          <w:color w:val="auto"/>
        </w:rPr>
      </w:pPr>
    </w:p>
    <w:p>
      <w:pPr>
        <w:jc w:val="both"/>
        <w:ind w:left="380"/>
        <w:spacing w:after="0"/>
        <w:rPr>
          <w:sz w:val="20"/>
          <w:szCs w:val="20"/>
          <w:color w:val="auto"/>
        </w:rPr>
      </w:pPr>
      <w:r>
        <w:rPr>
          <w:rFonts w:ascii="Times New Roman" w:cs="Times New Roman" w:eastAsia="Times New Roman" w:hAnsi="Times New Roman"/>
          <w:sz w:val="20"/>
          <w:szCs w:val="20"/>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66"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20"/>
          <w:szCs w:val="20"/>
          <w:color w:val="auto"/>
        </w:rPr>
        <w:t>Ashland and Hercules are also defendants in lawsuits alleging exposure to asbestos at facilities formerly or presently owned or operated by Ashland or Hercules.</w:t>
      </w:r>
    </w:p>
    <w:p>
      <w:pPr>
        <w:spacing w:after="0" w:line="51"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20"/>
          <w:szCs w:val="20"/>
          <w:color w:val="auto"/>
        </w:rPr>
        <w:t>For additional detailed information regarding liabilities arising from asbestos-related litigation, see Note L of Notes to Condensed Consolidated Financial Statements in this quarterly report on Form 10-Q.</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Environmental Proceedings</w:t>
      </w:r>
    </w:p>
    <w:p>
      <w:pPr>
        <w:spacing w:after="0" w:line="94" w:lineRule="exact"/>
        <w:rPr>
          <w:sz w:val="20"/>
          <w:szCs w:val="20"/>
          <w:color w:val="auto"/>
        </w:rPr>
      </w:pPr>
    </w:p>
    <w:p>
      <w:pPr>
        <w:jc w:val="both"/>
        <w:ind w:left="380" w:firstLine="2"/>
        <w:spacing w:after="0" w:line="230" w:lineRule="auto"/>
        <w:tabs>
          <w:tab w:leader="none" w:pos="664" w:val="left"/>
        </w:tabs>
        <w:numPr>
          <w:ilvl w:val="0"/>
          <w:numId w:val="4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CERCLA and Similar State Law Sites - </w:t>
      </w:r>
      <w:r>
        <w:rPr>
          <w:rFonts w:ascii="Times New Roman" w:cs="Times New Roman" w:eastAsia="Times New Roman" w:hAnsi="Times New Roman"/>
          <w:sz w:val="20"/>
          <w:szCs w:val="20"/>
          <w:color w:val="auto"/>
        </w:rPr>
        <w:t>Under the Comprehensive Environmental Response, Compensation and Liability Act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1980 and similar state laws, Ashland and its subsidiaries may be subject to joint and several liability for cleanup costs in connection with alleged releases of hazardous substances at sites where it has been identified as a “potentially responsible party” (PRP). As of June 30, 2022, Ashland and its subsidiaries have been identified as a PRP by U.S. federal and state authorities, or by private parties seeking contribution, for the cost of environmental investigation and/or cleanup at 76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64" w:lineRule="exact"/>
        <w:rPr>
          <w:rFonts w:ascii="Times New Roman" w:cs="Times New Roman" w:eastAsia="Times New Roman" w:hAnsi="Times New Roman"/>
          <w:sz w:val="20"/>
          <w:szCs w:val="20"/>
          <w:i w:val="1"/>
          <w:iCs w:val="1"/>
          <w:color w:val="auto"/>
        </w:rPr>
      </w:pPr>
    </w:p>
    <w:p>
      <w:pPr>
        <w:jc w:val="both"/>
        <w:ind w:left="380" w:firstLine="2"/>
        <w:spacing w:after="0" w:line="229" w:lineRule="auto"/>
        <w:tabs>
          <w:tab w:leader="none" w:pos="685" w:val="left"/>
        </w:tabs>
        <w:numPr>
          <w:ilvl w:val="0"/>
          <w:numId w:val="4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Lower Passaic River, New Jersey Matters - </w:t>
      </w:r>
      <w:r>
        <w:rPr>
          <w:rFonts w:ascii="Times New Roman" w:cs="Times New Roman" w:eastAsia="Times New Roman" w:hAnsi="Times New Roman"/>
          <w:sz w:val="20"/>
          <w:szCs w:val="20"/>
          <w:color w:val="auto"/>
        </w:rPr>
        <w:t>Ashland, through two formerly owned facilities, and ISP, through a now-closed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facility, have been 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 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recently reached an agreement with another chemical company to conduct and pay for the remedial design. This chemical company has sued Ashland, ISP and numerous other defendants to recover past and future costs pursuant to the CERCLA. Ashland, ISP and numerous other defendants have filed a Motion to Dismiss all of the claims. Ashland and ISP are participating in an USEPA allocation process. The release of the FFS Record of Decision, the current allocations proceedings and the lawsuit are not expected to be material to Ashland.</w:t>
      </w:r>
    </w:p>
    <w:p>
      <w:pPr>
        <w:spacing w:after="0" w:line="67" w:lineRule="exact"/>
        <w:rPr>
          <w:sz w:val="20"/>
          <w:szCs w:val="20"/>
          <w:color w:val="auto"/>
        </w:rPr>
      </w:pPr>
    </w:p>
    <w:p>
      <w:pPr>
        <w:ind w:left="380"/>
        <w:spacing w:after="0" w:line="255" w:lineRule="auto"/>
        <w:rPr>
          <w:sz w:val="20"/>
          <w:szCs w:val="20"/>
          <w:color w:val="auto"/>
        </w:rPr>
      </w:pPr>
      <w:r>
        <w:rPr>
          <w:rFonts w:ascii="Times New Roman" w:cs="Times New Roman" w:eastAsia="Times New Roman" w:hAnsi="Times New Roman"/>
          <w:sz w:val="20"/>
          <w:szCs w:val="20"/>
          <w:color w:val="auto"/>
        </w:rPr>
        <w:t>For additional information regarding environmental matters and reserves, see Note L of Notes to Condensed Consolidated Financial Statements in this quarterly report on Form 10-Q.</w:t>
      </w:r>
    </w:p>
    <w:p>
      <w:pPr>
        <w:spacing w:after="0" w:line="5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15" w:right="719" w:bottom="1440" w:gutter="0" w:footer="0" w:header="0"/>
        </w:sectPr>
      </w:pPr>
    </w:p>
    <w:bookmarkStart w:id="60" w:name="page61"/>
    <w:bookmarkEnd w:id="60"/>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Other Pending Legal Proceedings</w:t>
      </w:r>
    </w:p>
    <w:p>
      <w:pPr>
        <w:spacing w:after="0" w:line="112" w:lineRule="exact"/>
        <w:rPr>
          <w:sz w:val="20"/>
          <w:szCs w:val="20"/>
          <w:color w:val="auto"/>
        </w:rPr>
      </w:pPr>
    </w:p>
    <w:p>
      <w:pPr>
        <w:jc w:val="both"/>
        <w:ind w:left="380" w:right="40"/>
        <w:spacing w:after="0" w:line="242" w:lineRule="auto"/>
        <w:rPr>
          <w:sz w:val="20"/>
          <w:szCs w:val="20"/>
          <w:color w:val="auto"/>
        </w:rPr>
      </w:pPr>
      <w:r>
        <w:rPr>
          <w:rFonts w:ascii="Times New Roman" w:cs="Times New Roman" w:eastAsia="Times New Roman" w:hAnsi="Times New Roman"/>
          <w:sz w:val="20"/>
          <w:szCs w:val="20"/>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June 30, 2022. There is a reasonable possibility that a loss exceeding amounts already recognized may be incurred related to these actions; however, Ashland believes that such potential losses were immaterial as of June 30,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12" w:lineRule="exact"/>
        <w:rPr>
          <w:sz w:val="20"/>
          <w:szCs w:val="20"/>
          <w:color w:val="auto"/>
        </w:rPr>
      </w:pPr>
    </w:p>
    <w:p>
      <w:pPr>
        <w:jc w:val="both"/>
        <w:ind w:left="380" w:right="40"/>
        <w:spacing w:after="0" w:line="269" w:lineRule="auto"/>
        <w:rPr>
          <w:sz w:val="20"/>
          <w:szCs w:val="20"/>
          <w:color w:val="auto"/>
        </w:rPr>
      </w:pPr>
      <w:r>
        <w:rPr>
          <w:rFonts w:ascii="Times New Roman" w:cs="Times New Roman" w:eastAsia="Times New Roman" w:hAnsi="Times New Roman"/>
          <w:sz w:val="20"/>
          <w:szCs w:val="20"/>
          <w:color w:val="auto"/>
        </w:rPr>
        <w:t>During the period covered by this report, there were no material changes from the risk factors previously disclosed in Ashland’s Annual Report on Form 10-K for the fiscal year ended September 30,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Share repurchase activity during the three months ended June 30, 2022 was as follow:</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36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Issuer Purchases of Equity Securities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Dollar Value of</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Total 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9"/>
              </w:rPr>
              <w:t>Shares that May</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Average Price</w:t>
            </w:r>
          </w:p>
        </w:tc>
        <w:tc>
          <w:tcPr>
            <w:tcW w:w="160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Shares Purchased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rPr>
              <w:t>Be Purchased</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Paid Per Share,</w:t>
            </w:r>
          </w:p>
        </w:tc>
        <w:tc>
          <w:tcPr>
            <w:tcW w:w="1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as Part of Publicly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rPr>
              <w:t>Under the Plans</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56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Total Number of</w:t>
            </w:r>
          </w:p>
        </w:tc>
        <w:tc>
          <w:tcPr>
            <w:tcW w:w="300" w:type="dxa"/>
            <w:vAlign w:val="bottom"/>
          </w:tcPr>
          <w:p>
            <w:pPr>
              <w:spacing w:after="0"/>
              <w:rPr>
                <w:sz w:val="16"/>
                <w:szCs w:val="16"/>
                <w:color w:val="auto"/>
              </w:rPr>
            </w:pPr>
          </w:p>
        </w:tc>
        <w:tc>
          <w:tcPr>
            <w:tcW w:w="150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6"/>
              </w:rPr>
              <w:t>including</w:t>
            </w:r>
          </w:p>
        </w:tc>
        <w:tc>
          <w:tcPr>
            <w:tcW w:w="160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Announced Plans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9"/>
              </w:rPr>
              <w:t>or Programs</w:t>
            </w:r>
          </w:p>
        </w:tc>
        <w:tc>
          <w:tcPr>
            <w:tcW w:w="0" w:type="dxa"/>
            <w:vAlign w:val="bottom"/>
          </w:tcPr>
          <w:p>
            <w:pPr>
              <w:spacing w:after="0"/>
              <w:rPr>
                <w:sz w:val="1"/>
                <w:szCs w:val="1"/>
                <w:color w:val="auto"/>
              </w:rPr>
            </w:pPr>
          </w:p>
        </w:tc>
      </w:tr>
      <w:tr>
        <w:trPr>
          <w:trHeight w:val="234"/>
        </w:trPr>
        <w:tc>
          <w:tcPr>
            <w:tcW w:w="38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Q3 Fiscal Periods</w:t>
            </w:r>
          </w:p>
        </w:tc>
        <w:tc>
          <w:tcPr>
            <w:tcW w:w="1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Shares Purchased</w:t>
            </w: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8"/>
              </w:rPr>
              <w:t>commission</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 Programs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 xml:space="preserve">(in millions) </w:t>
            </w:r>
            <w:r>
              <w:rPr>
                <w:rFonts w:ascii="Times New Roman" w:cs="Times New Roman" w:eastAsia="Times New Roman" w:hAnsi="Times New Roman"/>
                <w:sz w:val="14"/>
                <w:szCs w:val="14"/>
                <w:color w:val="auto"/>
                <w:w w:val="99"/>
              </w:rPr>
              <w:t>(a) (c)</w:t>
            </w:r>
          </w:p>
        </w:tc>
        <w:tc>
          <w:tcPr>
            <w:tcW w:w="0" w:type="dxa"/>
            <w:vAlign w:val="bottom"/>
          </w:tcPr>
          <w:p>
            <w:pPr>
              <w:spacing w:after="0"/>
              <w:rPr>
                <w:sz w:val="1"/>
                <w:szCs w:val="1"/>
                <w:color w:val="auto"/>
              </w:rPr>
            </w:pPr>
          </w:p>
        </w:tc>
      </w:tr>
      <w:tr>
        <w:trPr>
          <w:trHeight w:val="209"/>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April 1, 2022 to April 30, 2022 </w:t>
            </w:r>
            <w:r>
              <w:rPr>
                <w:rFonts w:ascii="Times New Roman" w:cs="Times New Roman" w:eastAsia="Times New Roman" w:hAnsi="Times New Roman"/>
                <w:sz w:val="14"/>
                <w:szCs w:val="14"/>
                <w:color w:val="auto"/>
              </w:rPr>
              <w:t>(b)</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449,932</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98.97</w:t>
            </w:r>
          </w:p>
        </w:tc>
        <w:tc>
          <w:tcPr>
            <w:tcW w:w="1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449,932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2022 to May 31, 2022</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1, 2022 to June 30, 2022</w:t>
            </w: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0"/>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449,932</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449,932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-265430</wp:posOffset>
            </wp:positionV>
            <wp:extent cx="10287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-265430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both"/>
        <w:ind w:left="740" w:right="40" w:hanging="358"/>
        <w:spacing w:after="0" w:line="261" w:lineRule="auto"/>
        <w:tabs>
          <w:tab w:leader="none" w:pos="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March 2018, Ashland’s Board of Directors approved a new $1 billion stock repurchase program, which replaced the previous stock repurchase program. Ashland’s stock repurchase program does not obligate it to acquire any specific number of shares. Under the program, shares may be repurchased in privately negotiated and/or open market transactions, including under plans complying with Rule 10b5-1 of the Exchange Act.</w:t>
      </w:r>
    </w:p>
    <w:p>
      <w:pPr>
        <w:spacing w:after="0" w:line="68" w:lineRule="exact"/>
        <w:rPr>
          <w:rFonts w:ascii="Times New Roman" w:cs="Times New Roman" w:eastAsia="Times New Roman" w:hAnsi="Times New Roman"/>
          <w:sz w:val="14"/>
          <w:szCs w:val="14"/>
          <w:color w:val="auto"/>
        </w:rPr>
      </w:pPr>
    </w:p>
    <w:p>
      <w:pPr>
        <w:ind w:left="740" w:hanging="358"/>
        <w:spacing w:after="0"/>
        <w:tabs>
          <w:tab w:leader="none" w:pos="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April 2022, Ashland completed repurchases under the March 1, 2022 agreement repurchasing a total of 2.15 million shares for $200 million.</w:t>
      </w:r>
    </w:p>
    <w:p>
      <w:pPr>
        <w:spacing w:after="0" w:line="122" w:lineRule="exact"/>
        <w:rPr>
          <w:rFonts w:ascii="Times New Roman" w:cs="Times New Roman" w:eastAsia="Times New Roman" w:hAnsi="Times New Roman"/>
          <w:sz w:val="14"/>
          <w:szCs w:val="14"/>
          <w:color w:val="auto"/>
        </w:rPr>
      </w:pPr>
    </w:p>
    <w:p>
      <w:pPr>
        <w:jc w:val="both"/>
        <w:ind w:left="740" w:right="40" w:hanging="358"/>
        <w:spacing w:after="0" w:line="261" w:lineRule="auto"/>
        <w:tabs>
          <w:tab w:leader="none" w:pos="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May 2022, Ashland's Board of Directors approved a new evergreen $500 million stock repurchase program which replaced the previous stock repurchase. Ashland’s stock repurchase program does not obligate it to acquire any specific number of shares. Under the program, shares may be repurchased in privately negotiated and/or open market transactions, including under plans complying with Rule 10b5-1 of the Exchange Act.</w:t>
      </w:r>
    </w:p>
    <w:p>
      <w:pPr>
        <w:spacing w:after="0" w:line="7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423" w:right="6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(a) Exhibits</w:t>
            </w:r>
          </w:p>
        </w:tc>
        <w:tc>
          <w:tcPr>
            <w:tcW w:w="4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9900" w:type="dxa"/>
            <w:vAlign w:val="bottom"/>
            <w:gridSpan w:val="8"/>
          </w:tcPr>
          <w:p>
            <w:pPr>
              <w:spacing w:after="0"/>
              <w:rPr>
                <w:rFonts w:ascii="Times New Roman" w:cs="Times New Roman" w:eastAsia="Times New Roman" w:hAnsi="Times New Roman"/>
                <w:sz w:val="20"/>
                <w:szCs w:val="20"/>
                <w:color w:val="0000FF"/>
              </w:rPr>
            </w:pPr>
            <w:hyperlink r:id="rId591">
              <w:r>
                <w:rPr>
                  <w:rFonts w:ascii="Times New Roman" w:cs="Times New Roman" w:eastAsia="Times New Roman" w:hAnsi="Times New Roman"/>
                  <w:sz w:val="20"/>
                  <w:szCs w:val="20"/>
                  <w:color w:val="0000FF"/>
                </w:rPr>
                <w:t>Amended and Restated Credit Agreement dated as of July 22, 2022, among Ashland Global Holdings, Inc., Ashland</w:t>
              </w:r>
            </w:hyperlink>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31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80" w:type="dxa"/>
            <w:vAlign w:val="bottom"/>
            <w:gridSpan w:val="7"/>
          </w:tcPr>
          <w:p>
            <w:pPr>
              <w:spacing w:after="0" w:line="196" w:lineRule="exact"/>
              <w:rPr>
                <w:rFonts w:ascii="Times New Roman" w:cs="Times New Roman" w:eastAsia="Times New Roman" w:hAnsi="Times New Roman"/>
                <w:sz w:val="20"/>
                <w:szCs w:val="20"/>
                <w:color w:val="0000FF"/>
                <w:w w:val="99"/>
              </w:rPr>
            </w:pPr>
            <w:hyperlink r:id="rId591">
              <w:r>
                <w:rPr>
                  <w:rFonts w:ascii="Times New Roman" w:cs="Times New Roman" w:eastAsia="Times New Roman" w:hAnsi="Times New Roman"/>
                  <w:sz w:val="20"/>
                  <w:szCs w:val="20"/>
                  <w:color w:val="0000FF"/>
                  <w:w w:val="99"/>
                </w:rPr>
                <w:t>Chemco Inc., Ashland LLC, Ashland Services B.V., each lender from time to time party thereto, The Bank of Nova Scotia,</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31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9860" w:type="dxa"/>
            <w:vAlign w:val="bottom"/>
            <w:gridSpan w:val="6"/>
          </w:tcPr>
          <w:p>
            <w:pPr>
              <w:spacing w:after="0" w:line="183" w:lineRule="exact"/>
              <w:rPr>
                <w:rFonts w:ascii="Times New Roman" w:cs="Times New Roman" w:eastAsia="Times New Roman" w:hAnsi="Times New Roman"/>
                <w:sz w:val="20"/>
                <w:szCs w:val="20"/>
                <w:color w:val="0000FF"/>
              </w:rPr>
            </w:pPr>
            <w:hyperlink r:id="rId591">
              <w:r>
                <w:rPr>
                  <w:rFonts w:ascii="Times New Roman" w:cs="Times New Roman" w:eastAsia="Times New Roman" w:hAnsi="Times New Roman"/>
                  <w:sz w:val="20"/>
                  <w:szCs w:val="20"/>
                  <w:color w:val="0000FF"/>
                </w:rPr>
                <w:t>Houston Branch, as administrative agent, swing line lender and a letter of credit issuer, each other letter of credit issuer</w:t>
              </w:r>
            </w:hyperlink>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31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80" w:type="dxa"/>
            <w:vAlign w:val="bottom"/>
            <w:gridSpan w:val="7"/>
          </w:tcPr>
          <w:p>
            <w:pPr>
              <w:spacing w:after="0" w:line="196" w:lineRule="exact"/>
              <w:rPr>
                <w:rFonts w:ascii="Times New Roman" w:cs="Times New Roman" w:eastAsia="Times New Roman" w:hAnsi="Times New Roman"/>
                <w:sz w:val="20"/>
                <w:szCs w:val="20"/>
                <w:color w:val="0000FF"/>
              </w:rPr>
            </w:pPr>
            <w:hyperlink r:id="rId591">
              <w:r>
                <w:rPr>
                  <w:rFonts w:ascii="Times New Roman" w:cs="Times New Roman" w:eastAsia="Times New Roman" w:hAnsi="Times New Roman"/>
                  <w:sz w:val="20"/>
                  <w:szCs w:val="20"/>
                  <w:color w:val="0000FF"/>
                </w:rPr>
                <w:t>from time to time party thereto and Citibank, N.A., as syndication agent, filed as Exhibit 10.1 to Ashland's Current Report</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31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9820" w:type="dxa"/>
            <w:vAlign w:val="bottom"/>
            <w:gridSpan w:val="4"/>
          </w:tcPr>
          <w:p>
            <w:pPr>
              <w:spacing w:after="0" w:line="183" w:lineRule="exact"/>
              <w:rPr>
                <w:rFonts w:ascii="Times New Roman" w:cs="Times New Roman" w:eastAsia="Times New Roman" w:hAnsi="Times New Roman"/>
                <w:sz w:val="20"/>
                <w:szCs w:val="20"/>
                <w:color w:val="0000FF"/>
              </w:rPr>
            </w:pPr>
            <w:hyperlink r:id="rId591">
              <w:r>
                <w:rPr>
                  <w:rFonts w:ascii="Times New Roman" w:cs="Times New Roman" w:eastAsia="Times New Roman" w:hAnsi="Times New Roman"/>
                  <w:sz w:val="20"/>
                  <w:szCs w:val="20"/>
                  <w:color w:val="0000FF"/>
                </w:rPr>
                <w:t>on Form 8-K dated July 22, 2022 (SEC File No. 333-211719 and incorporated herein by reference.</w:t>
              </w:r>
            </w:hyperlink>
          </w:p>
        </w:tc>
        <w:tc>
          <w:tcPr>
            <w:tcW w:w="20" w:type="dxa"/>
            <w:vAlign w:val="bottom"/>
            <w:vMerge w:val="continue"/>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3100" w:type="dxa"/>
            <w:vAlign w:val="bottom"/>
            <w:tcBorders>
              <w:right w:val="single" w:sz="8" w:color="0000EE"/>
            </w:tcBorders>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9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Certificate of Guillermo Novo, Chief Executive Officer of Ashland pursuant to Section 302 of the Sarbanes-Oxley Act of</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31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40" w:type="dxa"/>
            <w:vAlign w:val="bottom"/>
          </w:tcPr>
          <w:p>
            <w:pPr>
              <w:spacing w:after="0" w:line="196" w:lineRule="exact"/>
              <w:rPr>
                <w:sz w:val="20"/>
                <w:szCs w:val="20"/>
                <w:color w:val="auto"/>
              </w:rPr>
            </w:pPr>
            <w:r>
              <w:rPr>
                <w:rFonts w:ascii="Times New Roman" w:cs="Times New Roman" w:eastAsia="Times New Roman" w:hAnsi="Times New Roman"/>
                <w:sz w:val="20"/>
                <w:szCs w:val="20"/>
                <w:color w:val="0000FF"/>
                <w:w w:val="88"/>
              </w:rPr>
              <w:t>2002.</w:t>
            </w:r>
          </w:p>
        </w:tc>
        <w:tc>
          <w:tcPr>
            <w:tcW w:w="42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31.2*</w:t>
            </w:r>
          </w:p>
        </w:tc>
        <w:tc>
          <w:tcPr>
            <w:tcW w:w="99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Certificate of J. Kevin Willis, Chief Financial Officer of Ashland pursuant to Section 302 of the Sarbanes-Oxley Act of</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31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40" w:type="dxa"/>
            <w:vAlign w:val="bottom"/>
          </w:tcPr>
          <w:p>
            <w:pPr>
              <w:spacing w:after="0" w:line="196" w:lineRule="exact"/>
              <w:rPr>
                <w:sz w:val="20"/>
                <w:szCs w:val="20"/>
                <w:color w:val="auto"/>
              </w:rPr>
            </w:pPr>
            <w:r>
              <w:rPr>
                <w:rFonts w:ascii="Times New Roman" w:cs="Times New Roman" w:eastAsia="Times New Roman" w:hAnsi="Times New Roman"/>
                <w:sz w:val="20"/>
                <w:szCs w:val="20"/>
                <w:color w:val="0000FF"/>
                <w:w w:val="88"/>
              </w:rPr>
              <w:t>2002.</w:t>
            </w:r>
          </w:p>
        </w:tc>
        <w:tc>
          <w:tcPr>
            <w:tcW w:w="42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w:t>
            </w:r>
          </w:p>
        </w:tc>
        <w:tc>
          <w:tcPr>
            <w:tcW w:w="99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w w:val="99"/>
              </w:rPr>
              <w:t>Certificate of Guillermo Novo, Chief Executive Officer of Ashland, and J. Kevin Willis, Chief Financial Officer of Ashland</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720" w:type="dxa"/>
            <w:vAlign w:val="bottom"/>
            <w:gridSpan w:val="2"/>
            <w:shd w:val="clear" w:color="auto" w:fill="0000FF"/>
          </w:tcPr>
          <w:p>
            <w:pPr>
              <w:spacing w:after="0" w:line="20" w:lineRule="exact"/>
              <w:rPr>
                <w:sz w:val="1"/>
                <w:szCs w:val="1"/>
                <w:color w:val="auto"/>
              </w:rPr>
            </w:pPr>
          </w:p>
        </w:tc>
        <w:tc>
          <w:tcPr>
            <w:tcW w:w="5120" w:type="dxa"/>
            <w:vAlign w:val="bottom"/>
            <w:gridSpan w:val="3"/>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40" w:type="dxa"/>
            <w:vAlign w:val="bottom"/>
            <w:gridSpan w:val="5"/>
          </w:tcPr>
          <w:p>
            <w:pPr>
              <w:spacing w:after="0" w:line="196" w:lineRule="exact"/>
              <w:rPr>
                <w:sz w:val="20"/>
                <w:szCs w:val="20"/>
                <w:color w:val="auto"/>
              </w:rPr>
            </w:pPr>
            <w:r>
              <w:rPr>
                <w:rFonts w:ascii="Times New Roman" w:cs="Times New Roman" w:eastAsia="Times New Roman" w:hAnsi="Times New Roman"/>
                <w:sz w:val="20"/>
                <w:szCs w:val="20"/>
                <w:color w:val="0000FF"/>
              </w:rPr>
              <w:t>pursuant to Section 906 of the Sarbanes-Oxley Act of 2002.</w:t>
            </w:r>
          </w:p>
        </w:tc>
        <w:tc>
          <w:tcPr>
            <w:tcW w:w="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720" w:type="dxa"/>
            <w:vAlign w:val="bottom"/>
            <w:gridSpan w:val="2"/>
            <w:shd w:val="clear" w:color="auto" w:fill="0000FF"/>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99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99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99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99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99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99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340" w:hanging="1319"/>
        <w:spacing w:after="0"/>
        <w:tabs>
          <w:tab w:leader="none" w:pos="13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179" w:lineRule="exact"/>
        <w:rPr>
          <w:rFonts w:ascii="Times New Roman" w:cs="Times New Roman" w:eastAsia="Times New Roman" w:hAnsi="Times New Roman"/>
          <w:sz w:val="20"/>
          <w:szCs w:val="20"/>
          <w:color w:val="auto"/>
        </w:rPr>
      </w:pP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Filed herewith.</w:t>
      </w:r>
    </w:p>
    <w:p>
      <w:pPr>
        <w:jc w:val="both"/>
        <w:ind w:left="1220" w:hanging="618"/>
        <w:spacing w:after="0" w:line="228" w:lineRule="auto"/>
        <w:tabs>
          <w:tab w:leader="none" w:pos="12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Attached as Exhibit 101 to this report are the following documents formatted in XBRL (Extensible Business Reporting Language): (i) Statements of Consolidated Comprehensive Income (Loss) for the three months ended June 30, 2022 and June 30, 2021; (ii) Condensed Consolidated Balance Sheets at June 30, 2022 and September 30, 2021; (iii) Statements of Condensed Consolidated Cash Flows for the nine months ended June 30, 2022 and June 30, 2021; and (iv) Notes to Condensed Consolidated</w:t>
      </w:r>
    </w:p>
    <w:p>
      <w:pPr>
        <w:ind w:left="1220"/>
        <w:spacing w:after="0" w:line="191" w:lineRule="auto"/>
        <w:rPr>
          <w:sz w:val="20"/>
          <w:szCs w:val="20"/>
          <w:color w:val="auto"/>
        </w:rPr>
      </w:pPr>
      <w:r>
        <w:rPr>
          <w:rFonts w:ascii="Times New Roman" w:cs="Times New Roman" w:eastAsia="Times New Roman" w:hAnsi="Times New Roman"/>
          <w:sz w:val="12"/>
          <w:szCs w:val="12"/>
          <w:color w:val="auto"/>
        </w:rPr>
        <w:t>Financial Statements.</w:t>
      </w:r>
    </w:p>
    <w:p>
      <w:pPr>
        <w:ind w:left="600"/>
        <w:spacing w:after="0" w:line="207" w:lineRule="auto"/>
        <w:rPr>
          <w:sz w:val="20"/>
          <w:szCs w:val="20"/>
          <w:color w:val="auto"/>
        </w:rPr>
      </w:pPr>
      <w:r>
        <w:rPr>
          <w:rFonts w:ascii="Times New Roman" w:cs="Times New Roman" w:eastAsia="Times New Roman" w:hAnsi="Times New Roman"/>
          <w:sz w:val="8"/>
          <w:szCs w:val="8"/>
          <w:color w:val="auto"/>
        </w:rPr>
        <w:t>SM</w:t>
      </w:r>
    </w:p>
    <w:p>
      <w:pPr>
        <w:ind w:left="1220"/>
        <w:spacing w:after="0"/>
        <w:rPr>
          <w:sz w:val="20"/>
          <w:szCs w:val="20"/>
          <w:color w:val="auto"/>
        </w:rPr>
      </w:pPr>
      <w:r>
        <w:rPr>
          <w:rFonts w:ascii="Times New Roman" w:cs="Times New Roman" w:eastAsia="Times New Roman" w:hAnsi="Times New Roman"/>
          <w:sz w:val="14"/>
          <w:szCs w:val="14"/>
          <w:color w:val="auto"/>
        </w:rPr>
        <w:t>Service mark, Ashland or its subsidiaries, registered in various countries.</w:t>
      </w:r>
    </w:p>
    <w:p>
      <w:pPr>
        <w:spacing w:after="0" w:line="26" w:lineRule="exact"/>
        <w:rPr>
          <w:sz w:val="20"/>
          <w:szCs w:val="20"/>
          <w:color w:val="auto"/>
        </w:rPr>
      </w:pPr>
    </w:p>
    <w:p>
      <w:pPr>
        <w:ind w:left="1220" w:hanging="618"/>
        <w:spacing w:after="0"/>
        <w:tabs>
          <w:tab w:leader="none" w:pos="1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 Ashland or its subsidiaries, registered in various countries.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62" w:name="page63"/>
    <w:bookmarkEnd w:id="62"/>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39" w:lineRule="exact"/>
        <w:rPr>
          <w:sz w:val="20"/>
          <w:szCs w:val="20"/>
          <w:color w:val="auto"/>
        </w:rPr>
      </w:pPr>
    </w:p>
    <w:p>
      <w:pPr>
        <w:ind w:left="80"/>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8"/>
          <w:szCs w:val="18"/>
          <w:color w:val="auto"/>
        </w:rPr>
        <w:t>Ashland Global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17145</wp:posOffset>
            </wp:positionV>
            <wp:extent cx="338582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7"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8"/>
          <w:szCs w:val="18"/>
          <w:color w:val="auto"/>
        </w:rPr>
        <w:t>(Registrant)</w:t>
      </w:r>
    </w:p>
    <w:p>
      <w:pPr>
        <w:spacing w:after="0" w:line="23" w:lineRule="exact"/>
        <w:rPr>
          <w:sz w:val="20"/>
          <w:szCs w:val="20"/>
          <w:color w:val="auto"/>
        </w:rPr>
      </w:pPr>
    </w:p>
    <w:p>
      <w:pPr>
        <w:spacing w:after="0"/>
        <w:tabs>
          <w:tab w:leader="none" w:pos="5320" w:val="left"/>
        </w:tabs>
        <w:rPr>
          <w:sz w:val="20"/>
          <w:szCs w:val="20"/>
          <w:color w:val="auto"/>
        </w:rPr>
      </w:pPr>
      <w:r>
        <w:rPr>
          <w:rFonts w:ascii="Times New Roman" w:cs="Times New Roman" w:eastAsia="Times New Roman" w:hAnsi="Times New Roman"/>
          <w:sz w:val="18"/>
          <w:szCs w:val="18"/>
          <w:color w:val="auto"/>
        </w:rPr>
        <w:t>July 28, 2022</w:t>
      </w:r>
      <w:r>
        <w:rPr>
          <w:sz w:val="20"/>
          <w:szCs w:val="20"/>
          <w:color w:val="auto"/>
        </w:rPr>
        <w:tab/>
      </w:r>
      <w:r>
        <w:rPr>
          <w:rFonts w:ascii="Times New Roman" w:cs="Times New Roman" w:eastAsia="Times New Roman" w:hAnsi="Times New Roman"/>
          <w:sz w:val="17"/>
          <w:szCs w:val="17"/>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5715</wp:posOffset>
            </wp:positionV>
            <wp:extent cx="338582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ind w:left="5340"/>
        <w:spacing w:after="0"/>
        <w:rPr>
          <w:sz w:val="20"/>
          <w:szCs w:val="20"/>
          <w:color w:val="auto"/>
        </w:rPr>
      </w:pPr>
      <w:r>
        <w:rPr>
          <w:rFonts w:ascii="Times New Roman" w:cs="Times New Roman" w:eastAsia="Times New Roman" w:hAnsi="Times New Roman"/>
          <w:sz w:val="18"/>
          <w:szCs w:val="18"/>
          <w:color w:val="auto"/>
        </w:rPr>
        <w:t>J. Kevin Willis</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5340"/>
        <w:spacing w:after="0" w:line="219" w:lineRule="auto"/>
        <w:rPr>
          <w:sz w:val="20"/>
          <w:szCs w:val="20"/>
          <w:color w:val="auto"/>
        </w:rPr>
      </w:pPr>
      <w:r>
        <w:rPr>
          <w:rFonts w:ascii="Times New Roman" w:cs="Times New Roman" w:eastAsia="Times New Roman" w:hAnsi="Times New Roman"/>
          <w:sz w:val="18"/>
          <w:szCs w:val="18"/>
          <w:color w:val="auto"/>
        </w:rPr>
        <w:t>(on behalf of the Registrant and as principal</w:t>
      </w:r>
    </w:p>
    <w:p>
      <w:pPr>
        <w:ind w:left="53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30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64770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342"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Guillermo Novo, certify that:</w:t>
      </w:r>
    </w:p>
    <w:p>
      <w:pPr>
        <w:spacing w:after="0" w:line="108"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Ashland Global Holdings Inc.;</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47" w:lineRule="auto"/>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of the made in this report;</w:t>
      </w:r>
    </w:p>
    <w:p>
      <w:pPr>
        <w:spacing w:after="0" w:line="72"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66" w:lineRule="auto"/>
        <w:tabs>
          <w:tab w:leader="none" w:pos="150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Times New Roman" w:cs="Times New Roman" w:eastAsia="Times New Roman" w:hAnsi="Times New Roman"/>
          <w:sz w:val="19"/>
          <w:szCs w:val="19"/>
          <w:color w:val="auto"/>
        </w:rPr>
      </w:pPr>
    </w:p>
    <w:p>
      <w:pPr>
        <w:jc w:val="both"/>
        <w:ind w:left="1500" w:right="20" w:hanging="369"/>
        <w:spacing w:after="0" w:line="254" w:lineRule="auto"/>
        <w:tabs>
          <w:tab w:leader="none" w:pos="15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47" w:lineRule="auto"/>
        <w:tabs>
          <w:tab w:leader="none" w:pos="15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20"/>
          <w:szCs w:val="20"/>
          <w:color w:val="auto"/>
        </w:rPr>
      </w:pPr>
    </w:p>
    <w:p>
      <w:pPr>
        <w:jc w:val="both"/>
        <w:ind w:left="1500" w:hanging="369"/>
        <w:spacing w:after="0" w:line="274" w:lineRule="auto"/>
        <w:tabs>
          <w:tab w:leader="none" w:pos="150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9"/>
          <w:szCs w:val="19"/>
          <w:color w:val="auto"/>
        </w:rPr>
      </w:pPr>
    </w:p>
    <w:p>
      <w:pPr>
        <w:jc w:val="both"/>
        <w:ind w:left="760" w:hanging="378"/>
        <w:spacing w:after="0" w:line="247" w:lineRule="auto"/>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2"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Date: July 28, 2022</w:t>
      </w:r>
    </w:p>
    <w:p>
      <w:pPr>
        <w:spacing w:after="0" w:line="2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/s/ Guillermo Novo</w:t>
      </w:r>
    </w:p>
    <w:p>
      <w:pPr>
        <w:spacing w:after="0" w:line="2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color w:val="auto"/>
        </w:rPr>
        <w:t>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-140335</wp:posOffset>
            </wp:positionV>
            <wp:extent cx="320611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40"/>
        <w:spacing w:after="0"/>
        <w:rPr>
          <w:sz w:val="20"/>
          <w:szCs w:val="20"/>
          <w:color w:val="auto"/>
        </w:rPr>
      </w:pPr>
      <w:r>
        <w:rPr>
          <w:rFonts w:ascii="Times New Roman" w:cs="Times New Roman" w:eastAsia="Times New Roman" w:hAnsi="Times New Roman"/>
          <w:sz w:val="20"/>
          <w:szCs w:val="20"/>
          <w:color w:val="auto"/>
        </w:rPr>
        <w:t>Chair and Chief Executive Officer</w:t>
      </w:r>
    </w:p>
    <w:p>
      <w:pPr>
        <w:ind w:left="624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 Kevin Willis, certify that:</w:t>
      </w:r>
    </w:p>
    <w:p>
      <w:pPr>
        <w:spacing w:after="0" w:line="108"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Ashland Global Holdings Inc.;</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47" w:lineRule="auto"/>
        <w:tabs>
          <w:tab w:leader="none" w:pos="7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66" w:lineRule="auto"/>
        <w:tabs>
          <w:tab w:leader="none" w:pos="150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Times New Roman" w:cs="Times New Roman" w:eastAsia="Times New Roman" w:hAnsi="Times New Roman"/>
          <w:sz w:val="19"/>
          <w:szCs w:val="19"/>
          <w:color w:val="auto"/>
        </w:rPr>
      </w:pPr>
    </w:p>
    <w:p>
      <w:pPr>
        <w:jc w:val="both"/>
        <w:ind w:left="1500" w:right="20" w:hanging="369"/>
        <w:spacing w:after="0" w:line="254" w:lineRule="auto"/>
        <w:tabs>
          <w:tab w:leader="none" w:pos="15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47" w:lineRule="auto"/>
        <w:tabs>
          <w:tab w:leader="none" w:pos="15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20"/>
          <w:szCs w:val="20"/>
          <w:color w:val="auto"/>
        </w:rPr>
      </w:pPr>
    </w:p>
    <w:p>
      <w:pPr>
        <w:jc w:val="both"/>
        <w:ind w:left="1500" w:hanging="369"/>
        <w:spacing w:after="0" w:line="274" w:lineRule="auto"/>
        <w:tabs>
          <w:tab w:leader="none" w:pos="150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9"/>
          <w:szCs w:val="19"/>
          <w:color w:val="auto"/>
        </w:rPr>
      </w:pPr>
    </w:p>
    <w:p>
      <w:pPr>
        <w:jc w:val="both"/>
        <w:ind w:left="760" w:hanging="378"/>
        <w:spacing w:after="0" w:line="247" w:lineRule="auto"/>
        <w:tabs>
          <w:tab w:leader="none" w:pos="7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2"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Date: July 28, 2022</w:t>
      </w:r>
    </w:p>
    <w:p>
      <w:pPr>
        <w:spacing w:after="0" w:line="2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/s/ J. Kevin Willis</w:t>
      </w:r>
    </w:p>
    <w:p>
      <w:pPr>
        <w:spacing w:after="0" w:line="2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color w:val="auto"/>
        </w:rPr>
        <w:t>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-140335</wp:posOffset>
            </wp:positionV>
            <wp:extent cx="320611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40"/>
        <w:spacing w:after="0"/>
        <w:rPr>
          <w:sz w:val="20"/>
          <w:szCs w:val="20"/>
          <w:color w:val="auto"/>
        </w:rPr>
      </w:pPr>
      <w:r>
        <w:rPr>
          <w:rFonts w:ascii="Times New Roman" w:cs="Times New Roman" w:eastAsia="Times New Roman" w:hAnsi="Times New Roman"/>
          <w:sz w:val="20"/>
          <w:szCs w:val="20"/>
          <w:color w:val="auto"/>
        </w:rPr>
        <w:t>Chief Financial Officer</w:t>
      </w:r>
    </w:p>
    <w:p>
      <w:pPr>
        <w:ind w:left="624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1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ASHLAND GLOBAL HOLDINGS INC.</w:t>
      </w:r>
    </w:p>
    <w:p>
      <w:pPr>
        <w:spacing w:after="0" w:line="20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 U.S.C. SECTION 1350,</w:t>
      </w:r>
    </w:p>
    <w:p>
      <w:pPr>
        <w:jc w:val="center"/>
        <w:spacing w:after="0"/>
        <w:rPr>
          <w:sz w:val="20"/>
          <w:szCs w:val="20"/>
          <w:color w:val="auto"/>
        </w:rPr>
      </w:pPr>
      <w:r>
        <w:rPr>
          <w:rFonts w:ascii="Times New Roman" w:cs="Times New Roman" w:eastAsia="Times New Roman" w:hAnsi="Times New Roman"/>
          <w:sz w:val="20"/>
          <w:szCs w:val="20"/>
          <w:color w:val="auto"/>
        </w:rPr>
        <w:t>AS ADOPTED PURSUANT TO</w:t>
      </w:r>
    </w:p>
    <w:p>
      <w:pPr>
        <w:jc w:val="cente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of Ashland Global Holdings Inc. (the “Company”) on Form 10-Q for the period ended June 30, 2022, as filed with the Securities and Exchange Commission on the date hereof (the “Report”), each of the undersigned, Guillermo Novo, Chief Executive Officer of the Company, and J. Kevin Willis,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 w:lineRule="exact"/>
        <w:rPr>
          <w:rFonts w:ascii="Times New Roman" w:cs="Times New Roman" w:eastAsia="Times New Roman" w:hAnsi="Times New Roman"/>
          <w:sz w:val="20"/>
          <w:szCs w:val="20"/>
          <w:color w:val="auto"/>
        </w:rPr>
      </w:pPr>
    </w:p>
    <w:p>
      <w:pPr>
        <w:ind w:left="760" w:hanging="378"/>
        <w:spacing w:after="0" w:line="246" w:lineRule="auto"/>
        <w:tabs>
          <w:tab w:leader="none" w:pos="7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Guillermo Novo</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356616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0"/>
          <w:szCs w:val="20"/>
          <w:color w:val="auto"/>
        </w:rPr>
        <w:t>Chief Executive Officer</w:t>
      </w:r>
    </w:p>
    <w:p>
      <w:pPr>
        <w:ind w:left="20"/>
        <w:spacing w:after="0"/>
        <w:rPr>
          <w:sz w:val="20"/>
          <w:szCs w:val="20"/>
          <w:color w:val="auto"/>
        </w:rPr>
      </w:pPr>
      <w:r>
        <w:rPr>
          <w:rFonts w:ascii="Times New Roman" w:cs="Times New Roman" w:eastAsia="Times New Roman" w:hAnsi="Times New Roman"/>
          <w:sz w:val="20"/>
          <w:szCs w:val="20"/>
          <w:color w:val="auto"/>
        </w:rPr>
        <w:t>July 28, 2022</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J. Kevin Willis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356616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0"/>
          <w:szCs w:val="20"/>
          <w:color w:val="auto"/>
        </w:rPr>
        <w:t>Chief Financial Officer</w:t>
      </w:r>
    </w:p>
    <w:p>
      <w:pPr>
        <w:ind w:left="20"/>
        <w:spacing w:after="0"/>
        <w:rPr>
          <w:sz w:val="20"/>
          <w:szCs w:val="20"/>
          <w:color w:val="auto"/>
        </w:rPr>
      </w:pPr>
      <w:r>
        <w:rPr>
          <w:rFonts w:ascii="Times New Roman" w:cs="Times New Roman" w:eastAsia="Times New Roman" w:hAnsi="Times New Roman"/>
          <w:sz w:val="20"/>
          <w:szCs w:val="20"/>
          <w:color w:val="auto"/>
        </w:rPr>
        <w:t>July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lowerLetter"/>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lowerLetter"/>
      <w:start w:val="1"/>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o"/>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o"/>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04"/>
    </w:lvl>
    <w:lvl w:ilvl="1">
      <w:lvlJc w:val="left"/>
      <w:lvlText w:val="*"/>
      <w:numFmt w:val="bullet"/>
      <w:start w:val="1"/>
    </w:lvl>
  </w:abstractNum>
  <w:abstractNum w:abstractNumId="44">
    <w:nsid w:val="6DE91B18"/>
    <w:multiLevelType w:val="hybridMultilevel"/>
    <w:lvl w:ilvl="0">
      <w:lvlJc w:val="left"/>
      <w:lvlText w:val="%1"/>
      <w:numFmt w:val="decimal"/>
      <w:start w:val="1"/>
    </w:lvl>
    <w:lvl w:ilvl="1">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591" Type="http://schemas.openxmlformats.org/officeDocument/2006/relationships/hyperlink" Target="https://www.sec.gov/Archives/edgar/data/0001674862/000095015722000804/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2022-07-28T10:50:38Z</dcterms:created>
  <dcterms:modified xsi:type="dcterms:W3CDTF">2022-07-28T10:50:38Z</dcterms:modified>
</cp:coreProperties>
</file>