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LOY BERTRAND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20" w:type="dxa"/>
            <w:vAlign w:val="bottom"/>
            <w:tcBorders>
              <w:top w:val="single" w:sz="8" w:color="0000EE"/>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ASHLAND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8145 BLAZER DRIVE</w:t>
            </w:r>
          </w:p>
        </w:tc>
        <w:tc>
          <w:tcPr>
            <w:tcW w:w="11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WILMINGTON DE</w:t>
            </w: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19808</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 24 Power of Attorney attached.</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Serena S. Kenost,</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05/18/2026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Bertrand Loy</w:t>
            </w:r>
          </w:p>
        </w:tc>
        <w:tc>
          <w:tcPr>
            <w:tcW w:w="54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4"/>
          <w:szCs w:val="24"/>
          <w:b w:val="1"/>
          <w:bCs w:val="1"/>
          <w:color w:val="auto"/>
        </w:rPr>
        <w:t>LIMITED POWER OF ATTORNEY FOR SECTION 16 REPORTING OBLIGATIONS</w:t>
      </w:r>
    </w:p>
    <w:p>
      <w:pPr>
        <w:spacing w:after="0" w:line="245" w:lineRule="exact"/>
        <w:rPr>
          <w:sz w:val="20"/>
          <w:szCs w:val="20"/>
          <w:color w:val="auto"/>
        </w:rPr>
      </w:pPr>
    </w:p>
    <w:p>
      <w:pPr>
        <w:ind w:left="360" w:firstLine="729"/>
        <w:spacing w:after="0" w:line="252"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Robin E. Lampkin, Serena S. Kenost and Stephanie Cloud, or any of them acting singly and with full power of substitution, as the undersigned's true and lawful attorney-in-fact (each such person an “</w:t>
      </w:r>
      <w:r>
        <w:rPr>
          <w:rFonts w:ascii="Times New Roman" w:cs="Times New Roman" w:eastAsia="Times New Roman" w:hAnsi="Times New Roman"/>
          <w:sz w:val="22"/>
          <w:szCs w:val="22"/>
          <w:b w:val="1"/>
          <w:bCs w:val="1"/>
          <w:color w:val="auto"/>
        </w:rPr>
        <w:t>Attorney-in- Fact</w:t>
      </w:r>
      <w:r>
        <w:rPr>
          <w:rFonts w:ascii="Times New Roman" w:cs="Times New Roman" w:eastAsia="Times New Roman" w:hAnsi="Times New Roman"/>
          <w:sz w:val="22"/>
          <w:szCs w:val="22"/>
          <w:color w:val="auto"/>
        </w:rPr>
        <w:t>”), with full power and authority as hereinafter described on behalf of and in the undersigned’s name, place and stead, in any all capacities to:</w:t>
      </w:r>
    </w:p>
    <w:p>
      <w:pPr>
        <w:spacing w:after="0" w:line="1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1. Take such actions which may be necessary or desirable to enable the undersigned to submit forms, schedules</w:t>
      </w:r>
    </w:p>
    <w:p>
      <w:pPr>
        <w:spacing w:after="0" w:line="26" w:lineRule="exact"/>
        <w:rPr>
          <w:sz w:val="20"/>
          <w:szCs w:val="20"/>
          <w:color w:val="auto"/>
        </w:rPr>
      </w:pPr>
    </w:p>
    <w:p>
      <w:pPr>
        <w:ind w:left="360" w:right="180"/>
        <w:spacing w:after="0" w:line="243" w:lineRule="auto"/>
        <w:rPr>
          <w:sz w:val="20"/>
          <w:szCs w:val="20"/>
          <w:color w:val="auto"/>
        </w:rPr>
      </w:pPr>
      <w:r>
        <w:rPr>
          <w:rFonts w:ascii="Times New Roman" w:cs="Times New Roman" w:eastAsia="Times New Roman" w:hAnsi="Times New Roman"/>
          <w:sz w:val="22"/>
          <w:szCs w:val="22"/>
          <w:color w:val="auto"/>
        </w:rPr>
        <w:t>and other documents with the U.S.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utilizing the SEC’s Electronic Data Gathering and Retrieval (“</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system, which includes without limitation (a) preparation, execution and submission to the SEC of a Form ID (and any amendments thereto), and any other documents, information and actions as may be necessary or appropriate to obtain credentials (including codes or passwords) to enable the undersigned to make electronic filings and submissions with the SEC utilizing the EDGAR system, and (b) enroll the undersigned in EDGAR Next or any successor filing system,</w:t>
      </w:r>
    </w:p>
    <w:p>
      <w:pPr>
        <w:spacing w:after="0" w:line="1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2. act as an account administrator for the undersigned’s EDGAR account, which includes</w:t>
      </w:r>
    </w:p>
    <w:p>
      <w:pPr>
        <w:spacing w:after="0" w:line="26" w:lineRule="exact"/>
        <w:rPr>
          <w:sz w:val="20"/>
          <w:szCs w:val="20"/>
          <w:color w:val="auto"/>
        </w:rPr>
      </w:pPr>
    </w:p>
    <w:p>
      <w:pPr>
        <w:ind w:left="720"/>
        <w:spacing w:after="0"/>
        <w:tabs>
          <w:tab w:leader="none" w:pos="9940" w:val="left"/>
        </w:tabs>
        <w:rPr>
          <w:sz w:val="20"/>
          <w:szCs w:val="20"/>
          <w:color w:val="auto"/>
        </w:rPr>
      </w:pPr>
      <w:r>
        <w:rPr>
          <w:rFonts w:ascii="Times New Roman" w:cs="Times New Roman" w:eastAsia="Times New Roman" w:hAnsi="Times New Roman"/>
          <w:sz w:val="22"/>
          <w:szCs w:val="22"/>
          <w:color w:val="auto"/>
        </w:rPr>
        <w:t>(a) appointing, removing and replacing account administrators, technical administrators, account</w:t>
      </w:r>
      <w:r>
        <w:rPr>
          <w:sz w:val="20"/>
          <w:szCs w:val="20"/>
          <w:color w:val="auto"/>
        </w:rPr>
        <w:tab/>
      </w:r>
      <w:r>
        <w:rPr>
          <w:rFonts w:ascii="Times New Roman" w:cs="Times New Roman" w:eastAsia="Times New Roman" w:hAnsi="Times New Roman"/>
          <w:sz w:val="21"/>
          <w:szCs w:val="21"/>
          <w:color w:val="auto"/>
        </w:rPr>
        <w:t>users, and</w:t>
      </w:r>
    </w:p>
    <w:p>
      <w:pPr>
        <w:spacing w:after="0" w:line="2" w:lineRule="exact"/>
        <w:rPr>
          <w:sz w:val="20"/>
          <w:szCs w:val="20"/>
          <w:color w:val="auto"/>
        </w:rPr>
      </w:pPr>
    </w:p>
    <w:p>
      <w:pPr>
        <w:spacing w:after="0"/>
        <w:tabs>
          <w:tab w:leader="none" w:pos="8340" w:val="left"/>
        </w:tabs>
        <w:rPr>
          <w:sz w:val="20"/>
          <w:szCs w:val="20"/>
          <w:color w:val="auto"/>
        </w:rPr>
      </w:pPr>
      <w:r>
        <w:rPr>
          <w:rFonts w:ascii="Times New Roman" w:cs="Times New Roman" w:eastAsia="Times New Roman" w:hAnsi="Times New Roman"/>
          <w:sz w:val="22"/>
          <w:szCs w:val="22"/>
          <w:color w:val="auto"/>
        </w:rPr>
        <w:t>delegated entities; (b) maintaining the security of filer’s EDGAR account, including</w:t>
      </w:r>
      <w:r>
        <w:rPr>
          <w:sz w:val="20"/>
          <w:szCs w:val="20"/>
          <w:color w:val="auto"/>
        </w:rPr>
        <w:tab/>
      </w:r>
      <w:r>
        <w:rPr>
          <w:rFonts w:ascii="Times New Roman" w:cs="Times New Roman" w:eastAsia="Times New Roman" w:hAnsi="Times New Roman"/>
          <w:sz w:val="21"/>
          <w:szCs w:val="21"/>
          <w:color w:val="auto"/>
        </w:rPr>
        <w:t>modification of access</w:t>
      </w:r>
    </w:p>
    <w:p>
      <w:pPr>
        <w:spacing w:after="0" w:line="2" w:lineRule="exact"/>
        <w:rPr>
          <w:sz w:val="20"/>
          <w:szCs w:val="20"/>
          <w:color w:val="auto"/>
        </w:rPr>
      </w:pPr>
    </w:p>
    <w:p>
      <w:pPr>
        <w:spacing w:after="0"/>
        <w:tabs>
          <w:tab w:leader="none" w:pos="7020" w:val="left"/>
        </w:tabs>
        <w:rPr>
          <w:sz w:val="20"/>
          <w:szCs w:val="20"/>
          <w:color w:val="auto"/>
        </w:rPr>
      </w:pPr>
      <w:r>
        <w:rPr>
          <w:rFonts w:ascii="Times New Roman" w:cs="Times New Roman" w:eastAsia="Times New Roman" w:hAnsi="Times New Roman"/>
          <w:sz w:val="22"/>
          <w:szCs w:val="22"/>
          <w:color w:val="auto"/>
        </w:rPr>
        <w:t>codes; (c) maintaining, modifying and certifying the accuracy of</w:t>
      </w:r>
      <w:r>
        <w:rPr>
          <w:sz w:val="20"/>
          <w:szCs w:val="20"/>
          <w:color w:val="auto"/>
        </w:rPr>
        <w:tab/>
      </w:r>
      <w:r>
        <w:rPr>
          <w:rFonts w:ascii="Times New Roman" w:cs="Times New Roman" w:eastAsia="Times New Roman" w:hAnsi="Times New Roman"/>
          <w:sz w:val="21"/>
          <w:szCs w:val="21"/>
          <w:color w:val="auto"/>
        </w:rPr>
        <w:t>information on the undersigned’s EDGAR</w:t>
      </w:r>
    </w:p>
    <w:p>
      <w:pPr>
        <w:spacing w:after="0" w:line="2"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22"/>
          <w:szCs w:val="22"/>
          <w:color w:val="auto"/>
        </w:rPr>
        <w:t>account dashboard; and (d) taking any other actions</w:t>
      </w:r>
      <w:r>
        <w:rPr>
          <w:sz w:val="20"/>
          <w:szCs w:val="20"/>
          <w:color w:val="auto"/>
        </w:rPr>
        <w:tab/>
      </w:r>
      <w:r>
        <w:rPr>
          <w:rFonts w:ascii="Times New Roman" w:cs="Times New Roman" w:eastAsia="Times New Roman" w:hAnsi="Times New Roman"/>
          <w:sz w:val="21"/>
          <w:szCs w:val="21"/>
          <w:color w:val="auto"/>
        </w:rPr>
        <w:t>contemplated by Rule 10 of Regulation S-T;</w:t>
      </w:r>
    </w:p>
    <w:p>
      <w:pPr>
        <w:spacing w:after="0" w:line="229" w:lineRule="exact"/>
        <w:rPr>
          <w:sz w:val="20"/>
          <w:szCs w:val="20"/>
          <w:color w:val="auto"/>
        </w:rPr>
      </w:pPr>
    </w:p>
    <w:p>
      <w:pPr>
        <w:ind w:left="720" w:right="560" w:firstLine="374"/>
        <w:spacing w:after="0" w:line="259" w:lineRule="auto"/>
        <w:tabs>
          <w:tab w:leader="none" w:pos="130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to Ashland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the authority from the undersigned’s EDGAR account administrators and authorize the Company’s EDGAR account administrators pursuant to that delegated entity designation to appoint, remove or replace users for the undersigned’s EDGAR account;</w:t>
      </w:r>
    </w:p>
    <w:p>
      <w:pPr>
        <w:spacing w:after="0" w:line="205" w:lineRule="exact"/>
        <w:rPr>
          <w:rFonts w:ascii="Times New Roman" w:cs="Times New Roman" w:eastAsia="Times New Roman" w:hAnsi="Times New Roman"/>
          <w:sz w:val="22"/>
          <w:szCs w:val="22"/>
          <w:color w:val="auto"/>
        </w:rPr>
      </w:pPr>
    </w:p>
    <w:p>
      <w:pPr>
        <w:ind w:left="720" w:right="20" w:firstLine="374"/>
        <w:spacing w:after="0" w:line="249" w:lineRule="auto"/>
        <w:tabs>
          <w:tab w:leader="none" w:pos="130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and in the undersigned's capacity as an officer or director or both of the Company, Forms 3, 4 and 5 (and any amendments thereto) in accordance with Section 16(a)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the rules thereunder, and any other forms or reports the undersigned may be required to file in connection with the undersigned’s ownership, acquisition, or disposition of the Company’s securities;</w:t>
      </w:r>
    </w:p>
    <w:p>
      <w:pPr>
        <w:spacing w:after="0" w:line="218" w:lineRule="exact"/>
        <w:rPr>
          <w:rFonts w:ascii="Times New Roman" w:cs="Times New Roman" w:eastAsia="Times New Roman" w:hAnsi="Times New Roman"/>
          <w:sz w:val="22"/>
          <w:szCs w:val="22"/>
          <w:color w:val="auto"/>
        </w:rPr>
      </w:pPr>
    </w:p>
    <w:p>
      <w:pPr>
        <w:jc w:val="both"/>
        <w:ind w:left="720" w:right="60" w:firstLine="374"/>
        <w:spacing w:after="0" w:line="257" w:lineRule="auto"/>
        <w:tabs>
          <w:tab w:leader="none" w:pos="130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such Form 3, 4 or 5, complete and execute any amendments thereto, and timely file any such form with the SEC and any securities exchange or similar authority;</w:t>
      </w:r>
    </w:p>
    <w:p>
      <w:pPr>
        <w:spacing w:after="0" w:line="207" w:lineRule="exact"/>
        <w:rPr>
          <w:rFonts w:ascii="Times New Roman" w:cs="Times New Roman" w:eastAsia="Times New Roman" w:hAnsi="Times New Roman"/>
          <w:sz w:val="22"/>
          <w:szCs w:val="22"/>
          <w:color w:val="auto"/>
        </w:rPr>
      </w:pPr>
    </w:p>
    <w:p>
      <w:pPr>
        <w:ind w:left="720" w:right="60" w:firstLine="374"/>
        <w:spacing w:after="0" w:line="252" w:lineRule="auto"/>
        <w:tabs>
          <w:tab w:leader="none" w:pos="130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and</w:t>
      </w:r>
    </w:p>
    <w:p>
      <w:pPr>
        <w:spacing w:after="0" w:line="213" w:lineRule="exact"/>
        <w:rPr>
          <w:rFonts w:ascii="Times New Roman" w:cs="Times New Roman" w:eastAsia="Times New Roman" w:hAnsi="Times New Roman"/>
          <w:sz w:val="22"/>
          <w:szCs w:val="22"/>
          <w:color w:val="auto"/>
        </w:rPr>
      </w:pPr>
    </w:p>
    <w:p>
      <w:pPr>
        <w:ind w:left="720" w:right="120" w:firstLine="374"/>
        <w:spacing w:after="0" w:line="273" w:lineRule="auto"/>
        <w:tabs>
          <w:tab w:leader="none" w:pos="130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952500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6" w:lineRule="exact"/>
        <w:rPr>
          <w:sz w:val="20"/>
          <w:szCs w:val="20"/>
          <w:color w:val="auto"/>
        </w:rPr>
      </w:pPr>
    </w:p>
    <w:p>
      <w:pPr>
        <w:jc w:val="both"/>
        <w:ind w:left="360" w:right="160"/>
        <w:spacing w:after="0" w:line="257" w:lineRule="auto"/>
        <w:rPr>
          <w:sz w:val="20"/>
          <w:szCs w:val="20"/>
          <w:color w:val="auto"/>
        </w:rPr>
      </w:pPr>
      <w:r>
        <w:rPr>
          <w:rFonts w:ascii="Times New Roman" w:cs="Times New Roman" w:eastAsia="Times New Roman" w:hAnsi="Times New Roman"/>
          <w:sz w:val="22"/>
          <w:szCs w:val="22"/>
          <w:color w:val="auto"/>
        </w:rPr>
        <w:t>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p>
      <w:pPr>
        <w:spacing w:after="0" w:line="268" w:lineRule="exact"/>
        <w:rPr>
          <w:sz w:val="20"/>
          <w:szCs w:val="20"/>
          <w:color w:val="auto"/>
        </w:rPr>
      </w:pPr>
    </w:p>
    <w:p>
      <w:pPr>
        <w:ind w:right="200"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217" w:lineRule="exact"/>
        <w:rPr>
          <w:sz w:val="20"/>
          <w:szCs w:val="20"/>
          <w:color w:val="auto"/>
        </w:rPr>
      </w:pPr>
    </w:p>
    <w:p>
      <w:pPr>
        <w:ind w:right="100" w:firstLine="729"/>
        <w:spacing w:after="0" w:line="252"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213" w:lineRule="exact"/>
        <w:rPr>
          <w:sz w:val="20"/>
          <w:szCs w:val="20"/>
          <w:color w:val="auto"/>
        </w:rPr>
      </w:pPr>
    </w:p>
    <w:p>
      <w:pPr>
        <w:ind w:firstLine="729"/>
        <w:spacing w:after="0" w:line="252" w:lineRule="auto"/>
        <w:rPr>
          <w:sz w:val="20"/>
          <w:szCs w:val="20"/>
          <w:color w:val="auto"/>
        </w:rPr>
      </w:pPr>
      <w:r>
        <w:rPr>
          <w:rFonts w:ascii="Times New Roman" w:cs="Times New Roman" w:eastAsia="Times New Roman" w:hAnsi="Times New Roman"/>
          <w:sz w:val="22"/>
          <w:szCs w:val="22"/>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13" w:lineRule="exact"/>
        <w:rPr>
          <w:sz w:val="20"/>
          <w:szCs w:val="20"/>
          <w:color w:val="auto"/>
        </w:rPr>
      </w:pPr>
    </w:p>
    <w:p>
      <w:pPr>
        <w:ind w:right="300" w:firstLine="729"/>
        <w:spacing w:after="0" w:line="257" w:lineRule="auto"/>
        <w:rPr>
          <w:sz w:val="20"/>
          <w:szCs w:val="20"/>
          <w:color w:val="auto"/>
        </w:rPr>
      </w:pPr>
      <w:r>
        <w:rPr>
          <w:rFonts w:ascii="Times New Roman" w:cs="Times New Roman" w:eastAsia="Times New Roman" w:hAnsi="Times New Roman"/>
          <w:sz w:val="22"/>
          <w:szCs w:val="22"/>
          <w:color w:val="auto"/>
        </w:rPr>
        <w:t>The undersigned hereby revokes all previous limited powers of attorney that have been granted by or on the undersigned’s behalf in connection with reporting obligations, if any, under Section 16 of the Exchange Act with respect to holdings of and transactions in securities issued by the Company.</w:t>
      </w:r>
    </w:p>
    <w:p>
      <w:pPr>
        <w:spacing w:after="0" w:line="208" w:lineRule="exact"/>
        <w:rPr>
          <w:sz w:val="20"/>
          <w:szCs w:val="20"/>
          <w:color w:val="auto"/>
        </w:rPr>
      </w:pPr>
    </w:p>
    <w:p>
      <w:pPr>
        <w:ind w:right="540" w:firstLine="729"/>
        <w:spacing w:after="0" w:line="290" w:lineRule="auto"/>
        <w:rPr>
          <w:sz w:val="20"/>
          <w:szCs w:val="20"/>
          <w:color w:val="auto"/>
        </w:rPr>
      </w:pPr>
      <w:r>
        <w:rPr>
          <w:rFonts w:ascii="Times New Roman" w:cs="Times New Roman" w:eastAsia="Times New Roman" w:hAnsi="Times New Roman"/>
          <w:sz w:val="22"/>
          <w:szCs w:val="22"/>
          <w:color w:val="auto"/>
        </w:rPr>
        <w:t>IN WITNESS WHEREOF, the undersigned has caused this Limited Power of Attorney to be executed as of this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2"/>
          <w:szCs w:val="22"/>
          <w:color w:val="auto"/>
        </w:rPr>
        <w:t>day of May, 2026.</w:t>
      </w:r>
    </w:p>
    <w:p>
      <w:pPr>
        <w:spacing w:after="0" w:line="3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Signed and acknowledged:</w:t>
      </w:r>
    </w:p>
    <w:p>
      <w:pPr>
        <w:spacing w:after="0" w:line="200" w:lineRule="exact"/>
        <w:rPr>
          <w:sz w:val="20"/>
          <w:szCs w:val="20"/>
          <w:color w:val="auto"/>
        </w:rPr>
      </w:pPr>
    </w:p>
    <w:p>
      <w:pPr>
        <w:spacing w:after="0" w:line="3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 Bertrand 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1957705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520"/>
      </w:cols>
      <w:pgMar w:left="84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197452" TargetMode="External"/><Relationship Id="rId11" Type="http://schemas.openxmlformats.org/officeDocument/2006/relationships/hyperlink" Target="http://www.sec.gov/cgi-bin/browse-edgar?action=getcompany&amp;CIK=0001674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2026-05-18T15:43:46Z</dcterms:created>
  <dcterms:modified xsi:type="dcterms:W3CDTF">2026-05-18T15:43:46Z</dcterms:modified>
</cp:coreProperties>
</file>