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98425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127000</wp:posOffset>
            </wp:positionV>
            <wp:extent cx="1748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0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1059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(302) 995-3000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0"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4"/>
                <w:szCs w:val="14"/>
                <w:color w:val="auto"/>
                <w:w w:val="92"/>
              </w:rPr>
              <w:t>Title of each class</w:t>
            </w:r>
          </w:p>
        </w:tc>
        <w:tc>
          <w:tcPr>
            <w:tcW w:w="1720" w:type="dxa"/>
            <w:vAlign w:val="bottom"/>
          </w:tcPr>
          <w:p>
            <w:pPr>
              <w:spacing w:after="0"/>
              <w:rPr>
                <w:sz w:val="14"/>
                <w:szCs w:val="14"/>
                <w:color w:val="auto"/>
              </w:rPr>
            </w:pPr>
          </w:p>
        </w:tc>
        <w:tc>
          <w:tcPr>
            <w:tcW w:w="2940" w:type="dxa"/>
            <w:vAlign w:val="bottom"/>
            <w:gridSpan w:val="2"/>
          </w:tcPr>
          <w:p>
            <w:pPr>
              <w:jc w:val="center"/>
              <w:ind w:right="2000"/>
              <w:spacing w:after="0"/>
              <w:rPr>
                <w:sz w:val="20"/>
                <w:szCs w:val="20"/>
                <w:color w:val="auto"/>
              </w:rPr>
            </w:pPr>
            <w:r>
              <w:rPr>
                <w:rFonts w:ascii="Arial" w:cs="Arial" w:eastAsia="Arial" w:hAnsi="Arial"/>
                <w:sz w:val="14"/>
                <w:szCs w:val="14"/>
                <w:color w:val="auto"/>
                <w:w w:val="95"/>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0"/>
        </w:trPr>
        <w:tc>
          <w:tcPr>
            <w:tcW w:w="30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Common Stock, par value $.01 per share</w:t>
            </w:r>
          </w:p>
        </w:tc>
        <w:tc>
          <w:tcPr>
            <w:tcW w:w="1720" w:type="dxa"/>
            <w:vAlign w:val="bottom"/>
          </w:tcPr>
          <w:p>
            <w:pPr>
              <w:spacing w:after="0"/>
              <w:rPr>
                <w:sz w:val="21"/>
                <w:szCs w:val="21"/>
                <w:color w:val="auto"/>
              </w:rPr>
            </w:pPr>
          </w:p>
        </w:tc>
        <w:tc>
          <w:tcPr>
            <w:tcW w:w="294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ASH</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60" w:type="dxa"/>
            <w:vAlign w:val="bottom"/>
            <w:gridSpan w:val="3"/>
          </w:tcPr>
          <w:p>
            <w:pPr>
              <w:jc w:val="center"/>
              <w:ind w:right="30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2540" w:type="dxa"/>
            <w:vAlign w:val="bottom"/>
          </w:tcPr>
          <w:p>
            <w:pPr>
              <w:spacing w:after="0"/>
              <w:rPr>
                <w:sz w:val="22"/>
                <w:szCs w:val="22"/>
                <w:color w:val="auto"/>
              </w:rPr>
            </w:pP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firstLine="48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8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ind w:firstLine="48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80" w:right="13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March 31, 2021, there were 60,708,900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ind w:left="3900"/>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March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4"/>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74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598</w:t>
            </w:r>
          </w:p>
        </w:tc>
        <w:tc>
          <w:tcPr>
            <w:tcW w:w="780" w:type="dxa"/>
            <w:vAlign w:val="bottom"/>
            <w:tcBorders>
              <w:top w:val="single" w:sz="8" w:color="auto"/>
            </w:tcBorders>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610</w:t>
            </w:r>
          </w:p>
        </w:tc>
        <w:tc>
          <w:tcPr>
            <w:tcW w:w="44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1,149</w:t>
            </w:r>
          </w:p>
        </w:tc>
        <w:tc>
          <w:tcPr>
            <w:tcW w:w="70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Intangibles amortization expense</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and other income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interest and other expense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on acquisitions and divestitures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 Note M</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(9.48)</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(0.13)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(9.61)</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Diluted earnings per share - Note M</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0.69</w:t>
            </w:r>
          </w:p>
        </w:tc>
        <w:tc>
          <w:tcPr>
            <w:tcW w:w="78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(9.48)</w:t>
            </w: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w:t>
            </w:r>
          </w:p>
        </w:tc>
        <w:tc>
          <w:tcPr>
            <w:tcW w:w="7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(9.61)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(582)</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Unrealized translation gain (loss)</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49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48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bottom w:val="single" w:sz="8" w:color="auto"/>
            </w:tcBorders>
            <w:shd w:val="clear" w:color="auto" w:fill="CFF0FC"/>
          </w:tcPr>
          <w:p>
            <w:pPr>
              <w:spacing w:after="0"/>
              <w:rPr>
                <w:sz w:val="18"/>
                <w:szCs w:val="18"/>
                <w:color w:val="auto"/>
              </w:rPr>
            </w:pPr>
          </w:p>
        </w:tc>
        <w:tc>
          <w:tcPr>
            <w:tcW w:w="480" w:type="dxa"/>
            <w:vAlign w:val="bottom"/>
            <w:tcBorders>
              <w:top w:val="single" w:sz="8" w:color="CFF0FC"/>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CFF0FC"/>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549" w:right="739" w:bottom="1440" w:gutter="0" w:footer="0" w:header="0"/>
        </w:sectPr>
      </w:pPr>
    </w:p>
    <w:bookmarkStart w:id="2" w:name="page3"/>
    <w:bookmarkEnd w:id="2"/>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54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March 31</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7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 - unaudited)</w:t>
            </w: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03"/>
        </w:trPr>
        <w:tc>
          <w:tcPr>
            <w:tcW w:w="6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7040" w:type="dxa"/>
            <w:vAlign w:val="bottom"/>
            <w:tcBorders>
              <w:bottom w:val="single" w:sz="8" w:color="CFF0FC"/>
            </w:tcBorders>
            <w:gridSpan w:val="2"/>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471</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529</w:t>
            </w: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B</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1,547</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3,307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3,265</w:t>
            </w: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1,775</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1,700</w:t>
            </w:r>
          </w:p>
        </w:tc>
      </w:tr>
      <w:tr>
        <w:trPr>
          <w:trHeight w:val="223"/>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property, plant and equipment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1,565</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1,758</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Operating lease assets, net - Note I</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 xml:space="preserve">Asbestos insurance receivable </w:t>
            </w:r>
            <w:r>
              <w:rPr>
                <w:rFonts w:ascii="Arial" w:cs="Arial" w:eastAsia="Arial" w:hAnsi="Arial"/>
                <w:sz w:val="14"/>
                <w:szCs w:val="14"/>
                <w:color w:val="auto"/>
              </w:rPr>
              <w:t>(b)</w:t>
            </w:r>
            <w:r>
              <w:rPr>
                <w:rFonts w:ascii="Arial" w:cs="Arial" w:eastAsia="Arial" w:hAnsi="Arial"/>
                <w:sz w:val="18"/>
                <w:szCs w:val="18"/>
                <w:color w:val="auto"/>
              </w:rPr>
              <w:t xml:space="preserve"> - Note L</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29"/>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395</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r>
      <w:tr>
        <w:trPr>
          <w:trHeight w:val="223"/>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assets</w:t>
            </w: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5,246</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5,330</w:t>
            </w:r>
          </w:p>
        </w:tc>
      </w:tr>
      <w:tr>
        <w:trPr>
          <w:trHeight w:val="263"/>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6,664</w:t>
            </w:r>
          </w:p>
        </w:tc>
        <w:tc>
          <w:tcPr>
            <w:tcW w:w="1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6,877</w:t>
            </w:r>
          </w:p>
        </w:tc>
      </w:tr>
      <w:tr>
        <w:trPr>
          <w:trHeight w:val="210"/>
        </w:trPr>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189"/>
        </w:trPr>
        <w:tc>
          <w:tcPr>
            <w:tcW w:w="77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280</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long-term debt - Note H</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Trade and other payables</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Current operating lease obligations - Note I</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23"/>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1,573</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Asbestos litigation reserve - Note L</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513</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Employee benefit obligations - Note K</w:t>
            </w: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obligations - Note I</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r>
      <w:tr>
        <w:trPr>
          <w:trHeight w:val="223"/>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liabilities</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2,981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3,028</w:t>
            </w: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Commitments and contingencies - Note L</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r>
      <w:tr>
        <w:trPr>
          <w:trHeight w:val="223"/>
        </w:trPr>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7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6,664</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6,877</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Accounts receivable includes an allowance for credit losses of $3 million at both March 31, 2021 and September 30, 2020.</w:t>
      </w:r>
    </w:p>
    <w:p>
      <w:pPr>
        <w:spacing w:after="0" w:line="2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(b)</w:t>
        <w:tab/>
        <w:t>Asbestos insurance receivable includes an allowance for credit losses of $3 million at March 31, 2021.</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2"/>
              </w:rPr>
              <w:t>Accumulated</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29"/>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Common</w:t>
            </w:r>
          </w:p>
        </w:tc>
        <w:tc>
          <w:tcPr>
            <w:tcW w:w="16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w w:val="96"/>
              </w:rPr>
              <w:t>Paid-in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comprehensive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capital</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0"/>
              </w:rPr>
              <w:t>(a)</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 xml:space="preserve">Adoption of new accounting pronouncement </w:t>
            </w:r>
            <w:r>
              <w:rPr>
                <w:rFonts w:ascii="Arial" w:cs="Arial" w:eastAsia="Arial" w:hAnsi="Arial"/>
                <w:sz w:val="14"/>
                <w:szCs w:val="14"/>
                <w:color w:val="auto"/>
              </w:rPr>
              <w:t>(b)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0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Regular dividends, $0.550 per common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 xml:space="preserve">Common shares issued under stock incentive and other plans </w:t>
            </w:r>
            <w:r>
              <w:rPr>
                <w:rFonts w:ascii="Arial" w:cs="Arial" w:eastAsia="Arial" w:hAnsi="Arial"/>
                <w:sz w:val="14"/>
                <w:szCs w:val="14"/>
                <w:color w:val="auto"/>
                <w:w w:val="92"/>
              </w:rPr>
              <w:t>(c)</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3,114</w:t>
            </w: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6"/>
        </w:trPr>
        <w:tc>
          <w:tcPr>
            <w:tcW w:w="5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360" w:hanging="352"/>
        <w:spacing w:after="0" w:line="265"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March 31, 2021 and September 30, 2020, the after-tax accumulated other comprehensive loss of $369 million and $383 million, respectively, was each comprised of net unrealized translation losses of $367 million and $381 million, respectively, and unrecognized prior service costs as a result of certain employee benefit plan amendments of $2 million each.</w:t>
      </w:r>
    </w:p>
    <w:p>
      <w:pPr>
        <w:ind w:left="360" w:hanging="352"/>
        <w:spacing w:after="0" w:line="183" w:lineRule="auto"/>
        <w:tabs>
          <w:tab w:leader="none" w:pos="360" w:val="left"/>
        </w:tabs>
        <w:numPr>
          <w:ilvl w:val="0"/>
          <w:numId w:val="3"/>
        </w:numPr>
        <w:rPr>
          <w:rFonts w:ascii="Arial" w:cs="Arial" w:eastAsia="Arial" w:hAnsi="Arial"/>
          <w:sz w:val="23"/>
          <w:szCs w:val="23"/>
          <w:color w:val="auto"/>
          <w:vertAlign w:val="superscript"/>
        </w:rPr>
      </w:pPr>
      <w:r>
        <w:rPr>
          <w:rFonts w:ascii="Arial" w:cs="Arial" w:eastAsia="Arial" w:hAnsi="Arial"/>
          <w:sz w:val="12"/>
          <w:szCs w:val="12"/>
          <w:color w:val="auto"/>
        </w:rPr>
        <w:t>Represents the cumulative-effect adjustment, net of tax, for the adoption of the new accounting pronouncement related to the measurement of credit losses on financial instruments.</w:t>
      </w:r>
    </w:p>
    <w:p>
      <w:pPr>
        <w:spacing w:after="0" w:line="6"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Common shares issued were 140,706 for the six months ended March 31, 2021.</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4" w:name="page5"/>
    <w:bookmarkEnd w:id="4"/>
    <w:p>
      <w:pPr>
        <w:ind w:right="3820"/>
        <w:spacing w:after="0" w:line="29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104140</wp:posOffset>
            </wp:positionV>
            <wp:extent cx="6626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5"/>
                <w:szCs w:val="15"/>
                <w:color w:val="auto"/>
              </w:rPr>
              <w:t>Six months ended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gridSpan w:val="2"/>
            <w:vMerge w:val="restart"/>
          </w:tcPr>
          <w:p>
            <w:pPr>
              <w:spacing w:after="0"/>
              <w:rPr>
                <w:sz w:val="20"/>
                <w:szCs w:val="20"/>
                <w:color w:val="auto"/>
              </w:rPr>
            </w:pPr>
            <w:r>
              <w:rPr>
                <w:rFonts w:ascii="Arial" w:cs="Arial" w:eastAsia="Arial" w:hAnsi="Arial"/>
                <w:sz w:val="15"/>
                <w:szCs w:val="15"/>
                <w:color w:val="auto"/>
              </w:rPr>
              <w:t>(In millions - unaudited)</w:t>
            </w:r>
          </w:p>
        </w:tc>
        <w:tc>
          <w:tcPr>
            <w:tcW w:w="10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5"/>
                <w:szCs w:val="15"/>
                <w:color w:val="auto"/>
              </w:rPr>
              <w:t>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ind w:right="24"/>
              <w:spacing w:after="0" w:line="169" w:lineRule="exact"/>
              <w:rPr>
                <w:sz w:val="20"/>
                <w:szCs w:val="20"/>
                <w:color w:val="auto"/>
              </w:rPr>
            </w:pPr>
            <w:r>
              <w:rPr>
                <w:rFonts w:ascii="Arial" w:cs="Arial" w:eastAsia="Arial" w:hAnsi="Arial"/>
                <w:sz w:val="15"/>
                <w:szCs w:val="15"/>
                <w:color w:val="auto"/>
              </w:rPr>
              <w:t>2021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40" w:type="dxa"/>
            <w:vAlign w:val="bottom"/>
            <w:tcBorders>
              <w:top w:val="single" w:sz="8" w:color="auto"/>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CASH FLOWS PROVIDED (USED) BY OPERATING ACTIVITIES FROM</w:t>
            </w:r>
          </w:p>
        </w:tc>
        <w:tc>
          <w:tcPr>
            <w:tcW w:w="10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shd w:val="clear" w:color="auto" w:fill="CFF0FC"/>
          </w:tcPr>
          <w:p>
            <w:pPr>
              <w:ind w:left="100"/>
              <w:spacing w:after="0"/>
              <w:rPr>
                <w:sz w:val="20"/>
                <w:szCs w:val="20"/>
                <w:color w:val="auto"/>
              </w:rPr>
            </w:pPr>
            <w:r>
              <w:rPr>
                <w:rFonts w:ascii="Arial" w:cs="Arial" w:eastAsia="Arial" w:hAnsi="Arial"/>
                <w:sz w:val="15"/>
                <w:szCs w:val="15"/>
                <w:b w:val="1"/>
                <w:bCs w:val="1"/>
                <w:color w:val="auto"/>
              </w:rPr>
              <w:t>CONTINUING OPERATIONS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Net income (loss)</w:t>
            </w:r>
          </w:p>
        </w:tc>
        <w:tc>
          <w:tcPr>
            <w:tcW w:w="15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97</w:t>
            </w:r>
          </w:p>
        </w:tc>
        <w:tc>
          <w:tcPr>
            <w:tcW w:w="900" w:type="dxa"/>
            <w:vAlign w:val="bottom"/>
            <w:gridSpan w:val="2"/>
          </w:tcPr>
          <w:p>
            <w:pPr>
              <w:jc w:val="right"/>
              <w:ind w:right="66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Loss from discontinued operations (net of income taxes)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7</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Adjustments to reconcile income from continuing operations to</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cash flows from operating activities: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124</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Original issue discount and debt issuance costs amortization</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3</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Deferred income taxes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Gain from sales of property and equipment</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Distributions from equity affiliates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Stock based compensation expense</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8</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(Income) loss from restricted investments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Excess tax benefit on stock based compensation</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Loss on early retirement of debt</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Income on acquisitions and divestitures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480"/>
              <w:spacing w:after="0"/>
              <w:rPr>
                <w:sz w:val="20"/>
                <w:szCs w:val="20"/>
                <w:color w:val="auto"/>
              </w:rPr>
            </w:pPr>
            <w:r>
              <w:rPr>
                <w:rFonts w:ascii="Arial" w:cs="Arial" w:eastAsia="Arial" w:hAnsi="Arial"/>
                <w:sz w:val="15"/>
                <w:szCs w:val="15"/>
                <w:color w:val="auto"/>
              </w:rPr>
              <w:t>Impairments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530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Pension contributions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480"/>
              <w:spacing w:after="0"/>
              <w:rPr>
                <w:sz w:val="20"/>
                <w:szCs w:val="20"/>
                <w:color w:val="auto"/>
              </w:rPr>
            </w:pPr>
            <w:r>
              <w:rPr>
                <w:rFonts w:ascii="Arial" w:cs="Arial" w:eastAsia="Arial" w:hAnsi="Arial"/>
                <w:sz w:val="15"/>
                <w:szCs w:val="15"/>
                <w:color w:val="auto"/>
              </w:rPr>
              <w:t>Change in operating assets and liabilities (a)</w:t>
            </w:r>
          </w:p>
        </w:tc>
        <w:tc>
          <w:tcPr>
            <w:tcW w:w="102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ind w:left="240"/>
              <w:spacing w:after="0" w:line="169" w:lineRule="exact"/>
              <w:rPr>
                <w:sz w:val="20"/>
                <w:szCs w:val="20"/>
                <w:color w:val="auto"/>
              </w:rPr>
            </w:pPr>
            <w:r>
              <w:rPr>
                <w:rFonts w:ascii="Arial" w:cs="Arial" w:eastAsia="Arial" w:hAnsi="Arial"/>
                <w:sz w:val="15"/>
                <w:szCs w:val="15"/>
                <w:color w:val="auto"/>
              </w:rPr>
              <w:t>Total cash flows provided by operating activities from continuing operations</w:t>
            </w: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170</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40" w:type="dxa"/>
            <w:vAlign w:val="bottom"/>
          </w:tcPr>
          <w:p>
            <w:pPr>
              <w:spacing w:after="0" w:line="159" w:lineRule="exact"/>
              <w:rPr>
                <w:sz w:val="20"/>
                <w:szCs w:val="20"/>
                <w:color w:val="auto"/>
              </w:rPr>
            </w:pPr>
            <w:r>
              <w:rPr>
                <w:rFonts w:ascii="Arial" w:cs="Arial" w:eastAsia="Arial" w:hAnsi="Arial"/>
                <w:sz w:val="15"/>
                <w:szCs w:val="15"/>
                <w:b w:val="1"/>
                <w:bCs w:val="1"/>
                <w:color w:val="auto"/>
              </w:rPr>
              <w:t>CASH FLOWS PROVIDED (USED) BY INVESTING ACTIVITIES FROM</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tcPr>
          <w:p>
            <w:pPr>
              <w:ind w:left="100"/>
              <w:spacing w:after="0"/>
              <w:rPr>
                <w:sz w:val="20"/>
                <w:szCs w:val="20"/>
                <w:color w:val="auto"/>
              </w:rPr>
            </w:pPr>
            <w:r>
              <w:rPr>
                <w:rFonts w:ascii="Arial" w:cs="Arial" w:eastAsia="Arial" w:hAnsi="Arial"/>
                <w:sz w:val="15"/>
                <w:szCs w:val="15"/>
                <w:b w:val="1"/>
                <w:bCs w:val="1"/>
                <w:color w:val="auto"/>
              </w:rPr>
              <w:t>CONTINUING OPERATIONS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Additions to property, plant and equipment</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Proceeds from disposal of property, plant and equipment</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sale or restructuring of operations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14</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Company-owned life insurance payments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Net purchase of funds restricted for specific transactions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Reimbursements from restricted investments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sale of securities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47</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Purchases of securities</w:t>
            </w:r>
          </w:p>
        </w:tc>
        <w:tc>
          <w:tcPr>
            <w:tcW w:w="102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ind w:left="240"/>
              <w:spacing w:after="0" w:line="169" w:lineRule="exact"/>
              <w:rPr>
                <w:sz w:val="20"/>
                <w:szCs w:val="20"/>
                <w:color w:val="auto"/>
              </w:rPr>
            </w:pPr>
            <w:r>
              <w:rPr>
                <w:rFonts w:ascii="Arial" w:cs="Arial" w:eastAsia="Arial" w:hAnsi="Arial"/>
                <w:sz w:val="15"/>
                <w:szCs w:val="15"/>
                <w:color w:val="auto"/>
              </w:rPr>
              <w:t>Total cash flows used by investing activities from continuing operations</w:t>
            </w: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40" w:type="dxa"/>
            <w:vAlign w:val="bottom"/>
          </w:tcPr>
          <w:p>
            <w:pPr>
              <w:spacing w:after="0" w:line="159" w:lineRule="exact"/>
              <w:rPr>
                <w:sz w:val="20"/>
                <w:szCs w:val="20"/>
                <w:color w:val="auto"/>
              </w:rPr>
            </w:pPr>
            <w:r>
              <w:rPr>
                <w:rFonts w:ascii="Arial" w:cs="Arial" w:eastAsia="Arial" w:hAnsi="Arial"/>
                <w:sz w:val="15"/>
                <w:szCs w:val="15"/>
                <w:b w:val="1"/>
                <w:bCs w:val="1"/>
                <w:color w:val="auto"/>
              </w:rPr>
              <w:t>CASH FLOWS PROVIDED (USED) BY FINANCING ACTIVITIES FROM</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tcPr>
          <w:p>
            <w:pPr>
              <w:ind w:left="100"/>
              <w:spacing w:after="0"/>
              <w:rPr>
                <w:sz w:val="20"/>
                <w:szCs w:val="20"/>
                <w:color w:val="auto"/>
              </w:rPr>
            </w:pPr>
            <w:r>
              <w:rPr>
                <w:rFonts w:ascii="Arial" w:cs="Arial" w:eastAsia="Arial" w:hAnsi="Arial"/>
                <w:sz w:val="15"/>
                <w:szCs w:val="15"/>
                <w:b w:val="1"/>
                <w:bCs w:val="1"/>
                <w:color w:val="auto"/>
              </w:rPr>
              <w:t>CONTINUING OPERATIONS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issuance of long-term debt</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804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Repayment of long-term debt</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Premium on long-term debt repayment</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Proceeds from (repayment of) short-term debt</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(195)</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Debt issuance costs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Cash dividends paid</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Stock based compensation employee withholding taxes paid in cash</w:t>
            </w:r>
          </w:p>
        </w:tc>
        <w:tc>
          <w:tcPr>
            <w:tcW w:w="1020" w:type="dxa"/>
            <w:vAlign w:val="bottom"/>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bottom w:val="single" w:sz="8" w:color="CFF0FC"/>
            </w:tcBorders>
          </w:tcPr>
          <w:p>
            <w:pPr>
              <w:ind w:left="240"/>
              <w:spacing w:after="0" w:line="169" w:lineRule="exact"/>
              <w:rPr>
                <w:sz w:val="20"/>
                <w:szCs w:val="20"/>
                <w:color w:val="auto"/>
              </w:rPr>
            </w:pPr>
            <w:r>
              <w:rPr>
                <w:rFonts w:ascii="Arial" w:cs="Arial" w:eastAsia="Arial" w:hAnsi="Arial"/>
                <w:sz w:val="15"/>
                <w:szCs w:val="15"/>
                <w:color w:val="auto"/>
              </w:rPr>
              <w:t>Total cash flows provided (used) by financing activities from continuing operations</w:t>
            </w:r>
          </w:p>
        </w:tc>
        <w:tc>
          <w:tcPr>
            <w:tcW w:w="102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(233)</w:t>
            </w:r>
          </w:p>
        </w:tc>
        <w:tc>
          <w:tcPr>
            <w:tcW w:w="1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PROVIDED (USED) BY CONTINUING OPERATIONS</w:t>
            </w: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ind w:left="240"/>
              <w:spacing w:after="0"/>
              <w:rPr>
                <w:sz w:val="20"/>
                <w:szCs w:val="20"/>
                <w:color w:val="auto"/>
              </w:rPr>
            </w:pPr>
            <w:r>
              <w:rPr>
                <w:rFonts w:ascii="Arial" w:cs="Arial" w:eastAsia="Arial" w:hAnsi="Arial"/>
                <w:sz w:val="15"/>
                <w:szCs w:val="15"/>
                <w:color w:val="auto"/>
              </w:rPr>
              <w:t>Cash provided (used) by discontinued operations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Operating cash flows</w:t>
            </w:r>
          </w:p>
        </w:tc>
        <w:tc>
          <w:tcPr>
            <w:tcW w:w="10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7</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480"/>
              <w:spacing w:after="0"/>
              <w:rPr>
                <w:sz w:val="20"/>
                <w:szCs w:val="20"/>
                <w:color w:val="auto"/>
              </w:rPr>
            </w:pPr>
            <w:r>
              <w:rPr>
                <w:rFonts w:ascii="Arial" w:cs="Arial" w:eastAsia="Arial" w:hAnsi="Arial"/>
                <w:sz w:val="15"/>
                <w:szCs w:val="15"/>
                <w:color w:val="auto"/>
              </w:rPr>
              <w:t>Investing cash flows</w:t>
            </w:r>
          </w:p>
        </w:tc>
        <w:tc>
          <w:tcPr>
            <w:tcW w:w="102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ind w:left="240"/>
              <w:spacing w:after="0" w:line="169" w:lineRule="exact"/>
              <w:rPr>
                <w:sz w:val="20"/>
                <w:szCs w:val="20"/>
                <w:color w:val="auto"/>
              </w:rPr>
            </w:pPr>
            <w:r>
              <w:rPr>
                <w:rFonts w:ascii="Arial" w:cs="Arial" w:eastAsia="Arial" w:hAnsi="Arial"/>
                <w:sz w:val="15"/>
                <w:szCs w:val="15"/>
                <w:color w:val="auto"/>
              </w:rPr>
              <w:t>Total cash used by discontinued operations</w:t>
            </w: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Effect of currency exchange rate changes on cash and cash equivalents</w:t>
            </w:r>
          </w:p>
        </w:tc>
        <w:tc>
          <w:tcPr>
            <w:tcW w:w="102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INCREASE (DECREASE) IN CASH AND CASH EQUIVALENTS</w:t>
            </w:r>
          </w:p>
        </w:tc>
        <w:tc>
          <w:tcPr>
            <w:tcW w:w="102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w:t>
            </w:r>
          </w:p>
        </w:tc>
        <w:tc>
          <w:tcPr>
            <w:tcW w:w="18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9"/>
        </w:trPr>
        <w:tc>
          <w:tcPr>
            <w:tcW w:w="63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AND CASH EQUIVALENTS - BEGINNING OF PERIOD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ind w:right="24"/>
              <w:spacing w:after="0" w:line="169" w:lineRule="exact"/>
              <w:rPr>
                <w:sz w:val="20"/>
                <w:szCs w:val="20"/>
                <w:color w:val="auto"/>
              </w:rPr>
            </w:pPr>
            <w:r>
              <w:rPr>
                <w:rFonts w:ascii="Arial" w:cs="Arial" w:eastAsia="Arial" w:hAnsi="Arial"/>
                <w:sz w:val="15"/>
                <w:szCs w:val="15"/>
                <w:color w:val="auto"/>
              </w:rPr>
              <w:t>454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CASH AND CASH EQUIVALENTS - END OF PERIOD</w:t>
            </w:r>
          </w:p>
        </w:tc>
        <w:tc>
          <w:tcPr>
            <w:tcW w:w="10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vMerge w:val="continue"/>
            <w:shd w:val="clear" w:color="auto" w:fill="CFF0FC"/>
          </w:tcPr>
          <w:p>
            <w:pPr>
              <w:spacing w:after="0"/>
              <w:rPr>
                <w:sz w:val="14"/>
                <w:szCs w:val="14"/>
                <w:color w:val="auto"/>
              </w:rPr>
            </w:pPr>
          </w:p>
        </w:tc>
        <w:tc>
          <w:tcPr>
            <w:tcW w:w="1520" w:type="dxa"/>
            <w:vAlign w:val="bottom"/>
            <w:gridSpan w:val="2"/>
            <w:shd w:val="clear" w:color="auto" w:fill="CFF0FC"/>
          </w:tcPr>
          <w:p>
            <w:pPr>
              <w:jc w:val="right"/>
              <w:ind w:right="42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373</w:t>
            </w:r>
          </w:p>
        </w:tc>
        <w:tc>
          <w:tcPr>
            <w:tcW w:w="900" w:type="dxa"/>
            <w:vAlign w:val="bottom"/>
            <w:gridSpan w:val="2"/>
            <w:shd w:val="clear" w:color="auto" w:fill="CFF0FC"/>
          </w:tcPr>
          <w:p>
            <w:pPr>
              <w:jc w:val="right"/>
              <w:ind w:right="660"/>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137160</wp:posOffset>
            </wp:positionV>
            <wp:extent cx="6626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670" w:right="739" w:bottom="1440" w:gutter="0" w:footer="0" w:header="0"/>
        </w:sectPr>
      </w:pPr>
    </w:p>
    <w:bookmarkStart w:id="5" w:name="page6"/>
    <w:bookmarkEnd w:id="5"/>
    <w:p>
      <w:pPr>
        <w:ind w:right="386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60"/>
        <w:spacing w:after="0" w:line="242"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2020. Results of operations for the period ended March 31, 2021 are not necessarily indicative of the expected results for the remaining quarters in the fiscal year. All amounts are presented in millions except per-share amounts.</w:t>
      </w:r>
    </w:p>
    <w:p>
      <w:pPr>
        <w:spacing w:after="0" w:line="89"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Ashland’s reportable segments include the consumer specialty businesses: Life Sciences and Personal Care &amp; Household; the industrial specialty businesses: Specialty Additives and Performance Adhesives; and Intermediates and Solvents. Unallocated and Other includes corporate governance activities and certain legacy matters. For additional information, see Note Q.</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7"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2020. The following standards relevant to Ashland were either issued or adopted in the current fiscal year or will become effective in a subsequent period.</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76" w:right="699" w:bottom="1440" w:gutter="0" w:footer="0" w:header="0"/>
        </w:sectPr>
      </w:pPr>
    </w:p>
    <w:bookmarkStart w:id="6" w:name="page7"/>
    <w:bookmarkEnd w:id="6"/>
    <w:p>
      <w:pPr>
        <w:jc w:val="both"/>
        <w:ind w:left="360"/>
        <w:spacing w:after="0" w:line="278" w:lineRule="auto"/>
        <w:rPr>
          <w:sz w:val="20"/>
          <w:szCs w:val="20"/>
          <w:color w:val="auto"/>
        </w:rPr>
      </w:pPr>
      <w:r>
        <w:rPr>
          <w:rFonts w:ascii="Arial" w:cs="Arial" w:eastAsia="Arial" w:hAnsi="Arial"/>
          <w:sz w:val="18"/>
          <w:szCs w:val="18"/>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became effective for Ashland on October 1, 2020. As a result, Ashland recorded a $3 million increase in its allowance for credit losses, primarily related to asbestos receivables, and a $2 million decrease to retained earnings, net of tax, reflecting the cumulative effect on retained earnings.</w:t>
      </w:r>
    </w:p>
    <w:p>
      <w:pPr>
        <w:spacing w:after="0" w:line="57" w:lineRule="exact"/>
        <w:rPr>
          <w:sz w:val="20"/>
          <w:szCs w:val="20"/>
          <w:color w:val="auto"/>
        </w:rPr>
      </w:pPr>
    </w:p>
    <w:p>
      <w:pPr>
        <w:jc w:val="both"/>
        <w:ind w:left="360"/>
        <w:spacing w:after="0" w:line="273" w:lineRule="auto"/>
        <w:rPr>
          <w:sz w:val="20"/>
          <w:szCs w:val="20"/>
          <w:color w:val="auto"/>
        </w:rPr>
      </w:pPr>
      <w:r>
        <w:rPr>
          <w:rFonts w:ascii="Arial" w:cs="Arial" w:eastAsia="Arial" w:hAnsi="Arial"/>
          <w:sz w:val="18"/>
          <w:szCs w:val="18"/>
          <w:color w:val="auto"/>
        </w:rPr>
        <w:t>Under the new expected credit loss model, Ashland records an allowance for credit losses inherent in its receivables from revenue transactions and reinsurance recoverables. The allowance for credit losses is a valuation account deducted from the amortized cost basis of the assets to present their net carrying value at the amount expected to be collected.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For the three and six months ending March 31, 2021, no significant credit losses were incurred within the Statements of Consolidated Comprehensive Income (Loss).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ACQUISITIONS AND DIVESTITURES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Acquisitions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Personal Care &amp; Household acquisition</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On January 19, 2021, Ashland announced it had signed a definitive agreement to acquire the personal care business of Schülke &amp; Mayr GmbH, a portfolio company of the global investment organization EQT.</w:t>
      </w:r>
    </w:p>
    <w:p>
      <w:pPr>
        <w:spacing w:after="0" w:line="69" w:lineRule="exact"/>
        <w:rPr>
          <w:sz w:val="20"/>
          <w:szCs w:val="20"/>
          <w:color w:val="auto"/>
        </w:rPr>
      </w:pPr>
    </w:p>
    <w:p>
      <w:pPr>
        <w:jc w:val="both"/>
        <w:ind w:left="360"/>
        <w:spacing w:after="0" w:line="316" w:lineRule="auto"/>
        <w:rPr>
          <w:sz w:val="20"/>
          <w:szCs w:val="20"/>
          <w:color w:val="auto"/>
        </w:rPr>
      </w:pPr>
      <w:r>
        <w:rPr>
          <w:rFonts w:ascii="Arial" w:cs="Arial" w:eastAsia="Arial" w:hAnsi="Arial"/>
          <w:sz w:val="18"/>
          <w:szCs w:val="18"/>
          <w:color w:val="auto"/>
        </w:rPr>
        <w:t>Under the terms of the agreement, Ashland will pay €262.5 million in an all cash transaction, which is expected to be completed before the end of the June 30, 2021 quarter subject to customary closing conditions and required regulatory approvals.</w:t>
      </w:r>
    </w:p>
    <w:p>
      <w:pPr>
        <w:spacing w:after="0" w:line="22"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During the three and six months ended March 31, 2021, Ashland incurred transaction costs of $5 million, including $3 million of losses associated with foreign currency derivatives entered into to mitigate the foreign exchange exposure of the expected purchase price. The costs are recorded within the Net income (loss) on acquisitions and divestitures caption in the Statements of Consolidated Comprehensive Income (Loss).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Divestitures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Composites and Marl facility</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On August 30, 2019, Ashland completed the sale of its Composites business (excluding the Maleic business) and butanediol manufacturing facility in Marl, Germany to INEOS Enterprises (INEOS).</w:t>
      </w:r>
    </w:p>
    <w:p>
      <w:pPr>
        <w:spacing w:after="0" w:line="69"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On September 30, 2020, Ashland completed the sale of its Maleic business to AOC Materials, LLC (AOC). Net proceeds from the sale were approximately $98 million.</w:t>
      </w:r>
    </w:p>
    <w:p>
      <w:pPr>
        <w:spacing w:after="0" w:line="69" w:lineRule="exact"/>
        <w:rPr>
          <w:sz w:val="20"/>
          <w:szCs w:val="20"/>
          <w:color w:val="auto"/>
        </w:rPr>
      </w:pPr>
    </w:p>
    <w:p>
      <w:pPr>
        <w:jc w:val="both"/>
        <w:ind w:left="360"/>
        <w:spacing w:after="0" w:line="321" w:lineRule="auto"/>
        <w:rPr>
          <w:sz w:val="20"/>
          <w:szCs w:val="20"/>
          <w:color w:val="auto"/>
        </w:rPr>
      </w:pPr>
      <w:r>
        <w:rPr>
          <w:rFonts w:ascii="Arial" w:cs="Arial" w:eastAsia="Arial" w:hAnsi="Arial"/>
          <w:sz w:val="16"/>
          <w:szCs w:val="16"/>
          <w:color w:val="auto"/>
        </w:rPr>
        <w:t>The disposal of the Composites business and Maleic business represented a strategic shift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the Maleic business, for all periods presented.</w:t>
      </w:r>
    </w:p>
    <w:p>
      <w:pPr>
        <w:spacing w:after="0" w:line="25" w:lineRule="exact"/>
        <w:rPr>
          <w:sz w:val="20"/>
          <w:szCs w:val="20"/>
          <w:color w:val="auto"/>
        </w:rPr>
      </w:pPr>
    </w:p>
    <w:p>
      <w:pPr>
        <w:jc w:val="both"/>
        <w:ind w:left="360"/>
        <w:spacing w:after="0" w:line="263" w:lineRule="auto"/>
        <w:rPr>
          <w:sz w:val="20"/>
          <w:szCs w:val="20"/>
          <w:color w:val="auto"/>
        </w:rPr>
      </w:pPr>
      <w:r>
        <w:rPr>
          <w:rFonts w:ascii="Arial" w:cs="Arial" w:eastAsia="Arial" w:hAnsi="Arial"/>
          <w:sz w:val="19"/>
          <w:szCs w:val="19"/>
          <w:color w:val="auto"/>
        </w:rPr>
        <w:t>Subsequent to the completion of the sale, Ashland is providing certain transition services to INEOS for a fee. While the transition services are expected to vary in duration depending upon the type of service provided, Ashland expects to reduce certain costs as the transition services are completed. Ashland recognized transition service fee income of $3 million during the three months ended March 31, 2021 and 2020, and $6 million during the six months ended March 31, 2021 and 2020.</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60" w:right="699" w:bottom="1440" w:gutter="0" w:footer="0" w:header="0"/>
        </w:sectPr>
      </w:pPr>
    </w:p>
    <w:bookmarkStart w:id="7" w:name="page8"/>
    <w:bookmarkEnd w:id="7"/>
    <w:p>
      <w:pPr>
        <w:ind w:left="360"/>
        <w:spacing w:after="0"/>
        <w:rPr>
          <w:sz w:val="20"/>
          <w:szCs w:val="20"/>
          <w:color w:val="auto"/>
        </w:rPr>
      </w:pPr>
      <w:r>
        <w:rPr>
          <w:rFonts w:ascii="Arial" w:cs="Arial" w:eastAsia="Arial" w:hAnsi="Arial"/>
          <w:sz w:val="20"/>
          <w:szCs w:val="20"/>
          <w:b w:val="1"/>
          <w:bCs w:val="1"/>
          <w:i w:val="1"/>
          <w:iCs w:val="1"/>
          <w:color w:val="auto"/>
        </w:rPr>
        <w:t>Other manufacturing facility sales</w:t>
      </w:r>
    </w:p>
    <w:p>
      <w:pPr>
        <w:spacing w:after="0" w:line="108" w:lineRule="exact"/>
        <w:rPr>
          <w:sz w:val="20"/>
          <w:szCs w:val="20"/>
          <w:color w:val="auto"/>
        </w:rPr>
      </w:pPr>
    </w:p>
    <w:p>
      <w:pPr>
        <w:jc w:val="both"/>
        <w:ind w:left="360" w:right="360"/>
        <w:spacing w:after="0" w:line="278" w:lineRule="auto"/>
        <w:rPr>
          <w:sz w:val="20"/>
          <w:szCs w:val="20"/>
          <w:color w:val="auto"/>
        </w:rPr>
      </w:pPr>
      <w:r>
        <w:rPr>
          <w:rFonts w:ascii="Arial" w:cs="Arial" w:eastAsia="Arial" w:hAnsi="Arial"/>
          <w:sz w:val="18"/>
          <w:szCs w:val="18"/>
          <w:color w:val="auto"/>
        </w:rPr>
        <w:t>During the six months ended March 31, 2021, Ashland completed the sale of a Specialty Additives facility, the assets and liabilities of which were classified as held for sale as of September 30, 2020. Net proceeds received from the sale were approximately $14 million in the December 31, 2020 quarter ($20 million in total including a deposit received in fiscal year 2020). The Company recognized a pre-tax gain of $14 million recorded within the Net income (loss) on acquisitions and divestitures caption in the Statements of Consolidated Comprehensive Income (Loss) for the six months ended March 31, 2021.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83" w:lineRule="exact"/>
        <w:rPr>
          <w:sz w:val="20"/>
          <w:szCs w:val="20"/>
          <w:color w:val="auto"/>
        </w:rPr>
      </w:pPr>
    </w:p>
    <w:p>
      <w:pPr>
        <w:jc w:val="both"/>
        <w:ind w:left="360" w:right="36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six months ended March 31, 2021 and 2020.</w:t>
      </w:r>
    </w:p>
    <w:p>
      <w:pPr>
        <w:spacing w:after="0" w:line="41"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3"/>
          </w:tcPr>
          <w:p>
            <w:pPr>
              <w:jc w:val="right"/>
              <w:ind w:right="187"/>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67"/>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r>
      <w:tr>
        <w:trPr>
          <w:trHeight w:val="205"/>
        </w:trPr>
        <w:tc>
          <w:tcPr>
            <w:tcW w:w="20" w:type="dxa"/>
            <w:vAlign w:val="bottom"/>
          </w:tcPr>
          <w:p>
            <w:pPr>
              <w:spacing w:after="0"/>
              <w:rPr>
                <w:sz w:val="17"/>
                <w:szCs w:val="17"/>
                <w:color w:val="auto"/>
              </w:rPr>
            </w:pPr>
          </w:p>
        </w:tc>
        <w:tc>
          <w:tcPr>
            <w:tcW w:w="404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2"/>
              </w:rPr>
              <w:t>Income (loss) from discontinued operations (net of</w:t>
            </w:r>
          </w:p>
        </w:tc>
        <w:tc>
          <w:tcPr>
            <w:tcW w:w="2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tax)</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6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Asbestos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Water Technologies</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1"/>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Gain (loss) on disposal of discontinued operations</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of taxes)</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Composites/Marl facility</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pacing w:after="0" w:line="213" w:lineRule="exact"/>
        <w:rPr>
          <w:sz w:val="20"/>
          <w:szCs w:val="20"/>
          <w:color w:val="auto"/>
        </w:rPr>
      </w:pPr>
    </w:p>
    <w:p>
      <w:pPr>
        <w:jc w:val="both"/>
        <w:ind w:left="360" w:right="360"/>
        <w:spacing w:after="0" w:line="263" w:lineRule="auto"/>
        <w:rPr>
          <w:sz w:val="20"/>
          <w:szCs w:val="20"/>
          <w:color w:val="auto"/>
        </w:rPr>
      </w:pPr>
      <w:r>
        <w:rPr>
          <w:rFonts w:ascii="Arial" w:cs="Arial" w:eastAsia="Arial" w:hAnsi="Arial"/>
          <w:sz w:val="19"/>
          <w:szCs w:val="19"/>
          <w:color w:val="auto"/>
        </w:rPr>
        <w:t>The following table presents a reconciliation of the captions within Ashland's Statements of Consolidated Comprehensive Income (Loss) for the income (loss) from discontinued operations attributable to Composites and the Marl facility for the three and six months ended March 31, 2020. The Maleic business, which was sold during fiscal 2020 to AOC, was operated under the Composites business and Marl facility disposal group and is therefore reported in discontinued operations.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3"/>
              </w:rPr>
              <w:t>Three months ended</w:t>
            </w:r>
          </w:p>
        </w:tc>
        <w:tc>
          <w:tcPr>
            <w:tcW w:w="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8"/>
              </w:rPr>
              <w:t>Six months ended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March 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780" w:type="dxa"/>
            <w:vAlign w:val="bottom"/>
            <w:tcBorders>
              <w:top w:val="single" w:sz="8" w:color="auto"/>
            </w:tcBorders>
            <w:shd w:val="clear" w:color="auto" w:fill="CFF0FC"/>
          </w:tcPr>
          <w:p>
            <w:pPr>
              <w:ind w:left="100"/>
              <w:spacing w:after="0" w:line="205" w:lineRule="exact"/>
              <w:rPr>
                <w:sz w:val="20"/>
                <w:szCs w:val="20"/>
                <w:color w:val="auto"/>
              </w:rPr>
            </w:pPr>
            <w:r>
              <w:rPr>
                <w:rFonts w:ascii="Arial" w:cs="Arial" w:eastAsia="Arial" w:hAnsi="Arial"/>
                <w:sz w:val="18"/>
                <w:szCs w:val="18"/>
                <w:b w:val="1"/>
                <w:bCs w:val="1"/>
                <w:color w:val="auto"/>
                <w:w w:val="97"/>
              </w:rPr>
              <w:t>Income (loss) from discontinued operations attributable</w:t>
            </w:r>
          </w:p>
        </w:tc>
        <w:tc>
          <w:tcPr>
            <w:tcW w:w="10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 Composites/Marl facility</w:t>
            </w: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Sales</w:t>
            </w:r>
          </w:p>
        </w:tc>
        <w:tc>
          <w:tcPr>
            <w:tcW w:w="1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10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vMerge w:val="restart"/>
          </w:tcPr>
          <w:p>
            <w:pPr>
              <w:jc w:val="right"/>
              <w:ind w:right="5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14" w:lineRule="exact"/>
        <w:rPr>
          <w:sz w:val="20"/>
          <w:szCs w:val="20"/>
          <w:color w:val="auto"/>
        </w:rPr>
      </w:pPr>
    </w:p>
    <w:p>
      <w:pPr>
        <w:jc w:val="both"/>
        <w:ind w:left="360" w:right="36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Fiscal 2020 and 2021 restructuring costs</w:t>
      </w:r>
    </w:p>
    <w:p>
      <w:pPr>
        <w:spacing w:after="0" w:line="114"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20"/>
          <w:szCs w:val="20"/>
          <w:color w:val="auto"/>
        </w:rPr>
        <w:t>Ashland incurred severance expense of zero and $14 million during the three months ended March 31, 2021 and 2020, respectively, and $8 million and $17 million during the six months ended March 31, 2021 and 2020, respectively, attributable to executive management changes and business management changes within the organization. As of March 31, 2021, the severance reserve associated with this transition was $24 million.</w:t>
      </w:r>
    </w:p>
    <w:p>
      <w:pPr>
        <w:spacing w:after="0" w:line="83"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The following table details at March 31, 2021 and 2020, the amount of restructuring severance reserves related to this program. The severance reserves were primarily recorded within accrued expenses and other liabilities in the Condensed Consolidated Balance Sheet as of March 31, 2021 and 2020.</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7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r>
      <w:tr>
        <w:trPr>
          <w:trHeight w:val="223"/>
        </w:trPr>
        <w:tc>
          <w:tcPr>
            <w:tcW w:w="20" w:type="dxa"/>
            <w:vAlign w:val="bottom"/>
          </w:tcPr>
          <w:p>
            <w:pPr>
              <w:spacing w:after="0"/>
              <w:rPr>
                <w:sz w:val="19"/>
                <w:szCs w:val="19"/>
                <w:color w:val="auto"/>
              </w:rPr>
            </w:pPr>
          </w:p>
        </w:tc>
        <w:tc>
          <w:tcPr>
            <w:tcW w:w="7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2020</w:t>
            </w:r>
          </w:p>
        </w:tc>
        <w:tc>
          <w:tcPr>
            <w:tcW w:w="52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r>
      <w:tr>
        <w:trPr>
          <w:trHeight w:val="229"/>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reserve</w:t>
            </w: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520" w:type="dxa"/>
            <w:vAlign w:val="bottom"/>
            <w:tcBorders>
              <w:bottom w:val="single" w:sz="8" w:color="auto"/>
            </w:tcBorders>
            <w:shd w:val="clear" w:color="auto" w:fill="CFF0FC"/>
          </w:tcPr>
          <w:p>
            <w:pPr>
              <w:spacing w:after="0"/>
              <w:rPr>
                <w:sz w:val="19"/>
                <w:szCs w:val="19"/>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0"/>
        </w:trPr>
        <w:tc>
          <w:tcPr>
            <w:tcW w:w="728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386"/>
        </w:trPr>
        <w:tc>
          <w:tcPr>
            <w:tcW w:w="72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Balance at of September 30, 2019</w:t>
            </w: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reserve</w:t>
            </w:r>
          </w:p>
        </w:tc>
        <w:tc>
          <w:tcPr>
            <w:tcW w:w="520" w:type="dxa"/>
            <w:vAlign w:val="bottom"/>
            <w:shd w:val="clear" w:color="auto" w:fill="CFF0FC"/>
          </w:tcPr>
          <w:p>
            <w:pPr>
              <w:spacing w:after="0"/>
              <w:rPr>
                <w:sz w:val="19"/>
                <w:szCs w:val="19"/>
                <w:color w:val="auto"/>
              </w:rPr>
            </w:pPr>
          </w:p>
        </w:tc>
        <w:tc>
          <w:tcPr>
            <w:tcW w:w="2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Utilization (cash paid)</w:t>
            </w:r>
          </w:p>
        </w:tc>
        <w:tc>
          <w:tcPr>
            <w:tcW w:w="5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Fiscal 2018 restructuring costs</w:t>
      </w:r>
    </w:p>
    <w:p>
      <w:pPr>
        <w:spacing w:after="0" w:line="114" w:lineRule="exact"/>
        <w:rPr>
          <w:sz w:val="20"/>
          <w:szCs w:val="20"/>
          <w:color w:val="auto"/>
        </w:rPr>
      </w:pPr>
    </w:p>
    <w:p>
      <w:pPr>
        <w:jc w:val="both"/>
        <w:ind w:left="360" w:right="360"/>
        <w:spacing w:after="0" w:line="278" w:lineRule="auto"/>
        <w:rPr>
          <w:sz w:val="20"/>
          <w:szCs w:val="20"/>
          <w:color w:val="auto"/>
        </w:rPr>
      </w:pPr>
      <w:r>
        <w:rPr>
          <w:rFonts w:ascii="Arial" w:cs="Arial" w:eastAsia="Arial" w:hAnsi="Arial"/>
          <w:sz w:val="18"/>
          <w:szCs w:val="18"/>
          <w:color w:val="auto"/>
        </w:rPr>
        <w:t>During fiscal 2018, Ashland initiated a company-wide cost reduction program as a result of ongoing strategic asset plans and activities. As part of this restructuring program, Ashland announced a voluntary severance offer to certain qualifying employees that was formally approved during 2018. Additionally, during fiscal 2018, an involuntary program for employees was also initiated as part of the restructuring program. No additional severance expense was recorded for the three and six months ended March 31, 2021 and 2020. As of March 31, 2021, the severance reserve for the company-wide restructuring program was zero.</w:t>
      </w:r>
    </w:p>
    <w:p>
      <w:pPr>
        <w:spacing w:after="0" w:line="57" w:lineRule="exact"/>
        <w:rPr>
          <w:sz w:val="20"/>
          <w:szCs w:val="20"/>
          <w:color w:val="auto"/>
        </w:rPr>
      </w:pPr>
    </w:p>
    <w:p>
      <w:pPr>
        <w:jc w:val="both"/>
        <w:ind w:left="360" w:right="360"/>
        <w:spacing w:after="0" w:line="269" w:lineRule="auto"/>
        <w:rPr>
          <w:sz w:val="20"/>
          <w:szCs w:val="20"/>
          <w:color w:val="auto"/>
        </w:rPr>
      </w:pPr>
      <w:r>
        <w:rPr>
          <w:rFonts w:ascii="Arial" w:cs="Arial" w:eastAsia="Arial" w:hAnsi="Arial"/>
          <w:sz w:val="19"/>
          <w:szCs w:val="19"/>
          <w:color w:val="auto"/>
        </w:rPr>
        <w:t>The following table details at March 31, 2020, the amount of restructuring reserves related to the programs discussed above, and the related activity in these reserves during the six months ended March 31, 2020. The severance reserve was primarily recorded within accrued expenses and other liabilities in the Condensed Consolidated Balance Sheet as of March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1"/>
                <w:szCs w:val="21"/>
                <w:color w:val="auto"/>
              </w:rPr>
            </w:pPr>
          </w:p>
        </w:tc>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4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Severance costs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34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Restructuring reserve</w:t>
            </w: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34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342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20" w:type="dxa"/>
            <w:vAlign w:val="bottom"/>
            <w:vMerge w:val="restart"/>
          </w:tcPr>
          <w:p>
            <w:pPr>
              <w:jc w:val="right"/>
              <w:ind w:right="1930"/>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March 31, 2021.</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Quoted prices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in 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8"/>
                <w:szCs w:val="18"/>
                <w:color w:val="auto"/>
              </w:rPr>
            </w:pPr>
          </w:p>
        </w:tc>
        <w:tc>
          <w:tcPr>
            <w:tcW w:w="114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unobservable</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373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332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717</w:t>
            </w:r>
          </w:p>
        </w:tc>
        <w:tc>
          <w:tcPr>
            <w:tcW w:w="12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626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57" w:lineRule="exact"/>
        <w:rPr>
          <w:sz w:val="20"/>
          <w:szCs w:val="20"/>
          <w:color w:val="auto"/>
        </w:rPr>
      </w:pPr>
    </w:p>
    <w:p>
      <w:pPr>
        <w:ind w:left="720" w:hanging="361"/>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720" w:hanging="361"/>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62" w:right="699" w:bottom="1440" w:gutter="0" w:footer="0" w:header="0"/>
        </w:sectPr>
      </w:pPr>
    </w:p>
    <w:bookmarkStart w:id="10" w:name="page11"/>
    <w:bookmarkEnd w:id="10"/>
    <w:p>
      <w:pPr>
        <w:ind w:left="1"/>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2020.</w:t>
      </w:r>
    </w:p>
    <w:p>
      <w:pPr>
        <w:spacing w:after="0" w:line="141"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8"/>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94"/>
              </w:rPr>
              <w:t>Total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unobservable</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9"/>
                <w:szCs w:val="19"/>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820" w:type="dxa"/>
            <w:vAlign w:val="bottom"/>
          </w:tcPr>
          <w:p>
            <w:pPr>
              <w:jc w:val="center"/>
              <w:ind w:left="234"/>
              <w:spacing w:after="0"/>
              <w:rPr>
                <w:sz w:val="20"/>
                <w:szCs w:val="20"/>
                <w:color w:val="auto"/>
              </w:rPr>
            </w:pPr>
            <w:r>
              <w:rPr>
                <w:rFonts w:ascii="Arial" w:cs="Arial" w:eastAsia="Arial" w:hAnsi="Arial"/>
                <w:sz w:val="18"/>
                <w:szCs w:val="18"/>
                <w:color w:val="auto"/>
                <w:w w:val="88"/>
              </w:rPr>
              <w:t>value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2"/>
              </w:rPr>
              <w:t>Level 3</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454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331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795</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85090</wp:posOffset>
            </wp:positionV>
            <wp:extent cx="6626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7" w:lineRule="exact"/>
        <w:rPr>
          <w:sz w:val="20"/>
          <w:szCs w:val="20"/>
          <w:color w:val="auto"/>
        </w:rPr>
      </w:pPr>
    </w:p>
    <w:p>
      <w:pPr>
        <w:ind w:left="361" w:hanging="361"/>
        <w:spacing w:after="0"/>
        <w:tabs>
          <w:tab w:leader="none" w:pos="36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361" w:hanging="361"/>
        <w:spacing w:after="0"/>
        <w:tabs>
          <w:tab w:leader="none" w:pos="36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7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March 31, 2021 and September 30, 2020:</w:t>
      </w:r>
    </w:p>
    <w:p>
      <w:pPr>
        <w:spacing w:after="0" w:line="88"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March 31</w:t>
            </w: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340" w:type="dxa"/>
            <w:vAlign w:val="bottom"/>
            <w:gridSpan w:val="2"/>
          </w:tcPr>
          <w:p>
            <w:pPr>
              <w:jc w:val="right"/>
              <w:ind w:right="198"/>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Original cost</w:t>
            </w:r>
          </w:p>
        </w:tc>
        <w:tc>
          <w:tcPr>
            <w:tcW w:w="3340" w:type="dxa"/>
            <w:vAlign w:val="bottom"/>
            <w:tcBorders>
              <w:top w:val="single" w:sz="8" w:color="auto"/>
            </w:tcBorders>
            <w:gridSpan w:val="2"/>
            <w:shd w:val="clear" w:color="auto" w:fill="CFF0FC"/>
          </w:tcPr>
          <w:p>
            <w:pPr>
              <w:jc w:val="right"/>
              <w:ind w:right="1138"/>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4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Accumulated adjustments, net </w:t>
            </w:r>
            <w:r>
              <w:rPr>
                <w:rFonts w:ascii="Arial" w:cs="Arial" w:eastAsia="Arial" w:hAnsi="Arial"/>
                <w:sz w:val="14"/>
                <w:szCs w:val="14"/>
                <w:color w:val="auto"/>
              </w:rPr>
              <w:t>(a)</w:t>
            </w:r>
          </w:p>
        </w:tc>
        <w:tc>
          <w:tcPr>
            <w:tcW w:w="20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w:t>
            </w:r>
          </w:p>
        </w:tc>
        <w:tc>
          <w:tcPr>
            <w:tcW w:w="20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2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20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2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20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20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3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pacing w:after="0" w:line="102" w:lineRule="exact"/>
        <w:rPr>
          <w:sz w:val="20"/>
          <w:szCs w:val="20"/>
          <w:color w:val="auto"/>
        </w:rPr>
      </w:pPr>
    </w:p>
    <w:p>
      <w:pPr>
        <w:ind w:left="361" w:hanging="361"/>
        <w:spacing w:after="0"/>
        <w:tabs>
          <w:tab w:leader="none" w:pos="36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ind w:left="361" w:hanging="361"/>
        <w:spacing w:after="0" w:line="221" w:lineRule="auto"/>
        <w:tabs>
          <w:tab w:leader="none" w:pos="36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fixed income mutual funds.</w:t>
      </w:r>
    </w:p>
    <w:p>
      <w:pPr>
        <w:ind w:left="361" w:hanging="361"/>
        <w:spacing w:after="0"/>
        <w:tabs>
          <w:tab w:leader="none" w:pos="361"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676" w:right="699" w:bottom="1440" w:gutter="0" w:footer="0" w:header="0"/>
        </w:sectPr>
      </w:pPr>
    </w:p>
    <w:bookmarkStart w:id="11" w:name="page12"/>
    <w:bookmarkEnd w:id="11"/>
    <w:p>
      <w:pPr>
        <w:ind w:left="1"/>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March 31, 2021 and</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September 30, 2020:</w:t>
      </w:r>
    </w:p>
    <w:p>
      <w:pPr>
        <w:spacing w:after="0" w:line="102" w:lineRule="exact"/>
        <w:rPr>
          <w:sz w:val="20"/>
          <w:szCs w:val="20"/>
          <w:color w:val="auto"/>
        </w:rPr>
      </w:pPr>
    </w:p>
    <w:tbl>
      <w:tblPr>
        <w:tblLayout w:type="fixed"/>
        <w:tblInd w:w="41"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color w:val="auto"/>
                <w:w w:val="92"/>
              </w:rPr>
              <w:t>Adjusted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51"/>
              <w:spacing w:after="0"/>
              <w:rPr>
                <w:sz w:val="20"/>
                <w:szCs w:val="20"/>
                <w:color w:val="auto"/>
              </w:rPr>
            </w:pPr>
            <w:r>
              <w:rPr>
                <w:rFonts w:ascii="Arial" w:cs="Arial" w:eastAsia="Arial" w:hAnsi="Arial"/>
                <w:sz w:val="16"/>
                <w:szCs w:val="16"/>
                <w:color w:val="auto"/>
                <w:w w:val="94"/>
              </w:rPr>
              <w:t>Unrealized Gain</w:t>
            </w:r>
          </w:p>
        </w:tc>
        <w:tc>
          <w:tcPr>
            <w:tcW w:w="14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6"/>
                <w:szCs w:val="16"/>
                <w:color w:val="auto"/>
                <w:w w:val="94"/>
              </w:rPr>
              <w:t>Unrealized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71"/>
              <w:spacing w:after="0"/>
              <w:rPr>
                <w:sz w:val="20"/>
                <w:szCs w:val="20"/>
                <w:color w:val="auto"/>
              </w:rPr>
            </w:pPr>
            <w:r>
              <w:rPr>
                <w:rFonts w:ascii="Arial" w:cs="Arial" w:eastAsia="Arial" w:hAnsi="Arial"/>
                <w:sz w:val="16"/>
                <w:szCs w:val="16"/>
                <w:color w:val="auto"/>
                <w:w w:val="98"/>
              </w:rPr>
              <w:t>Fair Value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 of March 31, 2021</w:t>
            </w: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2020</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income mutual fund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 w:right="40"/>
        <w:spacing w:after="0" w:line="260" w:lineRule="auto"/>
        <w:rPr>
          <w:sz w:val="20"/>
          <w:szCs w:val="20"/>
          <w:color w:val="auto"/>
        </w:rPr>
      </w:pPr>
      <w:r>
        <w:rPr>
          <w:rFonts w:ascii="Arial" w:cs="Arial" w:eastAsia="Arial" w:hAnsi="Arial"/>
          <w:sz w:val="20"/>
          <w:szCs w:val="20"/>
          <w:color w:val="auto"/>
        </w:rPr>
        <w:t>The following table presents the investment income, net gains and losses realized and disbursements related to the investments within the portfolio for the three and six months ended March 31, 2021 and 2020.</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Six months ended</w:t>
            </w:r>
          </w:p>
        </w:tc>
        <w:tc>
          <w:tcPr>
            <w:tcW w:w="6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March 31</w:t>
            </w: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620" w:type="dxa"/>
            <w:vAlign w:val="bottom"/>
            <w:tcBorders>
              <w:bottom w:val="single" w:sz="8" w:color="auto"/>
            </w:tcBorders>
          </w:tcPr>
          <w:p>
            <w:pPr>
              <w:spacing w:after="0"/>
              <w:rPr>
                <w:sz w:val="20"/>
                <w:szCs w:val="20"/>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58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90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44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w:t>
            </w:r>
          </w:p>
        </w:tc>
        <w:tc>
          <w:tcPr>
            <w:tcW w:w="76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 xml:space="preserve">Net gains (losses) unrealized </w:t>
            </w:r>
            <w:r>
              <w:rPr>
                <w:rFonts w:ascii="Arial" w:cs="Arial" w:eastAsia="Arial" w:hAnsi="Arial"/>
                <w:sz w:val="14"/>
                <w:szCs w:val="14"/>
                <w:color w:val="auto"/>
              </w:rPr>
              <w:t>(a)</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bl>
    <w:p>
      <w:pPr>
        <w:spacing w:after="0" w:line="130" w:lineRule="exact"/>
        <w:rPr>
          <w:sz w:val="20"/>
          <w:szCs w:val="20"/>
          <w:color w:val="auto"/>
        </w:rPr>
      </w:pPr>
    </w:p>
    <w:p>
      <w:pPr>
        <w:jc w:val="both"/>
        <w:ind w:left="361" w:hanging="361"/>
        <w:spacing w:after="0" w:line="238" w:lineRule="auto"/>
        <w:tabs>
          <w:tab w:leader="none" w:pos="361" w:val="left"/>
        </w:tabs>
        <w:numPr>
          <w:ilvl w:val="0"/>
          <w:numId w:val="8"/>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first quarter of fiscal year 2019, the net unrealized gains and (losses) during the year ended September 30, 2019 and forward were recorded within the net interest and other expense caption in the Statements of Consolidated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-300355</wp:posOffset>
            </wp:positionV>
            <wp:extent cx="6626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1" w:right="40"/>
        <w:spacing w:after="0" w:line="255" w:lineRule="auto"/>
        <w:rPr>
          <w:sz w:val="20"/>
          <w:szCs w:val="20"/>
          <w:color w:val="auto"/>
        </w:rPr>
      </w:pPr>
      <w:r>
        <w:rPr>
          <w:rFonts w:ascii="Arial" w:cs="Arial" w:eastAsia="Arial" w:hAnsi="Arial"/>
          <w:sz w:val="19"/>
          <w:szCs w:val="19"/>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except for a contract entered into during the current quarter to manage the foreign currency exposure related to a potential acquisition, which is reported within the net income (loss) from acquisitions and divestitures caption. The impacts of these contracts were largely offset by gains and losses resulting from the impact of changes in exchange rates on transactions denominated in non-functional currencies. The following table summarizes the net gains and losses recognized during the three and six months ended March 31, 2021 and 2020 within the Statements of Consolidated Comprehensive Income (Loss).</w:t>
      </w:r>
    </w:p>
    <w:p>
      <w:pPr>
        <w:spacing w:after="0" w:line="8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Six months ended</w:t>
            </w:r>
          </w:p>
        </w:tc>
        <w:tc>
          <w:tcPr>
            <w:tcW w:w="6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March 31</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620" w:type="dxa"/>
            <w:vAlign w:val="bottom"/>
            <w:tcBorders>
              <w:bottom w:val="single" w:sz="8" w:color="auto"/>
            </w:tcBorders>
          </w:tcPr>
          <w:p>
            <w:pPr>
              <w:spacing w:after="0"/>
              <w:rPr>
                <w:sz w:val="20"/>
                <w:szCs w:val="20"/>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2021</w:t>
            </w: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2020</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Foreign currency derivative gains </w:t>
            </w:r>
            <w:r>
              <w:rPr>
                <w:rFonts w:ascii="Arial" w:cs="Arial" w:eastAsia="Arial" w:hAnsi="Arial"/>
                <w:sz w:val="14"/>
                <w:szCs w:val="14"/>
                <w:color w:val="auto"/>
              </w:rPr>
              <w:t>(a)</w:t>
            </w:r>
          </w:p>
        </w:tc>
        <w:tc>
          <w:tcPr>
            <w:tcW w:w="14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7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-149225</wp:posOffset>
            </wp:positionV>
            <wp:extent cx="662622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ind w:left="361" w:hanging="361"/>
        <w:spacing w:after="0" w:line="185" w:lineRule="auto"/>
        <w:tabs>
          <w:tab w:leader="none" w:pos="361" w:val="left"/>
        </w:tabs>
        <w:numPr>
          <w:ilvl w:val="0"/>
          <w:numId w:val="9"/>
        </w:numPr>
        <w:rPr>
          <w:rFonts w:ascii="Arial" w:cs="Arial" w:eastAsia="Arial" w:hAnsi="Arial"/>
          <w:sz w:val="25"/>
          <w:szCs w:val="25"/>
          <w:color w:val="auto"/>
          <w:vertAlign w:val="superscript"/>
        </w:rPr>
      </w:pPr>
      <w:r>
        <w:rPr>
          <w:rFonts w:ascii="Arial" w:cs="Arial" w:eastAsia="Arial" w:hAnsi="Arial"/>
          <w:sz w:val="13"/>
          <w:szCs w:val="13"/>
          <w:color w:val="auto"/>
        </w:rPr>
        <w:t>Includes a $3 million loss reported within the net income (loss) from acquisitions and divestitures caption for the three and six months ended March 31, 2021</w:t>
      </w:r>
      <w:r>
        <w:rPr>
          <w:rFonts w:ascii="Arial" w:cs="Arial" w:eastAsia="Arial" w:hAnsi="Arial"/>
          <w:sz w:val="15"/>
          <w:szCs w:val="15"/>
          <w:color w:val="auto"/>
        </w:rPr>
        <w:t>.</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1"/>
          </w:cols>
          <w:pgMar w:left="679" w:top="676" w:right="659" w:bottom="1440" w:gutter="0" w:footer="0" w:header="0"/>
        </w:sectPr>
      </w:pPr>
    </w:p>
    <w:bookmarkStart w:id="12" w:name="page13"/>
    <w:bookmarkEnd w:id="12"/>
    <w:p>
      <w:pPr>
        <w:jc w:val="both"/>
        <w:ind w:left="360"/>
        <w:spacing w:after="0" w:line="385" w:lineRule="auto"/>
        <w:rPr>
          <w:sz w:val="20"/>
          <w:szCs w:val="20"/>
          <w:color w:val="auto"/>
        </w:rPr>
      </w:pPr>
      <w:r>
        <w:rPr>
          <w:rFonts w:ascii="Arial" w:cs="Arial" w:eastAsia="Arial" w:hAnsi="Arial"/>
          <w:sz w:val="16"/>
          <w:szCs w:val="16"/>
          <w:color w:val="auto"/>
        </w:rPr>
        <w:t>The following table summarizes the fair values of the outstanding foreign currency derivatives as of March 31, 2021 and September 30, 2020 included in accounts receivable and accrued expenses and other liabilities of the Condensed Consolidated Balance Sheets.</w:t>
      </w: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March 31</w:t>
            </w:r>
          </w:p>
        </w:tc>
        <w:tc>
          <w:tcPr>
            <w:tcW w:w="5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180" w:type="dxa"/>
            <w:vAlign w:val="bottom"/>
          </w:tcPr>
          <w:p>
            <w:pPr>
              <w:jc w:val="right"/>
              <w:ind w:right="190"/>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180" w:type="dxa"/>
            <w:vAlign w:val="bottom"/>
            <w:tcBorders>
              <w:top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4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18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18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342</w:t>
            </w: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color w:val="auto"/>
        </w:rPr>
        <w:t>At March 31, 2021 and September 30, 2020, Ashland's long-term debt (including the current portion and excluding debt issuance cost discounts) had a carrying value of $1,588 million and $1,588 million, respectively, compared to a fair value of $1,712 million and $1,708 million, respectively. The fair values of long-term debt are based on quoted market prices or, if market prices are not available, the present values of the underlying cash flows discounted at Ashland’s incremental borrowing rates.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36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millions)</w:t>
            </w:r>
          </w:p>
        </w:tc>
        <w:tc>
          <w:tcPr>
            <w:tcW w:w="1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March 31, 2021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96"/>
              </w:rPr>
              <w:t>September 30, 2020</w:t>
            </w:r>
          </w:p>
        </w:tc>
      </w:tr>
      <w:tr>
        <w:trPr>
          <w:trHeight w:val="212"/>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196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319</w:t>
            </w:r>
          </w:p>
        </w:tc>
        <w:tc>
          <w:tcPr>
            <w:tcW w:w="4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w:t>
            </w: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Raw materials, supplies and work in process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193</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512</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529</w:t>
            </w: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68" w:right="69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360"/>
        <w:spacing w:after="0" w:line="259"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w:t>
      </w:r>
      <w:r>
        <w:rPr>
          <w:rFonts w:ascii="Arial" w:cs="Arial" w:eastAsia="Arial" w:hAnsi="Arial"/>
          <w:sz w:val="19"/>
          <w:szCs w:val="19"/>
          <w:color w:val="auto"/>
        </w:rPr>
        <w:t>o indicators of impairment were identified in the three and six months ended March 31, 2021.</w:t>
      </w:r>
    </w:p>
    <w:p>
      <w:pPr>
        <w:spacing w:after="0" w:line="119" w:lineRule="exact"/>
        <w:rPr>
          <w:sz w:val="20"/>
          <w:szCs w:val="20"/>
          <w:color w:val="auto"/>
        </w:rPr>
      </w:pPr>
    </w:p>
    <w:p>
      <w:pPr>
        <w:jc w:val="both"/>
        <w:ind w:left="360"/>
        <w:spacing w:after="0" w:line="244" w:lineRule="auto"/>
        <w:rPr>
          <w:sz w:val="20"/>
          <w:szCs w:val="20"/>
          <w:color w:val="auto"/>
        </w:rPr>
      </w:pPr>
      <w:r>
        <w:rPr>
          <w:rFonts w:ascii="Arial" w:cs="Arial" w:eastAsia="Arial" w:hAnsi="Arial"/>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86"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During the second quarter of fiscal 2020, Ashland realigned its operations into five reportable segments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and Intermediates and Solvents. Prior to the business realignment, the reporting units consisted of Ashland Specialty Ingredients and Intermediates and Solvents. The Ashland Specialty Ingredients reporting unit contained all of Ashland’s reported goodwill at September 30, 2019.</w:t>
      </w:r>
    </w:p>
    <w:p>
      <w:pPr>
        <w:spacing w:after="0" w:line="88"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color w:val="auto"/>
        </w:rPr>
        <w:t>In conjunction with the realignment, Ashland tested goodwill for impairment for each reporting unit both immediately before and immediately after the business realignment. The fair values of the reporting units were determined using a combination of discounted cash flow models and valuations based on earnings multiples for guideline public companies in each reporting unit’s industry peer group. Significant assumptions inherent in the valuation methodologies include estimates of future projected business results (principally revenue and EBITDA), long-term growth rates, and the weighted-average cost of capital.</w:t>
      </w:r>
    </w:p>
    <w:p>
      <w:pPr>
        <w:spacing w:after="0" w:line="57"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The goodwill impairment test under the former reporting unit structure concluded that no impairment existed at the remeasurement date. Ashland then allocated goodwill to the new reporting unit structure using a relative fair value approach and re-assessed goodwill for impairment for each of its new reporting units. The impairment test under the new reporting unit structure concluded that the carrying value of the Personal Care &amp; Household and the Specialty Additives reporting units exceeded their fair value, resulting in a non-cash goodwill impairment charge of $530 million, which was recorded within the Goodwill impairment caption within the Statement of Consolidated Comprehensive Income (Loss) for the three and six months ended March 31, 2020. The Personal Care &amp; Household goodwill impairment charge was due in large part to lower growth and lower margins since the acquisition of the Oral Care and Avoca businesses, which collectively have resulted in reduced cash flow projections. The Specialty Additives goodwill impairment charge was also due in large part to lower growth and lower margins within the global construction and energy markets, which collectively have resulted in reduced cash flow projections.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is a progression of goodwill by reportable segment for the six months ended March 31, 2021.</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Life</w:t>
            </w:r>
          </w:p>
        </w:tc>
        <w:tc>
          <w:tcPr>
            <w:tcW w:w="11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Personal Care</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0"/>
              </w:rPr>
              <w:t>Specialty</w:t>
            </w:r>
          </w:p>
        </w:tc>
        <w:tc>
          <w:tcPr>
            <w:tcW w:w="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Performance</w:t>
            </w:r>
          </w:p>
        </w:tc>
        <w:tc>
          <w:tcPr>
            <w:tcW w:w="11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1"/>
              </w:rPr>
              <w:t>Intermediates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7"/>
              </w:rPr>
              <w:t>Sciences</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&amp; Household</w:t>
            </w:r>
          </w:p>
        </w:tc>
        <w:tc>
          <w:tcPr>
            <w:tcW w:w="3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color w:val="auto"/>
              </w:rPr>
              <w:t>(a)</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Additives</w:t>
            </w:r>
          </w:p>
        </w:tc>
        <w:tc>
          <w:tcPr>
            <w:tcW w:w="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color w:val="auto"/>
              </w:rPr>
              <w:t>(a)</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Adhesives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and Solvents</w:t>
            </w:r>
          </w:p>
        </w:tc>
        <w:tc>
          <w:tcPr>
            <w:tcW w:w="42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color w:val="auto"/>
              </w:rPr>
              <w:t>(a)</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Balance at September 30, 2020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1,758</w:t>
            </w:r>
          </w:p>
        </w:tc>
      </w:tr>
      <w:tr>
        <w:trPr>
          <w:trHeight w:val="230"/>
        </w:trPr>
        <w:tc>
          <w:tcPr>
            <w:tcW w:w="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1,760</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626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62" w:right="699" w:bottom="1440" w:gutter="0" w:footer="0" w:header="0"/>
        </w:sectPr>
      </w:pPr>
    </w:p>
    <w:bookmarkStart w:id="14" w:name="page15"/>
    <w:bookmarkEnd w:id="14"/>
    <w:p>
      <w:pPr>
        <w:ind w:left="360"/>
        <w:spacing w:after="0" w:line="253" w:lineRule="auto"/>
        <w:rPr>
          <w:sz w:val="20"/>
          <w:szCs w:val="20"/>
          <w:color w:val="auto"/>
        </w:rPr>
      </w:pPr>
      <w:r>
        <w:rPr>
          <w:rFonts w:ascii="Arial" w:cs="Arial" w:eastAsia="Arial" w:hAnsi="Arial"/>
          <w:sz w:val="14"/>
          <w:szCs w:val="14"/>
          <w:color w:val="auto"/>
        </w:rPr>
        <w:t>As of March 31, 2021 and September 30, 2020, there were accumulated impairments of $356 million, $174 million and $90 million related to the Personal Care &amp; Household, Specialty Additives and Intermediates and Solvents reportable segments,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Trademarks and trade names are valued using a “relief-from-royalty” valuation method compared to the carrying value. No indicators of impairment were identified in the three and six months ended March 31, 2021.</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a result of the business realignment executed during the second quarter of fiscal 2020, Ashland tested its indefinite-lived tangible assets for impairment and found no indicators of impairment.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were comprised of the following as of March 31, 2021 and September 30, 2020.</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March 31, 2021</w:t>
            </w:r>
          </w:p>
        </w:tc>
        <w:tc>
          <w:tcPr>
            <w:tcW w:w="2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1,824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September 30, 2020</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center"/>
              <w:ind w:left="454"/>
              <w:spacing w:after="0"/>
              <w:rPr>
                <w:sz w:val="20"/>
                <w:szCs w:val="20"/>
                <w:color w:val="auto"/>
              </w:rPr>
            </w:pPr>
            <w:r>
              <w:rPr>
                <w:rFonts w:ascii="Arial" w:cs="Arial" w:eastAsia="Arial" w:hAnsi="Arial"/>
                <w:sz w:val="18"/>
                <w:szCs w:val="18"/>
                <w:color w:val="auto"/>
                <w:w w:val="93"/>
              </w:rPr>
              <w:t>carrying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center"/>
              <w:ind w:right="410"/>
              <w:spacing w:after="0"/>
              <w:rPr>
                <w:sz w:val="20"/>
                <w:szCs w:val="20"/>
                <w:color w:val="auto"/>
              </w:rPr>
            </w:pPr>
            <w:r>
              <w:rPr>
                <w:rFonts w:ascii="Arial" w:cs="Arial" w:eastAsia="Arial" w:hAnsi="Arial"/>
                <w:sz w:val="18"/>
                <w:szCs w:val="18"/>
                <w:color w:val="auto"/>
                <w:w w:val="93"/>
              </w:rPr>
              <w:t>carrying</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1420" w:type="dxa"/>
            <w:vAlign w:val="bottom"/>
          </w:tcPr>
          <w:p>
            <w:pPr>
              <w:jc w:val="center"/>
              <w:ind w:left="474"/>
              <w:spacing w:after="0"/>
              <w:rPr>
                <w:sz w:val="20"/>
                <w:szCs w:val="20"/>
                <w:color w:val="auto"/>
              </w:rPr>
            </w:pPr>
            <w:r>
              <w:rPr>
                <w:rFonts w:ascii="Arial" w:cs="Arial" w:eastAsia="Arial" w:hAnsi="Arial"/>
                <w:sz w:val="18"/>
                <w:szCs w:val="18"/>
                <w:color w:val="auto"/>
                <w:w w:val="89"/>
              </w:rPr>
              <w:t>amount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1940" w:type="dxa"/>
            <w:vAlign w:val="bottom"/>
            <w:gridSpan w:val="2"/>
          </w:tcPr>
          <w:p>
            <w:pPr>
              <w:jc w:val="right"/>
              <w:ind w:right="125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Customer and supplier relationships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5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5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Amortization expense recognized on intangible assets was $22 million and $21 million for the three months ended March 31, 2021 and 2020, respectively, and $43 million and $42 million for the six months ended March 31, 2021 and 2020, respectively, and is included in the Intangibles Amortization Expense caption of the Statements of Consolidated Comprehensive Income (Loss). Estimated amortization expense for future periods is $87 million in 2021 (includes six months actual and six months estimated), $86 million in 2022, $86 million in 2023, $72 million in 2024 and $70 million in 2025. Actual amounts may change from such estimated amounts due to fluctuations in foreign currency exchange rates, additional intangible asset acquisitions and divestitures, potential impairment, accelerated amortization, or other events.</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680" w:top="350" w:right="67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NOTE H – DEBT AND OTHER FINANCING ACTIVITIES</w:t>
      </w:r>
    </w:p>
    <w:p>
      <w:pPr>
        <w:spacing w:after="0" w:line="114"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March 31, 2021</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September 30, 2020</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34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c>
          <w:tcPr>
            <w:tcW w:w="48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2.00% Senior Notes, due 2028 (Euro 500 million principal)</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587</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Term loan A</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2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1,853</w:t>
            </w:r>
          </w:p>
        </w:tc>
      </w:tr>
      <w:tr>
        <w:trPr>
          <w:trHeight w:val="229"/>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9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1,571</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1,573</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720" w:hanging="361"/>
        <w:spacing w:after="0" w:line="313"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$14 million and $15 million of debt issuance cost discounts as of March 31, 2021 and September 30, 2020, respectively. Additionally, as of both March 31, 2021 and September 30, 2020, Other includes a European short-term loan facility with an outstanding balance of $23 million.</w:t>
      </w:r>
    </w:p>
    <w:p>
      <w:pPr>
        <w:spacing w:after="0" w:line="5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March 31, 2021: zero remaining in 2021, $421 million in 2022, $22 million in 2023, $44 million in 2024 and $175 million in 2025.</w:t>
      </w:r>
    </w:p>
    <w:p>
      <w:pPr>
        <w:spacing w:after="0" w:line="72" w:lineRule="exact"/>
        <w:rPr>
          <w:sz w:val="20"/>
          <w:szCs w:val="20"/>
          <w:color w:val="auto"/>
        </w:rPr>
      </w:pPr>
    </w:p>
    <w:p>
      <w:pPr>
        <w:ind w:left="360" w:right="4740"/>
        <w:spacing w:after="0" w:line="355" w:lineRule="auto"/>
        <w:rPr>
          <w:sz w:val="20"/>
          <w:szCs w:val="20"/>
          <w:color w:val="auto"/>
        </w:rPr>
      </w:pPr>
      <w:r>
        <w:rPr>
          <w:rFonts w:ascii="Arial" w:cs="Arial" w:eastAsia="Arial" w:hAnsi="Arial"/>
          <w:sz w:val="20"/>
          <w:szCs w:val="20"/>
          <w:b w:val="1"/>
          <w:bCs w:val="1"/>
          <w:color w:val="auto"/>
        </w:rPr>
        <w:t xml:space="preserve">Accounts Receivable Facilities and Off-Balance Sheet Arrangements </w:t>
      </w:r>
      <w:r>
        <w:rPr>
          <w:rFonts w:ascii="Arial" w:cs="Arial" w:eastAsia="Arial" w:hAnsi="Arial"/>
          <w:sz w:val="20"/>
          <w:szCs w:val="20"/>
          <w:i w:val="1"/>
          <w:iCs w:val="1"/>
          <w:color w:val="auto"/>
        </w:rPr>
        <w:t>U.S. Accounts Receivable Securitization Facility</w:t>
      </w:r>
    </w:p>
    <w:p>
      <w:pPr>
        <w:spacing w:after="0" w:line="1"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On March 17, 2021, Ashland terminated its U.S. 2012 Accounts Receivable Securitization Facility. The program had no outstanding borrowings at its termination. This program did not meet the criteria for sale accounting and was reported as secured borrowing under ASC 860. At September 30, 2020, the outstanding amount of accounts receivable pledged was $151 million and borrowings under the facility totaled $84 million.</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U.S. Accounts Receivable Sales Program</w:t>
      </w:r>
    </w:p>
    <w:p>
      <w:pPr>
        <w:spacing w:after="0" w:line="108"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On March 17, 2021, Ashland entered, through a wholly-owned, bankruptcy-remote consolidated special purpose entity (SPE), into an agreement with a group of entities (buyers) to sell certain trade receivables, without recourse beyond the pledged receivables, of two U.S. based Ashland subsidiaries. Under the agreement, Ashland can transfer whole receivables up to a limit established by the buyer, which is currently set at $125 million between February and October of each year and up to $100 million all other times. Ashland’s continuing involvement is limited to servicing the receivables, including billing, collections and remittance of payments to the buyers as well as a limited guarantee on over-collateralization. The arrangement terminates on May 31, 2023, unless terminated earlier pursuant to the terms of the agreement.</w:t>
      </w:r>
    </w:p>
    <w:p>
      <w:pPr>
        <w:spacing w:after="0" w:line="77"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Ashland determined that any receivables transferred under this agreement are put presumptively beyond the reach of Ashland and its creditors, even in bankruptcy or other receivership. Ashland received a true sale at law and non-consolidation opinions from an independent qualified legal advisor to support the legal isolation of these receivables. Consequently, Ashland accounts for the receivables transferred to buyers as part of this agreement as sales under ASC 860. Ashland recognizes any gains or losses based on the excess of proceeds received net of buyer’s discounts and fees compared to the carrying value of the assets. Proceeds received, net of buyer’s discounts and fees, are recorded within the operating activities of the Statement of Condensed Consolidated Cash Flows. Losses on sale of assets, including related transaction expenses are recorded within the Net Interest and Other Costs caption of the Statement of Consolidated Comprehensive Income.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1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62" w:right="699" w:bottom="1440" w:gutter="0" w:footer="0" w:header="0"/>
        </w:sectPr>
      </w:pPr>
    </w:p>
    <w:bookmarkStart w:id="16" w:name="page17"/>
    <w:bookmarkEnd w:id="16"/>
    <w:p>
      <w:pPr>
        <w:jc w:val="both"/>
        <w:spacing w:after="0" w:line="244" w:lineRule="auto"/>
        <w:rPr>
          <w:sz w:val="20"/>
          <w:szCs w:val="20"/>
          <w:color w:val="auto"/>
        </w:rPr>
      </w:pPr>
      <w:r>
        <w:rPr>
          <w:rFonts w:ascii="Arial" w:cs="Arial" w:eastAsia="Arial" w:hAnsi="Arial"/>
          <w:sz w:val="20"/>
          <w:szCs w:val="20"/>
          <w:color w:val="auto"/>
        </w:rPr>
        <w:t>Through March 31, 2021, Ashland has not sold any receivables under this agreement. Accordingly, Ashland did not recognize any gains or losses within its Statement of Consolidated Comprehensive Income for the six months ended March 31, 2021. Ashland has recorded no sales against the buyer’s limit, which was $107 million at March 31, 2021. Ashland transferred $130 million in receivables to the SPE as of March 31, 2021. Ashland did not record any assets or liabilities related to its service obligations and limited guarantee as of March 31, 2021 as no sales have occurred.</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Accounts Receivable Securitization Facility</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At March 31, 2021 and September 30, 2020, the outstanding amount of accounts receivable transferred by Ashland was $91 million and $131 million, respectively, and there were $62 million and $93 million, respectively, of borrowings (denominated in multiple currencies) under the facility.</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Agreement and Refinancing</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January 2020, Ashland LLC and Ashland Services B.V., indirect wholly owned subsidiaries of Ashland, entered into a senior unsecured credit agreement (the 2020 Credit Agreement) with a group of lenders. The 2020 Credit Agreement provides for (i) a $600 million unsecured five-year revolving credit facility (the Revolving Credit Facility) and (ii) a $250 million unsecured five-year term loan facility (the 2020 Term Loan Facility).</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Ashland incurred $4 million of new debt issuance costs in connection with the 2020 Credit Agreement, of which $1 million was expensed immediately during the three and six months ended March 31, 2020 within the net interest and other expense caption of the Statements of Consolidated Comprehensive Income (Loss). The remaining balance is amortized using either the effective interest method or straight-line method. Additionally, as a result of the termination of the 2017 Credit Agreement, Ashland recognized a $1 million charge for the accelerated amortization of previously capitalized debt issuance costs during the three and six months ended March 31, 2020, which is included in the net interest and other expense caption of the Statements of Consolidated Comprehensive Income (Loss).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Note Issuance and existing notes tender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January 2020, a subsidiary of Ashland, Ashland Services B.V., completed the issuance of 2.00% senior unsecured notes due 2028 with an aggregate principal amount of €500 million (the 2028 Notes).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incurred $8 million of new debt issuance costs in connection with the 2028 Notes, which is amortized using the effective interest method over the Notes’ term.</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Tender offers of 4.750% notes due 2022</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three and six months ended March 31, 2020, Ashland executed open market repurchases of its 4.750% notes due 2022 (the 2022 Notes). As a result of these repurchases, the carrying values of the 2022 notes were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 for the three and six months ended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Tender offers of 6.875% notes due 2043</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three and six months ended March 31, 2020, Ashland executed open market repurchases of its 6.875% notes due 2043 (the 2043 Notes). As a result of these repurchases, the carrying values of the 2043 notes were reduced by $92 million. Ashland recognized a $1 million charge related to accelerated accretion on debt premiums and accelerated amortization previously capitalized debt issuance costs, which is included in the net interest and other expense caption of the Statements of Consolidated Comprehensive Income (Loss) for the three and six months ended March 31,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60" w:right="699" w:bottom="1440" w:gutter="0" w:footer="0" w:header="0"/>
        </w:sectPr>
      </w:pPr>
    </w:p>
    <w:bookmarkStart w:id="17" w:name="page18"/>
    <w:bookmarkEnd w:id="17"/>
    <w:p>
      <w:pPr>
        <w:ind w:left="360"/>
        <w:spacing w:after="0"/>
        <w:rPr>
          <w:sz w:val="20"/>
          <w:szCs w:val="20"/>
          <w:color w:val="auto"/>
        </w:rPr>
      </w:pPr>
      <w:r>
        <w:rPr>
          <w:rFonts w:ascii="Arial" w:cs="Arial" w:eastAsia="Arial" w:hAnsi="Arial"/>
          <w:sz w:val="20"/>
          <w:szCs w:val="20"/>
          <w:i w:val="1"/>
          <w:iCs w:val="1"/>
          <w:color w:val="auto"/>
        </w:rPr>
        <w:t>Tender offers of 6.500% Junior Subordinated Debentures due 2029</w:t>
      </w:r>
    </w:p>
    <w:p>
      <w:pPr>
        <w:spacing w:after="0" w:line="108"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During the three and six months ended March 31, 2020, Ashland executed open market repurchases of Hercules LLC’s 6.500% notes due 2029 (the 2029 Junior Debentures). As a result of these repurchases, the carrying values of the 2029 Junior Debentures were reduced by $2 million.</w:t>
      </w:r>
    </w:p>
    <w:p>
      <w:pPr>
        <w:spacing w:after="0" w:line="78" w:lineRule="exact"/>
        <w:rPr>
          <w:sz w:val="20"/>
          <w:szCs w:val="20"/>
          <w:color w:val="auto"/>
        </w:rPr>
      </w:pPr>
    </w:p>
    <w:p>
      <w:pPr>
        <w:jc w:val="both"/>
        <w:ind w:left="360" w:right="360"/>
        <w:spacing w:after="0" w:line="316" w:lineRule="auto"/>
        <w:rPr>
          <w:sz w:val="20"/>
          <w:szCs w:val="20"/>
          <w:color w:val="auto"/>
        </w:rPr>
      </w:pPr>
      <w:r>
        <w:rPr>
          <w:rFonts w:ascii="Arial" w:cs="Arial" w:eastAsia="Arial" w:hAnsi="Arial"/>
          <w:sz w:val="18"/>
          <w:szCs w:val="18"/>
          <w:color w:val="auto"/>
        </w:rPr>
        <w:t>Total premiums paid for all tender offers noted above were $59 million, which is in included in the net interest and other expenses caption of the Statements of Consolidated Comprehensive Income (Loss) for the three and six months ended March 31, 2020.</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Available borrowing capacity and liquidity</w:t>
      </w:r>
    </w:p>
    <w:p>
      <w:pPr>
        <w:spacing w:after="0" w:line="114" w:lineRule="exact"/>
        <w:rPr>
          <w:sz w:val="20"/>
          <w:szCs w:val="20"/>
          <w:color w:val="auto"/>
        </w:rPr>
      </w:pPr>
    </w:p>
    <w:p>
      <w:pPr>
        <w:jc w:val="both"/>
        <w:ind w:left="360" w:right="360"/>
        <w:spacing w:after="0" w:line="291" w:lineRule="auto"/>
        <w:rPr>
          <w:sz w:val="20"/>
          <w:szCs w:val="20"/>
          <w:color w:val="auto"/>
        </w:rPr>
      </w:pPr>
      <w:r>
        <w:rPr>
          <w:rFonts w:ascii="Arial" w:cs="Arial" w:eastAsia="Arial" w:hAnsi="Arial"/>
          <w:sz w:val="18"/>
          <w:szCs w:val="18"/>
          <w:color w:val="auto"/>
        </w:rPr>
        <w:t>The borrowing capacity remaining under the 2020 $600 million Revolving Credit Facility was $581 million due to a reduction of $19 million for letters of credit outstanding as of March 31, 2021. Ashland's total borrowing capacity at March 31, 2021 was $610 million, which included $29 million of available capacity from the foreign 2018 Accounts Receivable Securitization Facility.</w:t>
      </w:r>
    </w:p>
    <w:p>
      <w:pPr>
        <w:spacing w:after="0" w:line="44" w:lineRule="exact"/>
        <w:rPr>
          <w:sz w:val="20"/>
          <w:szCs w:val="20"/>
          <w:color w:val="auto"/>
        </w:rPr>
      </w:pPr>
    </w:p>
    <w:p>
      <w:pPr>
        <w:ind w:left="360" w:right="1540"/>
        <w:spacing w:after="0" w:line="352" w:lineRule="auto"/>
        <w:rPr>
          <w:sz w:val="20"/>
          <w:szCs w:val="20"/>
          <w:color w:val="auto"/>
        </w:rPr>
      </w:pPr>
      <w:r>
        <w:rPr>
          <w:rFonts w:ascii="Arial" w:cs="Arial" w:eastAsia="Arial" w:hAnsi="Arial"/>
          <w:sz w:val="20"/>
          <w:szCs w:val="20"/>
          <w:color w:val="auto"/>
        </w:rPr>
        <w:t xml:space="preserve">Additionally, Ashland has $107 million available liquidity under its current U.S. Accounts Receivable Sales Program. </w:t>
      </w:r>
      <w:r>
        <w:rPr>
          <w:rFonts w:ascii="Arial" w:cs="Arial" w:eastAsia="Arial" w:hAnsi="Arial"/>
          <w:sz w:val="20"/>
          <w:szCs w:val="20"/>
          <w:b w:val="1"/>
          <w:bCs w:val="1"/>
          <w:color w:val="auto"/>
        </w:rPr>
        <w:t>Covenants related to current Ashland debt agreements</w:t>
      </w:r>
    </w:p>
    <w:p>
      <w:pPr>
        <w:jc w:val="both"/>
        <w:ind w:left="360" w:right="36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2021, Ashland is in compliance with all debt agreement covenant restrictions.</w:t>
      </w:r>
    </w:p>
    <w:p>
      <w:pPr>
        <w:spacing w:after="0" w:line="6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2020 Credit Agreement) is 4.0. At March 31, 2021, Ashland’s calculation of the consolidated net leverage ratio was 2.4.</w:t>
      </w:r>
    </w:p>
    <w:p>
      <w:pPr>
        <w:spacing w:after="0" w:line="69"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minimum required consolidated interest coverage ratio under the 2020 Credit Agreement during its entire duration is 3.0. At March 31, 2021, Ashland’s calculation of the interest coverage ratio was 8.1.</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jc w:val="both"/>
        <w:ind w:left="360" w:right="360"/>
        <w:spacing w:after="0" w:line="278" w:lineRule="auto"/>
        <w:rPr>
          <w:sz w:val="20"/>
          <w:szCs w:val="20"/>
          <w:color w:val="auto"/>
        </w:rPr>
      </w:pPr>
      <w:r>
        <w:rPr>
          <w:rFonts w:ascii="Arial" w:cs="Arial" w:eastAsia="Arial" w:hAnsi="Arial"/>
          <w:sz w:val="18"/>
          <w:szCs w:val="18"/>
          <w:color w:val="auto"/>
        </w:rPr>
        <w:t>Ashland determines if an arrangement is or contains a lease at contract inception and determines its classification as an operating or finance lease at lease commencement. Ashland leases certain office buildings, transportation equipment, warehouses and storage facilities, and equipment. All of Ashland’s leases are operating leases. Real estate leases represent approximately 90% of the total lease liability. Operating lease assets and obligations are reflected within operating lease assets, net; current operating lease obligations; and non-current operating lease obligations captions on the Condensed Consolidated Balance Sheets.</w:t>
      </w:r>
    </w:p>
    <w:p>
      <w:pPr>
        <w:spacing w:after="0" w:line="57"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Lease expense for these leases is recognized on a straight-line basis over the lease term, with variable lease payments recognized in the period those payments are incurred. The components of lease cost recognized within our Statements of Consolidated Comprehensive Income (Loss)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Six months ended</w:t>
            </w:r>
          </w:p>
        </w:tc>
        <w:tc>
          <w:tcPr>
            <w:tcW w:w="4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3"/>
              </w:rPr>
              <w:t>March 31</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0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Lease cost:</w:t>
            </w:r>
          </w:p>
        </w:tc>
        <w:tc>
          <w:tcPr>
            <w:tcW w:w="3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Selling, General &amp; Administrative</w:t>
            </w:r>
          </w:p>
        </w:tc>
        <w:tc>
          <w:tcPr>
            <w:tcW w:w="9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Operating lease cost</w:t>
            </w:r>
          </w:p>
        </w:tc>
        <w:tc>
          <w:tcPr>
            <w:tcW w:w="3080" w:type="dxa"/>
            <w:vAlign w:val="bottom"/>
          </w:tcPr>
          <w:p>
            <w:pPr>
              <w:ind w:left="320"/>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Selling, General &amp; Administrative</w:t>
            </w: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Variable lease cost</w:t>
            </w:r>
          </w:p>
        </w:tc>
        <w:tc>
          <w:tcPr>
            <w:tcW w:w="3080" w:type="dxa"/>
            <w:vAlign w:val="bottom"/>
          </w:tcPr>
          <w:p>
            <w:pPr>
              <w:ind w:left="320"/>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leases</w:t>
            </w:r>
          </w:p>
        </w:tc>
        <w:tc>
          <w:tcPr>
            <w:tcW w:w="3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Cost of Sales</w:t>
            </w:r>
          </w:p>
        </w:tc>
        <w:tc>
          <w:tcPr>
            <w:tcW w:w="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3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8" w:name="page19"/>
    <w:bookmarkEnd w:id="18"/>
    <w:p>
      <w:pPr>
        <w:ind w:left="360"/>
        <w:spacing w:after="0"/>
        <w:rPr>
          <w:sz w:val="20"/>
          <w:szCs w:val="20"/>
          <w:color w:val="auto"/>
        </w:rPr>
      </w:pPr>
      <w:r>
        <w:rPr>
          <w:rFonts w:ascii="Arial" w:cs="Arial" w:eastAsia="Arial" w:hAnsi="Arial"/>
          <w:sz w:val="18"/>
          <w:szCs w:val="18"/>
          <w:color w:val="auto"/>
        </w:rPr>
        <w:t>The following table summarizes Ashland’s lease assets and liabilities as presented in the Condensed Consolidated Balance Sheet:</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4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5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March 31, 2021</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4"/>
              </w:rPr>
              <w:t>September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1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assets</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Current operating lease obligations</w:t>
            </w:r>
          </w:p>
        </w:tc>
        <w:tc>
          <w:tcPr>
            <w:tcW w:w="1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obligations</w:t>
            </w:r>
          </w:p>
        </w:tc>
        <w:tc>
          <w:tcPr>
            <w:tcW w:w="15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left="360" w:right="360"/>
        <w:spacing w:after="0" w:line="278" w:lineRule="auto"/>
        <w:rPr>
          <w:sz w:val="20"/>
          <w:szCs w:val="20"/>
          <w:color w:val="auto"/>
        </w:rPr>
      </w:pPr>
      <w:r>
        <w:rPr>
          <w:rFonts w:ascii="Arial" w:cs="Arial" w:eastAsia="Arial" w:hAnsi="Arial"/>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March 31, 2021 and September 30, 2020 was approximately 15 years for each period.</w:t>
      </w:r>
    </w:p>
    <w:p>
      <w:pPr>
        <w:spacing w:after="0" w:line="57" w:lineRule="exact"/>
        <w:rPr>
          <w:sz w:val="20"/>
          <w:szCs w:val="20"/>
          <w:color w:val="auto"/>
        </w:rPr>
      </w:pPr>
    </w:p>
    <w:p>
      <w:pPr>
        <w:jc w:val="both"/>
        <w:ind w:left="360" w:right="360"/>
        <w:spacing w:after="0" w:line="256" w:lineRule="auto"/>
        <w:rPr>
          <w:sz w:val="20"/>
          <w:szCs w:val="20"/>
          <w:color w:val="auto"/>
        </w:rPr>
      </w:pPr>
      <w:r>
        <w:rPr>
          <w:rFonts w:ascii="Arial" w:cs="Arial" w:eastAsia="Arial" w:hAnsi="Arial"/>
          <w:sz w:val="19"/>
          <w:szCs w:val="19"/>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March 31, 2021 and September 30, 2020 was 3.1% and 2.9%, respectively. There are no leases that have not yet commenced but that create significant rights and obligations for Ashland.</w:t>
      </w:r>
    </w:p>
    <w:p>
      <w:pPr>
        <w:spacing w:after="0" w:line="76" w:lineRule="exact"/>
        <w:rPr>
          <w:sz w:val="20"/>
          <w:szCs w:val="20"/>
          <w:color w:val="auto"/>
        </w:rPr>
      </w:pPr>
    </w:p>
    <w:p>
      <w:pPr>
        <w:jc w:val="both"/>
        <w:ind w:left="360" w:right="360"/>
        <w:spacing w:after="0" w:line="287" w:lineRule="auto"/>
        <w:rPr>
          <w:sz w:val="20"/>
          <w:szCs w:val="20"/>
          <w:color w:val="auto"/>
        </w:rPr>
      </w:pPr>
      <w:r>
        <w:rPr>
          <w:rFonts w:ascii="Arial" w:cs="Arial" w:eastAsia="Arial" w:hAnsi="Arial"/>
          <w:sz w:val="19"/>
          <w:szCs w:val="19"/>
          <w:color w:val="auto"/>
        </w:rPr>
        <w:t>Right-of-use assets exchanged for new operating lease obligations were $6 million and $1 million for the three months ended March 31, 2021 and 2020, respectively, and $10 million and $2 million for the six months ended March 31, 2021 and 2020.</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Cash paid for amounts included in the measurement of operating lease liabilities:</w:t>
      </w:r>
    </w:p>
    <w:p>
      <w:pPr>
        <w:spacing w:after="0" w:line="22"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Six months ended</w:t>
            </w:r>
          </w:p>
        </w:tc>
        <w:tc>
          <w:tcPr>
            <w:tcW w:w="56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4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Maturity Analysis of Lease Liabilities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Maturities of lease liabilities are shown below as of March 31, 2021 and September 30,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1"/>
              <w:spacing w:after="0"/>
              <w:rPr>
                <w:sz w:val="20"/>
                <w:szCs w:val="20"/>
                <w:color w:val="auto"/>
              </w:rPr>
            </w:pPr>
            <w:r>
              <w:rPr>
                <w:rFonts w:ascii="Arial" w:cs="Arial" w:eastAsia="Arial" w:hAnsi="Arial"/>
                <w:sz w:val="18"/>
                <w:szCs w:val="18"/>
                <w:color w:val="auto"/>
              </w:rPr>
              <w:t>March 31,</w:t>
            </w: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September 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3980" w:type="dxa"/>
            <w:vAlign w:val="bottom"/>
            <w:gridSpan w:val="3"/>
          </w:tcPr>
          <w:p>
            <w:pPr>
              <w:jc w:val="right"/>
              <w:ind w:right="241"/>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2022</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2024</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3980" w:type="dxa"/>
            <w:vAlign w:val="bottom"/>
            <w:gridSpan w:val="3"/>
          </w:tcPr>
          <w:p>
            <w:pPr>
              <w:jc w:val="right"/>
              <w:ind w:right="1281"/>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4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 of lease payment representing interest</w:t>
            </w:r>
          </w:p>
        </w:tc>
        <w:tc>
          <w:tcPr>
            <w:tcW w:w="23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2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60" w:type="dxa"/>
            <w:vAlign w:val="bottom"/>
            <w:vMerge w:val="restart"/>
          </w:tcPr>
          <w:p>
            <w:pPr>
              <w:jc w:val="right"/>
              <w:ind w:right="137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NOTE J – INCOME TAXES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360"/>
        <w:spacing w:after="0" w:line="316" w:lineRule="auto"/>
        <w:rPr>
          <w:sz w:val="20"/>
          <w:szCs w:val="20"/>
          <w:color w:val="auto"/>
        </w:rPr>
      </w:pPr>
      <w:r>
        <w:rPr>
          <w:rFonts w:ascii="Arial" w:cs="Arial" w:eastAsia="Arial" w:hAnsi="Arial"/>
          <w:sz w:val="18"/>
          <w:szCs w:val="18"/>
          <w:color w:val="auto"/>
        </w:rPr>
        <w:t>Ashland’s effective tax rate in any interim period is subject to adjustments related to discrete items and the mix of domestic and foreign operating results. The overall effective tax rate was zero percent for the three and six months ended March 31, 2021.</w:t>
      </w:r>
    </w:p>
    <w:p>
      <w:pPr>
        <w:spacing w:after="0" w:line="22"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The current quarter tax rate was impacted by jurisdictional income mix, as well as $7 million from favorable tax discrete items primarily related to uncertain tax positions. The current six months tax rate was impacted by $20 million from favorable tax discrete items primarily related to the Specialty Additives facility sale and uncertain tax positions.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The overall effective tax rate was a benefit of 2% for the three months ended March 31, 2020 and 6% for the six months ended March 31, 2020. The quarter tax rate was impacted by nondeductible goodwill impairment of $527 million of the $530 million charge taken during the quarter. The six months period was impacted by the nondeductible goodwill impairment and a favorable tax discrete item from the tax benefit related to the Swiss Tax Reform.</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Changes in unrecognized tax benefits are summarized as follows for the six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2020</w:t>
            </w:r>
          </w:p>
        </w:tc>
        <w:tc>
          <w:tcPr>
            <w:tcW w:w="1000" w:type="dxa"/>
            <w:vAlign w:val="bottom"/>
            <w:tcBorders>
              <w:top w:val="single" w:sz="8" w:color="auto"/>
            </w:tcBorders>
            <w:gridSpan w:val="2"/>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171</w:t>
            </w: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36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$40 million and $50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 xml:space="preserve">For the six months ended March 31, 2021, Ashland contributed $4 million to its non-U.S. pension plans and </w:t>
      </w:r>
      <w:r>
        <w:rPr>
          <w:rFonts w:ascii="Arial" w:cs="Arial" w:eastAsia="Arial" w:hAnsi="Arial"/>
          <w:sz w:val="17"/>
          <w:szCs w:val="17"/>
          <w:color w:val="auto"/>
        </w:rPr>
        <w:t>zero</w:t>
      </w:r>
      <w:r>
        <w:rPr>
          <w:rFonts w:ascii="Arial" w:cs="Arial" w:eastAsia="Arial" w:hAnsi="Arial"/>
          <w:sz w:val="20"/>
          <w:szCs w:val="20"/>
          <w:color w:val="auto"/>
        </w:rPr>
        <w:t xml:space="preserve"> to its U.S. pension plans. Ashland expects to make additional contributions of approximately $1 million to its non-U.S. plans and $2 million to its U.S. pension plans during the remainder of fiscal 2021.</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84" w:right="699" w:bottom="1440" w:gutter="0" w:footer="0" w:header="0"/>
        </w:sectPr>
      </w:pPr>
    </w:p>
    <w:bookmarkStart w:id="20" w:name="page21"/>
    <w:bookmarkEnd w:id="20"/>
    <w:p>
      <w:pPr>
        <w:ind w:left="36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gridSpan w:val="4"/>
          </w:tcPr>
          <w:p>
            <w:pPr>
              <w:jc w:val="right"/>
              <w:ind w:right="209"/>
              <w:spacing w:after="0"/>
              <w:rPr>
                <w:sz w:val="20"/>
                <w:szCs w:val="20"/>
                <w:color w:val="auto"/>
              </w:rPr>
            </w:pPr>
            <w:r>
              <w:rPr>
                <w:rFonts w:ascii="Arial" w:cs="Arial" w:eastAsia="Arial" w:hAnsi="Arial"/>
                <w:sz w:val="18"/>
                <w:szCs w:val="18"/>
                <w:color w:val="auto"/>
              </w:rPr>
              <w:t>Other postretirement</w:t>
            </w:r>
          </w:p>
        </w:tc>
        <w:tc>
          <w:tcPr>
            <w:tcW w:w="74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8"/>
                <w:szCs w:val="18"/>
                <w:color w:val="auto"/>
              </w:rPr>
              <w:t>Pension benefits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8"/>
                <w:szCs w:val="18"/>
                <w:color w:val="auto"/>
              </w:rPr>
              <w:t>benefits</w:t>
            </w:r>
          </w:p>
        </w:tc>
        <w:tc>
          <w:tcPr>
            <w:tcW w:w="740" w:type="dxa"/>
            <w:vAlign w:val="bottom"/>
            <w:tcBorders>
              <w:bottom w:val="single" w:sz="8" w:color="auto"/>
            </w:tcBorders>
          </w:tcPr>
          <w:p>
            <w:pPr>
              <w:spacing w:after="0"/>
              <w:rPr>
                <w:sz w:val="20"/>
                <w:szCs w:val="20"/>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Service cost</w:t>
            </w:r>
          </w:p>
        </w:tc>
        <w:tc>
          <w:tcPr>
            <w:tcW w:w="11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2940" w:type="dxa"/>
            <w:vAlign w:val="bottom"/>
            <w:gridSpan w:val="2"/>
          </w:tcPr>
          <w:p>
            <w:pPr>
              <w:spacing w:after="0"/>
              <w:rPr>
                <w:sz w:val="20"/>
                <w:szCs w:val="20"/>
                <w:color w:val="auto"/>
              </w:rPr>
            </w:pPr>
            <w:r>
              <w:rPr>
                <w:rFonts w:ascii="Arial" w:cs="Arial" w:eastAsia="Arial" w:hAnsi="Arial"/>
                <w:sz w:val="18"/>
                <w:szCs w:val="18"/>
                <w:color w:val="auto"/>
              </w:rPr>
              <w:t>Total net periodic benefit costs</w:t>
            </w:r>
          </w:p>
        </w:tc>
        <w:tc>
          <w:tcPr>
            <w:tcW w:w="6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March 31</w:t>
            </w:r>
          </w:p>
        </w:tc>
        <w:tc>
          <w:tcPr>
            <w:tcW w:w="6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Service cost</w:t>
            </w:r>
          </w:p>
        </w:tc>
        <w:tc>
          <w:tcPr>
            <w:tcW w:w="11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Total net periodic benefit costs</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 which netted to zero for all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5" w:lineRule="exact"/>
        <w:rPr>
          <w:sz w:val="20"/>
          <w:szCs w:val="20"/>
          <w:color w:val="auto"/>
        </w:rPr>
      </w:pPr>
    </w:p>
    <w:p>
      <w:pPr>
        <w:jc w:val="both"/>
        <w:ind w:left="360"/>
        <w:spacing w:after="0" w:line="25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54" w:right="69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A summary of Ashland asbestos claims activity, excluding Hercules claims,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1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8"/>
              </w:rPr>
              <w:t>Six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0"/>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w w:val="96"/>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4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New claims filed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80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Claims dismissed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most recent annual update of this estimate completed during fiscal year 2020, it was determined that the liability for Ashland asbestos-related claims should be increased by $13 million. Total reserves for asbestos claims were $320 million at March 31, 2021 compared to $335 million at September 30, 2020.</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12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72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352</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26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145415</wp:posOffset>
            </wp:positionV>
            <wp:extent cx="66262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60" w:right="699" w:bottom="1440" w:gutter="0" w:footer="0" w:header="0"/>
        </w:sectPr>
      </w:pPr>
    </w:p>
    <w:bookmarkStart w:id="22" w:name="page23"/>
    <w:bookmarkEnd w:id="22"/>
    <w:p>
      <w:pPr>
        <w:ind w:left="361"/>
        <w:spacing w:after="0"/>
        <w:rPr>
          <w:sz w:val="20"/>
          <w:szCs w:val="20"/>
          <w:color w:val="auto"/>
        </w:rPr>
      </w:pPr>
      <w:r>
        <w:rPr>
          <w:rFonts w:ascii="Arial" w:cs="Arial" w:eastAsia="Arial" w:hAnsi="Arial"/>
          <w:sz w:val="13"/>
          <w:szCs w:val="13"/>
          <w:color w:val="auto"/>
        </w:rPr>
        <w:t>Included $29 million classified in accrued expenses and other liabilities on the Condensed Consolidated Balance Sheets as of March 31, 2021 and September 30, 2020.</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6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At March 31, 2021, Ashland’s receivable for recoveries of litigation defense and claim settlement costs from insurers amounted to $96 million (excluding the Hercules receivable for asbestos claims) compared to $103 million at September 30, 2020. During fiscal year 2020, the annual update of the model used for purposes of valuing the asbestos reserve and its impact on valuation of future recoveries from insurers was completed. This model update resulted in a $1 million increase in the receivable for probable insurance recoveries.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98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720" w:type="dxa"/>
            <w:vAlign w:val="bottom"/>
            <w:tcBorders>
              <w:top w:val="single" w:sz="8" w:color="auto"/>
            </w:tcBorders>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52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58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7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145415</wp:posOffset>
            </wp:positionV>
            <wp:extent cx="66262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85" w:lineRule="exact"/>
        <w:rPr>
          <w:sz w:val="20"/>
          <w:szCs w:val="20"/>
          <w:color w:val="auto"/>
        </w:rPr>
      </w:pPr>
    </w:p>
    <w:p>
      <w:pPr>
        <w:ind w:left="361" w:hanging="361"/>
        <w:spacing w:after="0" w:line="246" w:lineRule="auto"/>
        <w:tabs>
          <w:tab w:leader="none" w:pos="3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six months ended March 31, 2021 includes a $2 million adjustment related to allowances for credit losses as a result of Ashland’s adoption of the new credit measurement standard described in Note A.</w:t>
      </w:r>
    </w:p>
    <w:p>
      <w:pPr>
        <w:ind w:left="361" w:hanging="361"/>
        <w:spacing w:after="0" w:line="197" w:lineRule="auto"/>
        <w:tabs>
          <w:tab w:leader="none" w:pos="361"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Included $14 million classified in accounts receivable on the Condensed Consolidated Balance Sheets as of March 31, 2021 and September 30, 2020.</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litigation</w:t>
      </w:r>
    </w:p>
    <w:p>
      <w:pPr>
        <w:spacing w:after="0" w:line="9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3"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0"/>
              </w:rPr>
              <w:t>Six months ended</w:t>
            </w:r>
          </w:p>
        </w:tc>
        <w:tc>
          <w:tcPr>
            <w:tcW w:w="5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3"/>
              </w:rPr>
              <w:t>March 31</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6"/>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2020</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claims filed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Open claims - end of period</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fiscal year 2020, it was determined that the liability for Hercules asbestos-related claims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391" w:right="699" w:bottom="1440" w:gutter="0" w:footer="0" w:header="0"/>
        </w:sectPr>
      </w:pPr>
    </w:p>
    <w:bookmarkStart w:id="23" w:name="page24"/>
    <w:bookmarkEnd w:id="23"/>
    <w:p>
      <w:pPr>
        <w:ind w:left="1" w:right="40"/>
        <w:spacing w:after="0" w:line="260" w:lineRule="auto"/>
        <w:rPr>
          <w:sz w:val="20"/>
          <w:szCs w:val="20"/>
          <w:color w:val="auto"/>
        </w:rPr>
      </w:pPr>
      <w:r>
        <w:rPr>
          <w:rFonts w:ascii="Arial" w:cs="Arial" w:eastAsia="Arial" w:hAnsi="Arial"/>
          <w:sz w:val="20"/>
          <w:szCs w:val="20"/>
          <w:color w:val="auto"/>
        </w:rPr>
        <w:t>should be decreased by $3 million. Total reserves for asbestos claims were $220 million at March 31, 2021 compared to $229 million at September 30, 2020.</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110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229</w:t>
            </w:r>
          </w:p>
        </w:tc>
        <w:tc>
          <w:tcPr>
            <w:tcW w:w="720" w:type="dxa"/>
            <w:vAlign w:val="bottom"/>
            <w:tcBorders>
              <w:top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00" w:type="dxa"/>
            <w:vAlign w:val="bottom"/>
            <w:tcBorders>
              <w:top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 adjustments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8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8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6626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85" w:lineRule="exact"/>
        <w:rPr>
          <w:sz w:val="20"/>
          <w:szCs w:val="20"/>
          <w:color w:val="auto"/>
        </w:rPr>
      </w:pPr>
    </w:p>
    <w:p>
      <w:pPr>
        <w:ind w:left="361" w:hanging="361"/>
        <w:spacing w:after="0"/>
        <w:tabs>
          <w:tab w:leader="none" w:pos="361"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Included $22 million classified in accrued expenses and other liabilities on the Condensed Consolidated Balance Sheets as of both March 31, 2021 and September 30, 2020.</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ind w:left="1"/>
        <w:spacing w:after="0" w:line="328" w:lineRule="auto"/>
        <w:rPr>
          <w:sz w:val="20"/>
          <w:szCs w:val="20"/>
          <w:color w:val="auto"/>
        </w:rPr>
      </w:pPr>
      <w:r>
        <w:rPr>
          <w:rFonts w:ascii="Arial" w:cs="Arial" w:eastAsia="Arial" w:hAnsi="Arial"/>
          <w:sz w:val="16"/>
          <w:szCs w:val="16"/>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20"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As of March 31, 2021, Ashland’s receivable for recoveries of litigation defense and claims costs from insurers with respect to Hercules amounted to $46 million. During fiscal year 2020, the annual update of the model used for purposes of valuing the asbestos reserve and its impact on valuation of future recoveries from insurers was completed. This model update resulted in a decrease of $2 million in the receivable for probable insurance recoveries.</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47"/>
              <w:spacing w:after="0"/>
              <w:rPr>
                <w:sz w:val="20"/>
                <w:szCs w:val="20"/>
                <w:color w:val="auto"/>
              </w:rPr>
            </w:pPr>
            <w:r>
              <w:rPr>
                <w:rFonts w:ascii="Arial" w:cs="Arial" w:eastAsia="Arial" w:hAnsi="Arial"/>
                <w:sz w:val="18"/>
                <w:szCs w:val="18"/>
                <w:color w:val="auto"/>
              </w:rPr>
              <w:t>Years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44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720" w:type="dxa"/>
            <w:vAlign w:val="bottom"/>
            <w:tcBorders>
              <w:top w:val="single" w:sz="8" w:color="auto"/>
            </w:tcBorders>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580" w:type="dxa"/>
            <w:vAlign w:val="bottom"/>
            <w:tcBorders>
              <w:top w:val="single" w:sz="8" w:color="auto"/>
            </w:tcBorders>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29"/>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1" w:hanging="361"/>
        <w:spacing w:after="0" w:line="272" w:lineRule="auto"/>
        <w:tabs>
          <w:tab w:leader="none" w:pos="361"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six months ended March 31, 2021 includes a $1 million adjustment related to allowances for credit losses as a result of Ashland’s adoption of the new credit measurement standard described in Note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-252730</wp:posOffset>
            </wp:positionV>
            <wp:extent cx="6626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460" w:right="699" w:bottom="1440" w:gutter="0" w:footer="0" w:header="0"/>
        </w:sectPr>
      </w:pPr>
    </w:p>
    <w:bookmarkStart w:id="24" w:name="page25"/>
    <w:bookmarkEnd w:id="24"/>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$520 million for the Ashland asbestos-related litigation (current reserve of $320 million) and approximately $350 million for the Hercules asbestos-related litigation (current reserve of $220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 is subject to various federal, state and local environmental laws and regulations that require environmental assessment or remediation efforts (collectively, environmental remediation) at multiple locations. At March 31, 2021, such locations included 82 sites where Ashland has been identified as a potentially responsible party under Superfund or similar state laws, 113 current and former operating facilities (including certain operating facilities conveyed as part of previous divestitures) and about 1,225 service station properties, of which 24 are being actively remediated.</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Ashland’s reserves for environmental remediation and related environmental litigation amounted to $193 million at March 31, 2021 compared to $200 million at September 30, 2020, of which $142 million at March 31, 2021 and $150 million at September 30, 2020 were classified in other noncurrent liabilities on the Condensed Consolidated Balance Sheets. The remaining reserves were classified in accrued expenses and other liabilities on the Condensed Consolidated Balance Sheets.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six months ended March 31, 2021 and 2020.</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327"/>
              <w:spacing w:after="0"/>
              <w:rPr>
                <w:sz w:val="20"/>
                <w:szCs w:val="20"/>
                <w:color w:val="auto"/>
              </w:rPr>
            </w:pPr>
            <w:r>
              <w:rPr>
                <w:rFonts w:ascii="Arial" w:cs="Arial" w:eastAsia="Arial" w:hAnsi="Arial"/>
                <w:sz w:val="18"/>
                <w:szCs w:val="18"/>
                <w:color w:val="auto"/>
              </w:rPr>
              <w:t>Six months ended</w:t>
            </w:r>
          </w:p>
        </w:tc>
        <w:tc>
          <w:tcPr>
            <w:tcW w:w="8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2320" w:type="dxa"/>
            <w:vAlign w:val="bottom"/>
            <w:tcBorders>
              <w:top w:val="single" w:sz="8" w:color="auto"/>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70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186</w:t>
            </w: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16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Reserve - end of period</w:t>
            </w:r>
          </w:p>
        </w:tc>
        <w:tc>
          <w:tcPr>
            <w:tcW w:w="168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798" w:right="699" w:bottom="1440" w:gutter="0" w:footer="0" w:header="0"/>
        </w:sectPr>
      </w:pPr>
    </w:p>
    <w:bookmarkStart w:id="25" w:name="page26"/>
    <w:bookmarkEnd w:id="25"/>
    <w:p>
      <w:pPr>
        <w:jc w:val="both"/>
        <w:ind w:left="1"/>
        <w:spacing w:after="0" w:line="243" w:lineRule="auto"/>
        <w:rPr>
          <w:sz w:val="20"/>
          <w:szCs w:val="20"/>
          <w:color w:val="auto"/>
        </w:rPr>
      </w:pPr>
      <w:r>
        <w:rPr>
          <w:rFonts w:ascii="Arial" w:cs="Arial" w:eastAsia="Arial" w:hAnsi="Arial"/>
          <w:sz w:val="20"/>
          <w:szCs w:val="20"/>
          <w:color w:val="auto"/>
        </w:rPr>
        <w:t>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2021 and September 30, 2020, Ashland’s recorded receivable for these probable insurance recoveries was $14 million and $15 million, of which $11 million and $12 million at March 31, 2021 and September 30, 2020, respectively, was classified in other noncurrent assets on the Condensed Consolidated Balance Sheets.</w:t>
      </w:r>
    </w:p>
    <w:p>
      <w:pPr>
        <w:spacing w:after="0" w:line="8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six months ended March 31, 2021 and 2020.</w:t>
      </w:r>
    </w:p>
    <w:p>
      <w:pPr>
        <w:spacing w:after="0" w:line="8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Three months ended</w:t>
            </w:r>
          </w:p>
        </w:tc>
        <w:tc>
          <w:tcPr>
            <w:tcW w:w="5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4"/>
          </w:tcPr>
          <w:p>
            <w:pPr>
              <w:jc w:val="right"/>
              <w:ind w:right="109"/>
              <w:spacing w:after="0"/>
              <w:rPr>
                <w:sz w:val="20"/>
                <w:szCs w:val="20"/>
                <w:color w:val="auto"/>
              </w:rPr>
            </w:pPr>
            <w:r>
              <w:rPr>
                <w:rFonts w:ascii="Arial" w:cs="Arial" w:eastAsia="Arial" w:hAnsi="Arial"/>
                <w:sz w:val="18"/>
                <w:szCs w:val="18"/>
                <w:color w:val="auto"/>
              </w:rPr>
              <w:t>Six months ended</w:t>
            </w: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09"/>
              <w:spacing w:after="0"/>
              <w:rPr>
                <w:sz w:val="20"/>
                <w:szCs w:val="20"/>
                <w:color w:val="auto"/>
              </w:rPr>
            </w:pPr>
            <w:r>
              <w:rPr>
                <w:rFonts w:ascii="Arial" w:cs="Arial" w:eastAsia="Arial" w:hAnsi="Arial"/>
                <w:sz w:val="18"/>
                <w:szCs w:val="18"/>
                <w:color w:val="auto"/>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Environmental expense</w:t>
            </w:r>
          </w:p>
        </w:tc>
        <w:tc>
          <w:tcPr>
            <w:tcW w:w="10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660" w:type="dxa"/>
            <w:vAlign w:val="bottom"/>
            <w:gridSpan w:val="2"/>
          </w:tcPr>
          <w:p>
            <w:pPr>
              <w:jc w:val="right"/>
              <w:ind w:right="52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Accretion</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Legal expense</w:t>
            </w:r>
          </w:p>
        </w:tc>
        <w:tc>
          <w:tcPr>
            <w:tcW w:w="7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expense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Total expense, net of receivable activity (a)</w:t>
            </w:r>
          </w:p>
        </w:tc>
        <w:tc>
          <w:tcPr>
            <w:tcW w:w="7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61" w:hanging="361"/>
        <w:spacing w:after="0" w:line="238" w:lineRule="auto"/>
        <w:tabs>
          <w:tab w:leader="none" w:pos="361"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expense of $2 million and $3 million for the three and six months ended March 31, 2021, respectively, and $2 million for both the three and six months ended March 31, 2020,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76"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$460 million. The largest reserve for any site is 14% of the remediation reserve.</w:t>
      </w:r>
    </w:p>
    <w:p>
      <w:pPr>
        <w:spacing w:after="0" w:line="5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2021 and September 30, 2020. There is a reasonable possibility that a loss exceeding amounts already recognized may be incurred related to these actions; however, Ashland believes that such potential losses were immaterial 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352" w:right="69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360" w:right="36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 million and 2 million at March 31, 2021 and 2020, respectively. Earnings per share is reported under the treasury stock method.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Three months ended</w:t>
            </w: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8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common shares outstanding</w:t>
            </w: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average shares and assumed conversions</w:t>
            </w: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0.70</w:t>
            </w:r>
          </w:p>
        </w:tc>
        <w:tc>
          <w:tcPr>
            <w:tcW w:w="8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ind w:left="340" w:right="700" w:hanging="332"/>
        <w:spacing w:after="0" w:line="25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three and six months ended March 31, 2020, the effect of the share-based awards convertible to common shares would be antidilutive and have been excluded from the diluted EPS calculation.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Dividends of 27.5 cents per share were paid in the first and second quarters of fiscal 2021 and fiscal 2020.</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ind w:left="360" w:right="36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2021</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color w:val="auto"/>
                <w:w w:val="93"/>
              </w:rPr>
              <w:t>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Before</w:t>
            </w:r>
          </w:p>
        </w:tc>
        <w:tc>
          <w:tcPr>
            <w:tcW w:w="40" w:type="dxa"/>
            <w:vAlign w:val="bottom"/>
          </w:tcPr>
          <w:p>
            <w:pPr>
              <w:spacing w:after="0"/>
              <w:rPr>
                <w:sz w:val="18"/>
                <w:szCs w:val="18"/>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Net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7"/>
              </w:rPr>
              <w:t>Before</w:t>
            </w:r>
          </w:p>
        </w:tc>
        <w:tc>
          <w:tcPr>
            <w:tcW w:w="100" w:type="dxa"/>
            <w:vAlign w:val="bottom"/>
          </w:tcPr>
          <w:p>
            <w:pPr>
              <w:spacing w:after="0"/>
              <w:rPr>
                <w:sz w:val="18"/>
                <w:szCs w:val="18"/>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w w:val="99"/>
              </w:rPr>
              <w:t>Net of</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170"/>
              <w:spacing w:after="0"/>
              <w:rPr>
                <w:sz w:val="20"/>
                <w:szCs w:val="20"/>
                <w:color w:val="auto"/>
              </w:rPr>
            </w:pPr>
            <w:r>
              <w:rPr>
                <w:rFonts w:ascii="Arial" w:cs="Arial" w:eastAsia="Arial" w:hAnsi="Arial"/>
                <w:sz w:val="18"/>
                <w:szCs w:val="18"/>
                <w:color w:val="auto"/>
                <w:w w:val="92"/>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2"/>
              </w:rPr>
              <w:t>benefit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ind w:left="400"/>
              <w:spacing w:after="0"/>
              <w:rPr>
                <w:sz w:val="20"/>
                <w:szCs w:val="20"/>
                <w:color w:val="auto"/>
              </w:rPr>
            </w:pPr>
            <w:r>
              <w:rPr>
                <w:rFonts w:ascii="Arial" w:cs="Arial" w:eastAsia="Arial" w:hAnsi="Arial"/>
                <w:sz w:val="18"/>
                <w:szCs w:val="18"/>
                <w:color w:val="auto"/>
              </w:rPr>
              <w:t>Total other comprehensive income (loss)</w:t>
            </w:r>
          </w:p>
        </w:tc>
        <w:tc>
          <w:tcPr>
            <w:tcW w:w="7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36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vMerge w:val="continue"/>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Six months ended March 31</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ind w:left="36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04"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7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(a)</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Retained earnings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3,239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 accounting pronouncements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Regular dividends</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2,641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Unrealized translation gain (loss)</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2,983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0.275</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0.275</w:t>
            </w: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0.550</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626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30" w:lineRule="exact"/>
        <w:rPr>
          <w:sz w:val="20"/>
          <w:szCs w:val="20"/>
          <w:color w:val="auto"/>
        </w:rPr>
      </w:pPr>
    </w:p>
    <w:p>
      <w:pPr>
        <w:ind w:left="720" w:hanging="361"/>
        <w:spacing w:after="0" w:line="253" w:lineRule="auto"/>
        <w:tabs>
          <w:tab w:leader="none" w:pos="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Common shares issued were 41,512 shares and 208,564 for the three months ended March 31, 2021 and 2020, respectively, and 140,706 shares and 279,025 shares for the six months ended March 31, 2021 and 2020,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4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color w:val="auto"/>
                <w:w w:val="98"/>
              </w:rPr>
              <w:t>Three months ended</w:t>
            </w:r>
          </w:p>
        </w:tc>
        <w:tc>
          <w:tcPr>
            <w:tcW w:w="2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Six months ended</w:t>
            </w:r>
          </w:p>
        </w:tc>
        <w:tc>
          <w:tcPr>
            <w:tcW w:w="7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(b)</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(a)</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3"/>
              </w:rPr>
              <w:t xml:space="preserve">2020 </w:t>
            </w:r>
            <w:r>
              <w:rPr>
                <w:rFonts w:ascii="Arial" w:cs="Arial" w:eastAsia="Arial" w:hAnsi="Arial"/>
                <w:sz w:val="14"/>
                <w:szCs w:val="14"/>
                <w:color w:val="auto"/>
                <w:w w:val="93"/>
              </w:rPr>
              <w:t>(b)</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SARs</w:t>
            </w:r>
          </w:p>
        </w:tc>
        <w:tc>
          <w:tcPr>
            <w:tcW w:w="18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ind w:right="3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Nonvested stock awards</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1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720" w:hanging="361"/>
        <w:spacing w:after="0" w:line="230" w:lineRule="auto"/>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Included $1 million and $2 million of expense related to cash-settled nonvested restricted stock awards and zero related to cash-settled performance units during the three and six months ended March 31, 2021.</w:t>
      </w:r>
    </w:p>
    <w:p>
      <w:pPr>
        <w:ind w:left="720" w:hanging="361"/>
        <w:spacing w:after="0" w:line="237" w:lineRule="auto"/>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Included zero and $1 million of expense related to cash-settled nonvested restricted stock awards and zero related to cash-settled performance units during the three and six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-394335</wp:posOffset>
            </wp:positionV>
            <wp:extent cx="6626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83"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05" w:right="69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9"/>
          <w:szCs w:val="19"/>
          <w:color w:val="auto"/>
        </w:rPr>
        <w:t>includes adjustments, if applicable, for any variable consideration, such as volume discounts, rebates, 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estimates expected credit losses based on relevant information about past events, including historical experience, current conditions, and reasonable and supportable forecasts that affect the collectability of the customers receivable amount.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Trade receivables are defined as receivables arising from contracts with customers and are recorded within the accounts receivable caption within the Condensed Consolidated Balance Sheets. Ashland’s trade receivables were $418 million and $441 million as of March 31, 2021 and September 30, 2020, respectively. See Note H for additional information on Ashland’s program to sell certain receivables on a revolving basis to third party banks up to an aggregate purchase limit.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60" w:right="69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See the following tables for details.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60325</wp:posOffset>
            </wp:positionV>
            <wp:extent cx="6626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2020</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Life Sciences</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59</w:t>
            </w:r>
          </w:p>
        </w:tc>
        <w:tc>
          <w:tcPr>
            <w:tcW w:w="600" w:type="dxa"/>
            <w:vAlign w:val="bottom"/>
            <w:gridSpan w:val="2"/>
            <w:shd w:val="clear" w:color="auto" w:fill="CFF0FC"/>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111</w:t>
            </w:r>
          </w:p>
        </w:tc>
        <w:tc>
          <w:tcPr>
            <w:tcW w:w="880" w:type="dxa"/>
            <w:vAlign w:val="bottom"/>
            <w:gridSpan w:val="2"/>
            <w:shd w:val="clear" w:color="auto" w:fill="CFF0FC"/>
          </w:tcPr>
          <w:p>
            <w:pPr>
              <w:jc w:val="right"/>
              <w:ind w:right="565"/>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108</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112</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85</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w:t>
            </w:r>
          </w:p>
        </w:tc>
        <w:tc>
          <w:tcPr>
            <w:tcW w:w="1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w:t>
            </w: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35</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185</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184</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355</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340</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2020</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6"/>
          </w:tcPr>
          <w:p>
            <w:pPr>
              <w:jc w:val="center"/>
              <w:ind w:left="635"/>
              <w:spacing w:after="0"/>
              <w:rPr>
                <w:sz w:val="20"/>
                <w:szCs w:val="20"/>
                <w:color w:val="auto"/>
              </w:rPr>
            </w:pPr>
            <w:r>
              <w:rPr>
                <w:rFonts w:ascii="Arial" w:cs="Arial" w:eastAsia="Arial" w:hAnsi="Arial"/>
                <w:sz w:val="17"/>
                <w:szCs w:val="17"/>
                <w:color w:val="auto"/>
                <w:w w:val="91"/>
              </w:rPr>
              <w:t>Personal Care &amp; Household</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50</w:t>
            </w:r>
          </w:p>
        </w:tc>
        <w:tc>
          <w:tcPr>
            <w:tcW w:w="600" w:type="dxa"/>
            <w:vAlign w:val="bottom"/>
            <w:gridSpan w:val="2"/>
            <w:shd w:val="clear" w:color="auto" w:fill="CFF0FC"/>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83</w:t>
            </w:r>
          </w:p>
        </w:tc>
        <w:tc>
          <w:tcPr>
            <w:tcW w:w="880" w:type="dxa"/>
            <w:vAlign w:val="bottom"/>
            <w:gridSpan w:val="2"/>
            <w:shd w:val="clear" w:color="auto" w:fill="CFF0FC"/>
          </w:tcPr>
          <w:p>
            <w:pPr>
              <w:jc w:val="right"/>
              <w:ind w:right="565"/>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91</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124</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46</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w:t>
            </w:r>
          </w:p>
        </w:tc>
        <w:tc>
          <w:tcPr>
            <w:tcW w:w="1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w:t>
            </w: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35</w:t>
            </w:r>
          </w:p>
        </w:tc>
      </w:tr>
      <w:tr>
        <w:trPr>
          <w:trHeight w:val="209"/>
        </w:trPr>
        <w:tc>
          <w:tcPr>
            <w:tcW w:w="2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159</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262</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296</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4"/>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2020</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3"/>
              </w:rPr>
              <w:t>Specialty Additives</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53</w:t>
            </w:r>
          </w:p>
        </w:tc>
        <w:tc>
          <w:tcPr>
            <w:tcW w:w="600" w:type="dxa"/>
            <w:vAlign w:val="bottom"/>
            <w:gridSpan w:val="2"/>
            <w:shd w:val="clear" w:color="auto" w:fill="CFF0FC"/>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93</w:t>
            </w:r>
          </w:p>
        </w:tc>
        <w:tc>
          <w:tcPr>
            <w:tcW w:w="880" w:type="dxa"/>
            <w:vAlign w:val="bottom"/>
            <w:gridSpan w:val="2"/>
            <w:shd w:val="clear" w:color="auto" w:fill="CFF0FC"/>
          </w:tcPr>
          <w:p>
            <w:pPr>
              <w:jc w:val="right"/>
              <w:ind w:right="565"/>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98</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109</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68</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w:t>
            </w:r>
          </w:p>
        </w:tc>
        <w:tc>
          <w:tcPr>
            <w:tcW w:w="1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w:t>
            </w: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158</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155</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305</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294</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2020</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5"/>
          </w:tcPr>
          <w:p>
            <w:pPr>
              <w:jc w:val="center"/>
              <w:ind w:right="605"/>
              <w:spacing w:after="0"/>
              <w:rPr>
                <w:sz w:val="20"/>
                <w:szCs w:val="20"/>
                <w:color w:val="auto"/>
              </w:rPr>
            </w:pPr>
            <w:r>
              <w:rPr>
                <w:rFonts w:ascii="Arial" w:cs="Arial" w:eastAsia="Arial" w:hAnsi="Arial"/>
                <w:sz w:val="17"/>
                <w:szCs w:val="17"/>
                <w:color w:val="auto"/>
                <w:w w:val="90"/>
              </w:rPr>
              <w:t>Performance Adhesives</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73</w:t>
            </w:r>
          </w:p>
        </w:tc>
        <w:tc>
          <w:tcPr>
            <w:tcW w:w="600" w:type="dxa"/>
            <w:vAlign w:val="bottom"/>
            <w:gridSpan w:val="2"/>
            <w:shd w:val="clear" w:color="auto" w:fill="CFF0FC"/>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141</w:t>
            </w:r>
          </w:p>
        </w:tc>
        <w:tc>
          <w:tcPr>
            <w:tcW w:w="880" w:type="dxa"/>
            <w:vAlign w:val="bottom"/>
            <w:gridSpan w:val="2"/>
            <w:shd w:val="clear" w:color="auto" w:fill="CFF0FC"/>
          </w:tcPr>
          <w:p>
            <w:pPr>
              <w:jc w:val="right"/>
              <w:ind w:right="565"/>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137</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16</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7</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85</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173</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159</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left="315"/>
              <w:spacing w:after="0"/>
              <w:rPr>
                <w:sz w:val="20"/>
                <w:szCs w:val="20"/>
                <w:color w:val="auto"/>
              </w:rPr>
            </w:pPr>
            <w:r>
              <w:rPr>
                <w:rFonts w:ascii="Arial" w:cs="Arial" w:eastAsia="Arial" w:hAnsi="Arial"/>
                <w:sz w:val="17"/>
                <w:szCs w:val="17"/>
                <w:color w:val="auto"/>
                <w:w w:val="89"/>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center"/>
              <w:ind w:left="55"/>
              <w:spacing w:after="0"/>
              <w:rPr>
                <w:sz w:val="20"/>
                <w:szCs w:val="20"/>
                <w:color w:val="auto"/>
              </w:rPr>
            </w:pPr>
            <w:r>
              <w:rPr>
                <w:rFonts w:ascii="Arial" w:cs="Arial" w:eastAsia="Arial" w:hAnsi="Arial"/>
                <w:sz w:val="17"/>
                <w:szCs w:val="17"/>
                <w:color w:val="auto"/>
                <w:w w:val="89"/>
              </w:rPr>
              <w:t>Six months ended</w:t>
            </w: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7"/>
                <w:szCs w:val="17"/>
                <w:color w:val="auto"/>
                <w:w w:val="93"/>
              </w:rPr>
              <w:t>March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7"/>
                <w:szCs w:val="17"/>
                <w:color w:val="auto"/>
                <w:w w:val="93"/>
              </w:rPr>
              <w:t>March 31</w:t>
            </w:r>
          </w:p>
        </w:tc>
        <w:tc>
          <w:tcPr>
            <w:tcW w:w="700" w:type="dxa"/>
            <w:vAlign w:val="bottom"/>
            <w:tcBorders>
              <w:bottom w:val="single" w:sz="8" w:color="auto"/>
            </w:tcBorders>
          </w:tcPr>
          <w:p>
            <w:pPr>
              <w:spacing w:after="0"/>
              <w:rPr>
                <w:sz w:val="18"/>
                <w:szCs w:val="18"/>
                <w:color w:val="auto"/>
              </w:rPr>
            </w:pPr>
          </w:p>
        </w:tc>
      </w:t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2020</w:t>
            </w: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6"/>
          </w:tcPr>
          <w:p>
            <w:pPr>
              <w:jc w:val="center"/>
              <w:ind w:left="635"/>
              <w:spacing w:after="0"/>
              <w:rPr>
                <w:sz w:val="20"/>
                <w:szCs w:val="20"/>
                <w:color w:val="auto"/>
              </w:rPr>
            </w:pPr>
            <w:r>
              <w:rPr>
                <w:rFonts w:ascii="Arial" w:cs="Arial" w:eastAsia="Arial" w:hAnsi="Arial"/>
                <w:sz w:val="17"/>
                <w:szCs w:val="17"/>
                <w:color w:val="auto"/>
                <w:w w:val="89"/>
              </w:rPr>
              <w:t>Intermediates and Solvents</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23</w:t>
            </w:r>
          </w:p>
        </w:tc>
        <w:tc>
          <w:tcPr>
            <w:tcW w:w="600" w:type="dxa"/>
            <w:vAlign w:val="bottom"/>
            <w:gridSpan w:val="2"/>
            <w:shd w:val="clear" w:color="auto" w:fill="CFF0FC"/>
          </w:tcPr>
          <w:p>
            <w:pPr>
              <w:jc w:val="right"/>
              <w:ind w:right="28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40</w:t>
            </w:r>
          </w:p>
        </w:tc>
        <w:tc>
          <w:tcPr>
            <w:tcW w:w="880" w:type="dxa"/>
            <w:vAlign w:val="bottom"/>
            <w:gridSpan w:val="2"/>
            <w:shd w:val="clear" w:color="auto" w:fill="CFF0FC"/>
          </w:tcPr>
          <w:p>
            <w:pPr>
              <w:jc w:val="right"/>
              <w:ind w:right="565"/>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37</w:t>
            </w: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7"/>
                <w:szCs w:val="17"/>
                <w:color w:val="auto"/>
              </w:rPr>
              <w:t>Europe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11</w:t>
            </w: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13</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Latin America &amp; other</w:t>
            </w:r>
          </w:p>
        </w:tc>
        <w:tc>
          <w:tcPr>
            <w:tcW w:w="14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37</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69</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64</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54" w:right="69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360"/>
        <w:spacing w:after="0" w:line="342" w:lineRule="auto"/>
        <w:rPr>
          <w:sz w:val="20"/>
          <w:szCs w:val="20"/>
          <w:color w:val="auto"/>
        </w:rPr>
      </w:pPr>
      <w:r>
        <w:rPr>
          <w:rFonts w:ascii="Arial" w:cs="Arial" w:eastAsia="Arial" w:hAnsi="Arial"/>
          <w:sz w:val="16"/>
          <w:szCs w:val="16"/>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Consumer Specialties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Consumer Specialties business is comprised of the following reportable segments:</w:t>
      </w:r>
    </w:p>
    <w:p>
      <w:pPr>
        <w:spacing w:after="0" w:line="108"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77" w:lineRule="exact"/>
        <w:rPr>
          <w:sz w:val="20"/>
          <w:szCs w:val="20"/>
          <w:color w:val="auto"/>
        </w:rPr>
      </w:pPr>
    </w:p>
    <w:p>
      <w:pPr>
        <w:jc w:val="both"/>
        <w:ind w:left="360"/>
        <w:spacing w:after="0" w:line="276"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Industrial Specialties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Industrial Specialties business is comprised of the following reportable segments:</w:t>
      </w:r>
    </w:p>
    <w:p>
      <w:pPr>
        <w:spacing w:after="0" w:line="108" w:lineRule="exact"/>
        <w:rPr>
          <w:sz w:val="20"/>
          <w:szCs w:val="20"/>
          <w:color w:val="auto"/>
        </w:rPr>
      </w:pPr>
    </w:p>
    <w:p>
      <w:pPr>
        <w:jc w:val="both"/>
        <w:ind w:left="360"/>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1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84" w:right="699" w:bottom="1440" w:gutter="0" w:footer="0" w:header="0"/>
        </w:sectPr>
      </w:pPr>
    </w:p>
    <w:bookmarkStart w:id="31" w:name="page32"/>
    <w:bookmarkEnd w:id="31"/>
    <w:p>
      <w:pPr>
        <w:jc w:val="both"/>
        <w:spacing w:after="0" w:line="243" w:lineRule="auto"/>
        <w:rPr>
          <w:sz w:val="20"/>
          <w:szCs w:val="20"/>
          <w:color w:val="auto"/>
        </w:rPr>
      </w:pPr>
      <w:r>
        <w:rPr>
          <w:rFonts w:ascii="Arial" w:cs="Arial" w:eastAsia="Arial" w:hAnsi="Arial"/>
          <w:sz w:val="20"/>
          <w:szCs w:val="20"/>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0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60" w:right="699" w:bottom="1440" w:gutter="0" w:footer="0" w:header="0"/>
        </w:sectPr>
      </w:pPr>
    </w:p>
    <w:bookmarkStart w:id="32" w:name="page33"/>
    <w:bookmarkEnd w:id="32"/>
    <w:p>
      <w:pPr>
        <w:ind w:left="360" w:right="36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six months ended March 31, 2021 and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0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07"/>
              <w:spacing w:after="0"/>
              <w:rPr>
                <w:sz w:val="20"/>
                <w:szCs w:val="20"/>
                <w:color w:val="auto"/>
              </w:rPr>
            </w:pPr>
            <w:r>
              <w:rPr>
                <w:rFonts w:ascii="Arial" w:cs="Arial" w:eastAsia="Arial" w:hAnsi="Arial"/>
                <w:sz w:val="18"/>
                <w:szCs w:val="18"/>
                <w:color w:val="auto"/>
              </w:rPr>
              <w:t>Six months ended</w:t>
            </w:r>
          </w:p>
        </w:tc>
        <w:tc>
          <w:tcPr>
            <w:tcW w:w="8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ind w:left="400"/>
              <w:spacing w:after="0"/>
              <w:rPr>
                <w:sz w:val="20"/>
                <w:szCs w:val="20"/>
                <w:color w:val="auto"/>
              </w:rPr>
            </w:pPr>
            <w:r>
              <w:rPr>
                <w:rFonts w:ascii="Arial" w:cs="Arial" w:eastAsia="Arial" w:hAnsi="Arial"/>
                <w:sz w:val="18"/>
                <w:szCs w:val="18"/>
                <w:color w:val="auto"/>
              </w:rPr>
              <w:t>(In millions - unaudited)</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880" w:type="dxa"/>
            <w:vAlign w:val="bottom"/>
            <w:gridSpan w:val="2"/>
          </w:tcPr>
          <w:p>
            <w:pPr>
              <w:jc w:val="right"/>
              <w:ind w:right="68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6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Intermediates and Solvents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1,149</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OPERATING INCOME (LOSS)</w:t>
            </w: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6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DEPRECIATION EXPENSE</w:t>
            </w: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06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80" w:type="dxa"/>
            <w:vAlign w:val="bottom"/>
            <w:gridSpan w:val="2"/>
          </w:tcPr>
          <w:p>
            <w:pPr>
              <w:jc w:val="right"/>
              <w:ind w:right="68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3" w:name="page34"/>
    <w:bookmarkEnd w:id="33"/>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September 30</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 - unaudited)</w:t>
            </w: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240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260" w:type="dxa"/>
            <w:vAlign w:val="bottom"/>
          </w:tcPr>
          <w:p>
            <w:pPr>
              <w:spacing w:after="0"/>
              <w:rPr>
                <w:sz w:val="19"/>
                <w:szCs w:val="19"/>
                <w:color w:val="auto"/>
              </w:rPr>
            </w:pP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1,974</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15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939</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15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15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1,666</w:t>
            </w:r>
          </w:p>
        </w:tc>
      </w:tr>
      <w:tr>
        <w:trPr>
          <w:trHeight w:val="229"/>
        </w:trPr>
        <w:tc>
          <w:tcPr>
            <w:tcW w:w="20" w:type="dxa"/>
            <w:vAlign w:val="bottom"/>
          </w:tcPr>
          <w:p>
            <w:pPr>
              <w:spacing w:after="0"/>
              <w:rPr>
                <w:sz w:val="19"/>
                <w:szCs w:val="19"/>
                <w:color w:val="auto"/>
              </w:rPr>
            </w:pPr>
          </w:p>
        </w:tc>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15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w:t>
            </w: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15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2,257</w:t>
            </w:r>
          </w:p>
        </w:tc>
      </w:tr>
      <w:tr>
        <w:trPr>
          <w:trHeight w:val="223"/>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15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1,546</w:t>
            </w: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61" w:hanging="361"/>
        <w:spacing w:after="0"/>
        <w:tabs>
          <w:tab w:leader="none" w:pos="361"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capital project impairment of $9 million for the six months ended March 31, 2021 relating to a long-term capital project plan change at a plant facility.</w:t>
      </w:r>
    </w:p>
    <w:p>
      <w:pPr>
        <w:spacing w:after="0" w:line="55" w:lineRule="exact"/>
        <w:rPr>
          <w:rFonts w:ascii="Arial" w:cs="Arial" w:eastAsia="Arial" w:hAnsi="Arial"/>
          <w:sz w:val="14"/>
          <w:szCs w:val="14"/>
          <w:color w:val="auto"/>
        </w:rPr>
      </w:pPr>
    </w:p>
    <w:p>
      <w:pPr>
        <w:ind w:left="361" w:hanging="361"/>
        <w:spacing w:after="0" w:line="253" w:lineRule="auto"/>
        <w:tabs>
          <w:tab w:leader="none" w:pos="361"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-485775</wp:posOffset>
            </wp:positionV>
            <wp:extent cx="6626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1"/>
          </w:cols>
          <w:pgMar w:left="679" w:top="706" w:right="35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360"/>
        <w:spacing w:after="0" w:line="268"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proposed acquisition of Schülke &amp; Mayr’s personal care business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Ashland’s growth strategies; the competitive nature of Ashland’s business;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2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60" w:right="34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20"/>
          <w:szCs w:val="20"/>
          <w:color w:val="auto"/>
        </w:rPr>
        <w:t>Ashland is a premier specialty materials company with a conscious and proactive mindset for sustainability. The Company serves customers in a wide range of consumer and industrial markets, including adhesives, architectural coatings, automotive, construction, energy, food and beverage, nutraceuticals, personal care and pharmaceutical. With approximately 4,200 employees worldwide, Ashland serves customers in more than 100 countries.</w:t>
      </w:r>
    </w:p>
    <w:p>
      <w:pPr>
        <w:spacing w:after="0" w:line="83"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color w:val="auto"/>
        </w:rPr>
        <w:t>Ashland’s sales generated outside of North America were 60% for the three and six months ended March 31, 2021 and 2020, respectively. Sales by region expressed as a percentage of total consolidated sales for the three and six months ended March 31 were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8"/>
              </w:rPr>
              <w:t>Six months ended</w:t>
            </w:r>
          </w:p>
        </w:tc>
        <w:tc>
          <w:tcPr>
            <w:tcW w:w="68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93"/>
              </w:rPr>
              <w:t>March 31</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3"/>
              </w:rPr>
              <w:t>March 31</w:t>
            </w:r>
          </w:p>
        </w:tc>
        <w:tc>
          <w:tcPr>
            <w:tcW w:w="680" w:type="dxa"/>
            <w:vAlign w:val="bottom"/>
            <w:tcBorders>
              <w:bottom w:val="single" w:sz="8" w:color="auto"/>
            </w:tcBorders>
          </w:tcPr>
          <w:p>
            <w:pPr>
              <w:spacing w:after="0"/>
              <w:rPr>
                <w:sz w:val="20"/>
                <w:szCs w:val="20"/>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Sales by Geography</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Europe</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6262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37" w:lineRule="exact"/>
        <w:rPr>
          <w:sz w:val="20"/>
          <w:szCs w:val="20"/>
          <w:color w:val="auto"/>
        </w:rPr>
      </w:pPr>
    </w:p>
    <w:p>
      <w:pPr>
        <w:ind w:left="720" w:hanging="361"/>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left="360" w:right="360"/>
        <w:spacing w:after="0" w:line="244" w:lineRule="auto"/>
        <w:rPr>
          <w:sz w:val="20"/>
          <w:szCs w:val="20"/>
          <w:color w:val="auto"/>
        </w:rPr>
      </w:pPr>
      <w:r>
        <w:rPr>
          <w:rFonts w:ascii="Arial" w:cs="Arial" w:eastAsia="Arial" w:hAnsi="Arial"/>
          <w:sz w:val="20"/>
          <w:szCs w:val="20"/>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 The contribution to sales by each reportable segment expressed as a percentage of total consolidated sales for the three and six months ended March 31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8"/>
              </w:rPr>
              <w:t>Six months ended</w:t>
            </w:r>
          </w:p>
        </w:tc>
        <w:tc>
          <w:tcPr>
            <w:tcW w:w="6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93"/>
              </w:rPr>
              <w:t>March 31</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3"/>
              </w:rPr>
              <w:t>March 31</w:t>
            </w:r>
          </w:p>
        </w:tc>
        <w:tc>
          <w:tcPr>
            <w:tcW w:w="6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color w:val="auto"/>
              </w:rPr>
              <w:t>Sales by Reportable Segment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Life Sciences</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Personal Care &amp; Household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Consumer Specialties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i w:val="1"/>
                <w:iCs w:val="1"/>
                <w:color w:val="auto"/>
              </w:rPr>
              <w:t>Specialty Additives</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Performance Adhesives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r>
      <w:tr>
        <w:trPr>
          <w:trHeight w:val="223"/>
        </w:trPr>
        <w:tc>
          <w:tcPr>
            <w:tcW w:w="5180" w:type="dxa"/>
            <w:vAlign w:val="bottom"/>
            <w:gridSpan w:val="2"/>
          </w:tcPr>
          <w:p>
            <w:pPr>
              <w:ind w:left="400"/>
              <w:spacing w:after="0"/>
              <w:rPr>
                <w:sz w:val="20"/>
                <w:szCs w:val="20"/>
                <w:color w:val="auto"/>
              </w:rPr>
            </w:pPr>
            <w:r>
              <w:rPr>
                <w:rFonts w:ascii="Arial" w:cs="Arial" w:eastAsia="Arial" w:hAnsi="Arial"/>
                <w:sz w:val="18"/>
                <w:szCs w:val="18"/>
                <w:color w:val="auto"/>
              </w:rPr>
              <w:t>Industrial Specialties</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Intermediates and Solvents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912"/>
        </w:trPr>
        <w:tc>
          <w:tcPr>
            <w:tcW w:w="4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Business results current quarter</w:t>
      </w:r>
    </w:p>
    <w:p>
      <w:pPr>
        <w:spacing w:after="0" w:line="114" w:lineRule="exact"/>
        <w:rPr>
          <w:sz w:val="20"/>
          <w:szCs w:val="20"/>
          <w:color w:val="auto"/>
        </w:rPr>
      </w:pPr>
    </w:p>
    <w:p>
      <w:pPr>
        <w:jc w:val="both"/>
        <w:ind w:left="360"/>
        <w:spacing w:after="0" w:line="255" w:lineRule="auto"/>
        <w:rPr>
          <w:sz w:val="20"/>
          <w:szCs w:val="20"/>
          <w:color w:val="auto"/>
        </w:rPr>
      </w:pPr>
      <w:r>
        <w:rPr>
          <w:rFonts w:ascii="Arial" w:cs="Arial" w:eastAsia="Arial" w:hAnsi="Arial"/>
          <w:sz w:val="19"/>
          <w:szCs w:val="19"/>
          <w:color w:val="auto"/>
        </w:rPr>
        <w:t>Ashland recorded net income of $41 million (income of $43 million in continuing operations and loss of $2 million in discontinued operations) and net loss of $582 million (loss of $575 million in continuing operations and loss of $7 million in discontinued operations) in the current and prior year quarters, respectively. Significant items impacting Ashland’s continuing operations between periods included unplanned plant shutdown costs of $11 million in the current quarter as a result of winter storms in the U.S. Gulf Coast, a non-cash goodwill impairment charge of $530 million related to the Personal Care &amp; Household and Specialty Additives segments in the prior year quarter and debt restructuring costs of $67 million in the prior year quarter. Ashland’s EBITDA of $126 million increased by $540 million, primarily due to the $530 million impairment charge during the prior year quarter, while Ashland’s Adjusted EBITDA was $134 million for the current quarter compared to $142 million in the prior year quarter. (see U.S. GAAP reconciliation below under consolidated review). The decrease in Adjusted EBITDA results was primarily due to unfavorable volume and higher costs driven by the unplanned plant shutdowns associated with the winter storms in the U.S. Gulf Coast during the current quarter. These items were offset by lower selling, general and administrative expense as a result of cost reduction programs.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14"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6"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Ashland continues to successfully navigate the uncertain environment associated with the COVID-19 pandemic. This includes the execution of shelter in place, social distancing and deep cleaning process requirements. Through the second quarter of fiscal year 2021, Ashland has not experienced any additional major operating surprises related to the COVID-19 pandemic, continues to maintain a robust supply chain in a challenging environment, had strong safety performance in the face of unprecedented pressures and improved operating discipline across each of its businesses. The consumer specialties businesses continued to show resiliency in the face of difficult economic circumstances. The industrial specialties businesses and the Intermediates and Solvents business experienced downward pressure on demand as a result of the COVID-19 pandemic’s impact on those businesses’ end markets in 2020, with improved conditions through the second quarter of 2021. However, Ashland’s overall liquidity remains strong and Ashland is able to meet its operating cash needs and other investing and financing cash requirements at this time, including those necessary to grow the business as economic conditions continue to improve.</w:t>
      </w:r>
    </w:p>
    <w:p>
      <w:pPr>
        <w:spacing w:after="0" w:line="66"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Other items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Operational business model changes and restructurings</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During the second quarter of fiscal year 2020, Ashland changed the manner in which it manages the business moving from a functionally led to a business led organization. This new business-centric operational redesign of core operating systems and processes lead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is currently targeting the following savings:</w:t>
      </w:r>
    </w:p>
    <w:p>
      <w:pPr>
        <w:spacing w:after="0" w:line="72" w:lineRule="exact"/>
        <w:rPr>
          <w:sz w:val="20"/>
          <w:szCs w:val="20"/>
          <w:color w:val="auto"/>
        </w:rPr>
      </w:pPr>
    </w:p>
    <w:p>
      <w:pPr>
        <w:ind w:left="1060" w:hanging="350"/>
        <w:spacing w:after="0"/>
        <w:tabs>
          <w:tab w:leader="none" w:pos="10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$50 million of incremental SARD cost savings</w:t>
      </w:r>
    </w:p>
    <w:p>
      <w:pPr>
        <w:spacing w:after="0" w:line="15" w:lineRule="exact"/>
        <w:rPr>
          <w:rFonts w:ascii="Arial" w:cs="Arial" w:eastAsia="Arial" w:hAnsi="Arial"/>
          <w:sz w:val="20"/>
          <w:szCs w:val="20"/>
          <w:color w:val="auto"/>
        </w:rPr>
      </w:pPr>
    </w:p>
    <w:p>
      <w:pPr>
        <w:ind w:left="1060" w:hanging="350"/>
        <w:spacing w:after="0"/>
        <w:tabs>
          <w:tab w:leader="none" w:pos="10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$50 million of incremental COGS productivity savings</w:t>
      </w: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49" w:right="699" w:bottom="1440" w:gutter="0" w:footer="0" w:header="0"/>
        </w:sectPr>
      </w:pPr>
    </w:p>
    <w:bookmarkStart w:id="37" w:name="page38"/>
    <w:bookmarkEnd w:id="37"/>
    <w:p>
      <w:pPr>
        <w:jc w:val="both"/>
        <w:ind w:left="360"/>
        <w:spacing w:after="0" w:line="250" w:lineRule="auto"/>
        <w:rPr>
          <w:sz w:val="20"/>
          <w:szCs w:val="20"/>
          <w:color w:val="auto"/>
        </w:rPr>
      </w:pPr>
      <w:r>
        <w:rPr>
          <w:rFonts w:ascii="Arial" w:cs="Arial" w:eastAsia="Arial" w:hAnsi="Arial"/>
          <w:sz w:val="20"/>
          <w:szCs w:val="20"/>
          <w:color w:val="auto"/>
        </w:rPr>
        <w:t>Ashland achieved over 90% of its target run-rate SARD cost savings and approximately 80% of its COGS productivity savings, in total representing about $86 million in annualized run-rate savings under these initiatives as of March 31, 2021. Ashland expects to be substantially complete with these initiatives by the end of calendar year 2021.</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Personal Care &amp; Household acquisition</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On January 19, 2021, Ashland announced it had signed a definitive agreement to acquire the personal care business of Schülke &amp; Mayr GmbH, a portfolio company of the global investment organization EQT.</w:t>
      </w:r>
    </w:p>
    <w:p>
      <w:pPr>
        <w:spacing w:after="0" w:line="69" w:lineRule="exact"/>
        <w:rPr>
          <w:sz w:val="20"/>
          <w:szCs w:val="20"/>
          <w:color w:val="auto"/>
        </w:rPr>
      </w:pPr>
    </w:p>
    <w:p>
      <w:pPr>
        <w:jc w:val="both"/>
        <w:ind w:left="360"/>
        <w:spacing w:after="0" w:line="316" w:lineRule="auto"/>
        <w:rPr>
          <w:sz w:val="20"/>
          <w:szCs w:val="20"/>
          <w:color w:val="auto"/>
        </w:rPr>
      </w:pPr>
      <w:r>
        <w:rPr>
          <w:rFonts w:ascii="Arial" w:cs="Arial" w:eastAsia="Arial" w:hAnsi="Arial"/>
          <w:sz w:val="18"/>
          <w:szCs w:val="18"/>
          <w:color w:val="auto"/>
        </w:rPr>
        <w:t>Under the terms of the agreement, Ashland will pay €262.5 million in an all cash transaction, which is expected to be completed before the end of the June 30, 2021 quarter subject to customary closing conditions and required regulatory approvals.</w:t>
      </w:r>
    </w:p>
    <w:p>
      <w:pPr>
        <w:spacing w:after="0" w:line="22"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During the three and six months ended March 31, 2021, Ashland incurred transaction costs of $5 million, including $3 million of losses associated with foreign currency derivatives entered into to mitigate the foreign exchange exposure of the expected purchase price. The costs are recorded within the Net income (loss) on acquisitions and divestitures caption in the Statements of Consolidated Comprehensive Income (Loss).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March 31, 2021 and 2020 included the following:</w:t>
      </w:r>
    </w:p>
    <w:p>
      <w:pPr>
        <w:spacing w:after="0" w:line="108" w:lineRule="exact"/>
        <w:rPr>
          <w:sz w:val="20"/>
          <w:szCs w:val="20"/>
          <w:color w:val="auto"/>
        </w:rPr>
      </w:pPr>
    </w:p>
    <w:p>
      <w:pPr>
        <w:ind w:left="720" w:hanging="361"/>
        <w:spacing w:after="0" w:line="31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Ashland’s net income/loss amounted to income of $41 million compared to a loss of $582 million for the three months ended March 31, 2021 and 2020, respectively, or income of $0.66 and loss of $9.61 diluted earnings per share, respectively.</w:t>
      </w:r>
    </w:p>
    <w:p>
      <w:pPr>
        <w:spacing w:after="0" w:line="21" w:lineRule="exact"/>
        <w:rPr>
          <w:rFonts w:ascii="Arial" w:cs="Arial" w:eastAsia="Arial" w:hAnsi="Arial"/>
          <w:sz w:val="18"/>
          <w:szCs w:val="18"/>
          <w:color w:val="auto"/>
        </w:rPr>
      </w:pPr>
    </w:p>
    <w:p>
      <w:pPr>
        <w:ind w:left="720" w:hanging="361"/>
        <w:spacing w:after="0" w:line="26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$2 million and $7 million during the three months ended March 31, 2021 and 2020, respectively.</w:t>
      </w:r>
    </w:p>
    <w:p>
      <w:pPr>
        <w:spacing w:after="0" w:line="68"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Income/loss from continuing operations, which excludes results from discontinued operations, amounted to income of $43 million and a loss of $575 million for the three months ended March 31, 2021 and 2020, respectively.</w:t>
      </w:r>
    </w:p>
    <w:p>
      <w:pPr>
        <w:spacing w:after="0" w:line="68"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Results from continuing operations include a goodwill impairment charge of $530 million during the prior year quarter related to the Personal Care &amp; Household and the Specialty Additives segments.</w:t>
      </w:r>
    </w:p>
    <w:p>
      <w:pPr>
        <w:spacing w:after="0" w:line="68" w:lineRule="exact"/>
        <w:rPr>
          <w:rFonts w:ascii="Arial" w:cs="Arial" w:eastAsia="Arial" w:hAnsi="Arial"/>
          <w:sz w:val="20"/>
          <w:szCs w:val="20"/>
          <w:color w:val="auto"/>
        </w:rPr>
      </w:pPr>
    </w:p>
    <w:p>
      <w:pPr>
        <w:ind w:left="720" w:hanging="361"/>
        <w:spacing w:after="0" w:line="369"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effective income tax rates were an expense of zero percent and a benefit of 2% for the three months ended March 31, 2021 and 2020, respectively, and were significantly impacted by certain tax discrete items in both the current and prior year quarters.</w:t>
      </w:r>
    </w:p>
    <w:p>
      <w:pPr>
        <w:spacing w:after="0" w:line="1" w:lineRule="exact"/>
        <w:rPr>
          <w:rFonts w:ascii="Arial" w:cs="Arial" w:eastAsia="Arial" w:hAnsi="Arial"/>
          <w:sz w:val="16"/>
          <w:szCs w:val="16"/>
          <w:color w:val="auto"/>
        </w:rPr>
      </w:pPr>
    </w:p>
    <w:p>
      <w:pPr>
        <w:jc w:val="both"/>
        <w:ind w:left="720" w:hanging="361"/>
        <w:spacing w:after="0" w:line="246"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$23 million and $117 million for the three months ended March 31, 2021 and 2020, respectively. This includes losses of $4 million and $29 million on restricted investments, respectively, for the current and prior year quarters, as well as charges for $59 million and $8 million for debt refinancing costs and accelerated debt issuance costs, respectively, for the prior year quarter.</w:t>
      </w:r>
    </w:p>
    <w:p>
      <w:pPr>
        <w:spacing w:after="0" w:line="83" w:lineRule="exact"/>
        <w:rPr>
          <w:rFonts w:ascii="Arial" w:cs="Arial" w:eastAsia="Arial" w:hAnsi="Arial"/>
          <w:sz w:val="20"/>
          <w:szCs w:val="20"/>
          <w:color w:val="auto"/>
        </w:rPr>
      </w:pP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Net income (loss) on divestitures totaled a loss of $5 million for the three months ended March 31, 2021.</w:t>
      </w:r>
    </w:p>
    <w:p>
      <w:pPr>
        <w:spacing w:after="0" w:line="107"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Operating income/loss was an income of $71 million and a loss of $468 million for the three months ended March 31, 2021 and 2020, respectively.</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six months ended March 31, 2021 and 2020 included the following:</w:t>
      </w:r>
    </w:p>
    <w:p>
      <w:pPr>
        <w:spacing w:after="0" w:line="108" w:lineRule="exact"/>
        <w:rPr>
          <w:sz w:val="20"/>
          <w:szCs w:val="20"/>
          <w:color w:val="auto"/>
        </w:rPr>
      </w:pPr>
    </w:p>
    <w:p>
      <w:pPr>
        <w:ind w:left="720" w:hanging="361"/>
        <w:spacing w:after="0" w:line="31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Ashland’s net income/loss amounted to income of $97 million compared to a loss of $550 million for the six months ended March 31, 2021 and 2020, respectively, or income of $1.57 and loss of $9.08 diluted earnings per share, respectively.</w:t>
      </w:r>
    </w:p>
    <w:p>
      <w:pPr>
        <w:spacing w:after="0" w:line="1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63" w:right="699" w:bottom="1440" w:gutter="0" w:footer="0" w:header="0"/>
        </w:sectPr>
      </w:pPr>
    </w:p>
    <w:bookmarkStart w:id="38" w:name="page39"/>
    <w:bookmarkEnd w:id="38"/>
    <w:p>
      <w:pPr>
        <w:ind w:left="361" w:hanging="361"/>
        <w:spacing w:after="0" w:line="260"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$7 million and $9 million during the six months ended March 31, 2021 and 2020, respectively.</w:t>
      </w:r>
    </w:p>
    <w:p>
      <w:pPr>
        <w:spacing w:after="0" w:line="68"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Income/loss from continuing operations, which excludes results from discontinued operations, amounted to income of $104 million and a loss of $541 million for the six months ended March 31, 2021 and 2020, respectively.</w:t>
      </w:r>
    </w:p>
    <w:p>
      <w:pPr>
        <w:spacing w:after="0" w:line="68"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Results from continuing operations include a goodwill impairment charge of $530 million during the prior year period related to the Personal Care &amp; Household and the Specialty Additives segments.</w:t>
      </w:r>
    </w:p>
    <w:p>
      <w:pPr>
        <w:spacing w:after="0" w:line="68" w:lineRule="exact"/>
        <w:rPr>
          <w:rFonts w:ascii="Arial" w:cs="Arial" w:eastAsia="Arial" w:hAnsi="Arial"/>
          <w:sz w:val="20"/>
          <w:szCs w:val="20"/>
          <w:color w:val="auto"/>
        </w:rPr>
      </w:pPr>
    </w:p>
    <w:p>
      <w:pPr>
        <w:ind w:left="361" w:hanging="361"/>
        <w:spacing w:after="0" w:line="316" w:lineRule="auto"/>
        <w:tabs>
          <w:tab w:leader="none" w:pos="3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income tax rates were an expense of zero percent and a benefit of 6% for the six months ended March 31, 2021 and 2020, respectively, and were significantly impacted by certain tax discrete items in both the current and prior year periods.</w:t>
      </w:r>
    </w:p>
    <w:p>
      <w:pPr>
        <w:spacing w:after="0" w:line="21" w:lineRule="exact"/>
        <w:rPr>
          <w:rFonts w:ascii="Arial" w:cs="Arial" w:eastAsia="Arial" w:hAnsi="Arial"/>
          <w:sz w:val="18"/>
          <w:szCs w:val="18"/>
          <w:color w:val="auto"/>
        </w:rPr>
      </w:pPr>
    </w:p>
    <w:p>
      <w:pPr>
        <w:jc w:val="both"/>
        <w:ind w:left="361" w:hanging="361"/>
        <w:spacing w:after="0" w:line="246"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$17 million and $127 million for the six months ended March 31, 2021 and 2020, respectively. This includes income of $19 million and losses of $16 million on restricted investments, respectively, for the current and prior year periods, as well as charges for $59 million and $8 million for debt refinancing costs and accelerated debt issuance costs, respectively, for the prior year period.</w:t>
      </w:r>
    </w:p>
    <w:p>
      <w:pPr>
        <w:spacing w:after="0" w:line="83"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Net income on divestitures totaled income of $9 million and $3 million for the six months ended March 31, 2021 and 2020, respectively.</w:t>
      </w:r>
    </w:p>
    <w:p>
      <w:pPr>
        <w:spacing w:after="0" w:line="68"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Operating income/loss was income of $112 million and a loss of $451 million for the six months ended March 31, 2021 and 2020, respectively.</w:t>
      </w:r>
    </w:p>
    <w:p>
      <w:pPr>
        <w:spacing w:after="0" w:line="6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income/loss amounted to income of $71 million and loss of $468 million for the three months ended March 31, 2021 and 2020,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361" w:hanging="361"/>
        <w:spacing w:after="0" w:line="244" w:lineRule="auto"/>
        <w:tabs>
          <w:tab w:leader="none" w:pos="361"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6" w:lineRule="exact"/>
        <w:rPr>
          <w:rFonts w:ascii="Arial" w:cs="Arial" w:eastAsia="Arial" w:hAnsi="Arial"/>
          <w:sz w:val="20"/>
          <w:szCs w:val="20"/>
          <w:color w:val="auto"/>
        </w:rPr>
      </w:pPr>
    </w:p>
    <w:p>
      <w:pPr>
        <w:jc w:val="both"/>
        <w:ind w:left="361" w:hanging="361"/>
        <w:spacing w:after="0" w:line="263" w:lineRule="auto"/>
        <w:tabs>
          <w:tab w:leader="none" w:pos="361" w:val="left"/>
        </w:tabs>
        <w:numPr>
          <w:ilvl w:val="0"/>
          <w:numId w:val="24"/>
        </w:numPr>
        <w:rPr>
          <w:rFonts w:ascii="Arial" w:cs="Arial" w:eastAsia="Arial" w:hAnsi="Arial"/>
          <w:sz w:val="19"/>
          <w:szCs w:val="19"/>
          <w:color w:val="auto"/>
        </w:rPr>
      </w:pPr>
      <w:r>
        <w:rPr>
          <w:rFonts w:ascii="Arial" w:cs="Arial" w:eastAsia="Arial" w:hAnsi="Arial"/>
          <w:sz w:val="19"/>
          <w:szCs w:val="19"/>
          <w:color w:val="auto"/>
        </w:rPr>
        <w:t>Goodwill impairment – During the prior year quarter,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non-cash goodwill impairment charge.</w:t>
      </w:r>
    </w:p>
    <w:p>
      <w:pPr>
        <w:spacing w:after="0" w:line="68" w:lineRule="exact"/>
        <w:rPr>
          <w:rFonts w:ascii="Arial" w:cs="Arial" w:eastAsia="Arial" w:hAnsi="Arial"/>
          <w:sz w:val="19"/>
          <w:szCs w:val="19"/>
          <w:color w:val="auto"/>
        </w:rPr>
      </w:pPr>
    </w:p>
    <w:p>
      <w:pPr>
        <w:jc w:val="both"/>
        <w:ind w:left="361" w:hanging="361"/>
        <w:spacing w:after="0" w:line="250" w:lineRule="auto"/>
        <w:tabs>
          <w:tab w:leader="none" w:pos="361"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Lower of cost or net realizable value inventory adjustment – Inventories are carried at the lower of cost or net realizable value. When comparing the stated value of its inventory to its net realizable value, Ashland determined that an adjustment was required for the prior year quarter.</w:t>
      </w:r>
    </w:p>
    <w:p>
      <w:pPr>
        <w:spacing w:after="0" w:line="7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Operating income/loss for both the three months ended March 31, 2021 and 2020 included depreciation and amortization of $62 million and $61 million, respectively.</w:t>
      </w:r>
    </w:p>
    <w:p>
      <w:pPr>
        <w:spacing w:after="0" w:line="69"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Operating income/loss amounted to income of $112 million and loss of $451 million for the six months ended March 31, 2021 and 2020,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ind w:left="361" w:hanging="361"/>
        <w:spacing w:after="0" w:line="260" w:lineRule="auto"/>
        <w:tabs>
          <w:tab w:leader="none" w:pos="361"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447" w:right="699" w:bottom="1440" w:gutter="0" w:footer="0" w:header="0"/>
        </w:sectPr>
      </w:pPr>
    </w:p>
    <w:bookmarkStart w:id="39" w:name="page40"/>
    <w:bookmarkEnd w:id="39"/>
    <w:p>
      <w:pPr>
        <w:jc w:val="both"/>
        <w:ind w:left="720" w:right="360"/>
        <w:spacing w:after="0" w:line="250" w:lineRule="auto"/>
        <w:rPr>
          <w:sz w:val="20"/>
          <w:szCs w:val="20"/>
          <w:color w:val="auto"/>
        </w:rPr>
      </w:pPr>
      <w:r>
        <w:rPr>
          <w:rFonts w:ascii="Arial" w:cs="Arial" w:eastAsia="Arial" w:hAnsi="Arial"/>
          <w:sz w:val="20"/>
          <w:szCs w:val="20"/>
          <w:color w:val="auto"/>
        </w:rPr>
        <w:t>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78" w:lineRule="exact"/>
        <w:rPr>
          <w:sz w:val="20"/>
          <w:szCs w:val="20"/>
          <w:color w:val="auto"/>
        </w:rPr>
      </w:pPr>
    </w:p>
    <w:p>
      <w:pPr>
        <w:jc w:val="both"/>
        <w:ind w:left="720" w:right="360" w:hanging="361"/>
        <w:spacing w:after="0" w:line="263"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Goodwill impairment – During the prior year period,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non-cash goodwill impairment charge.</w:t>
      </w:r>
    </w:p>
    <w:p>
      <w:pPr>
        <w:spacing w:after="0" w:line="68" w:lineRule="exact"/>
        <w:rPr>
          <w:rFonts w:ascii="Arial" w:cs="Arial" w:eastAsia="Arial" w:hAnsi="Arial"/>
          <w:sz w:val="19"/>
          <w:szCs w:val="19"/>
          <w:color w:val="auto"/>
        </w:rPr>
      </w:pPr>
    </w:p>
    <w:p>
      <w:pPr>
        <w:jc w:val="both"/>
        <w:ind w:left="720" w:right="360" w:hanging="361"/>
        <w:spacing w:after="0" w:line="250"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Lower of cost or net realizable value inventory adjustment – Inventories are carried at the lower of cost or net realizable value. When comparing the stated value of its inventory to its net realizable value, Ashland determined that an adjustment was required for the prior year period.</w:t>
      </w:r>
    </w:p>
    <w:p>
      <w:pPr>
        <w:spacing w:after="0" w:line="77" w:lineRule="exact"/>
        <w:rPr>
          <w:rFonts w:ascii="Arial" w:cs="Arial" w:eastAsia="Arial" w:hAnsi="Arial"/>
          <w:sz w:val="20"/>
          <w:szCs w:val="20"/>
          <w:color w:val="auto"/>
        </w:rPr>
      </w:pPr>
    </w:p>
    <w:p>
      <w:pPr>
        <w:ind w:left="720" w:right="360" w:hanging="361"/>
        <w:spacing w:after="0" w:line="260"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During the current year period, Ashland incurred an impairment charge associated with a long-term capital project plan change at a plant facility.</w:t>
      </w:r>
    </w:p>
    <w:p>
      <w:pPr>
        <w:spacing w:after="0" w:line="69" w:lineRule="exact"/>
        <w:rPr>
          <w:sz w:val="20"/>
          <w:szCs w:val="20"/>
          <w:color w:val="auto"/>
        </w:rPr>
      </w:pPr>
    </w:p>
    <w:p>
      <w:pPr>
        <w:ind w:left="360" w:right="360"/>
        <w:spacing w:after="0" w:line="260" w:lineRule="auto"/>
        <w:rPr>
          <w:sz w:val="20"/>
          <w:szCs w:val="20"/>
          <w:color w:val="auto"/>
        </w:rPr>
      </w:pPr>
      <w:r>
        <w:rPr>
          <w:rFonts w:ascii="Arial" w:cs="Arial" w:eastAsia="Arial" w:hAnsi="Arial"/>
          <w:sz w:val="20"/>
          <w:szCs w:val="20"/>
          <w:color w:val="auto"/>
        </w:rPr>
        <w:t>Operating income/loss for the six months ended March 31, 2021 and 2020 included depreciation and amortization of $124 million and $122 million, respectively.</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08" w:lineRule="exact"/>
        <w:rPr>
          <w:sz w:val="20"/>
          <w:szCs w:val="20"/>
          <w:color w:val="auto"/>
        </w:rPr>
      </w:pPr>
    </w:p>
    <w:p>
      <w:pPr>
        <w:jc w:val="both"/>
        <w:ind w:left="720" w:right="360" w:hanging="361"/>
        <w:spacing w:after="0" w:line="246"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Net income (loss) on acquisitions and divestitures – Ashland recorded a loss of $5 million and income of $9 million during the three and six months ended March 31, 2021, respectively. This includes a $5 million expense relating to transaction costs associated with acquisitions during the three months ended March 31, 2021 and a $14 million gain related to the sale of a Specialty Additives facility during the three months ended December 31, 2021.</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six months ended March 31, 2021 and 2020.</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7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Six months ended March 31</w:t>
            </w:r>
          </w:p>
        </w:tc>
        <w:tc>
          <w:tcPr>
            <w:tcW w:w="780" w:type="dxa"/>
            <w:vAlign w:val="bottom"/>
            <w:tcBorders>
              <w:top w:val="single" w:sz="8" w:color="auto"/>
              <w:bottom w:val="single" w:sz="8" w:color="auto"/>
            </w:tcBorders>
          </w:tcPr>
          <w:p>
            <w:pPr>
              <w:spacing w:after="0"/>
              <w:rPr>
                <w:sz w:val="21"/>
                <w:szCs w:val="2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1"/>
              </w:rPr>
              <w:t>Change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42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w:t>
            </w:r>
          </w:p>
        </w:tc>
        <w:tc>
          <w:tcPr>
            <w:tcW w:w="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5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1,149</w:t>
            </w:r>
          </w:p>
        </w:tc>
        <w:tc>
          <w:tcPr>
            <w:tcW w:w="4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1,143</w:t>
            </w:r>
          </w:p>
        </w:tc>
        <w:tc>
          <w:tcPr>
            <w:tcW w:w="5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bl>
    <w:p>
      <w:pPr>
        <w:spacing w:after="0" w:line="2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a reconciliation of the change in sales for the three and six months ended March 31, 2021 and 2020.</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9"/>
              </w:rPr>
              <w:t>Three months ended</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5"/>
              </w:rPr>
              <w:t>Six months ended</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March 31, 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March 31, 2021</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Volume</w:t>
            </w:r>
          </w:p>
        </w:tc>
        <w:tc>
          <w:tcPr>
            <w:tcW w:w="2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Pricing</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25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Change in sales</w:t>
            </w:r>
          </w:p>
        </w:tc>
        <w:tc>
          <w:tcPr>
            <w:tcW w:w="2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Sales for the current quarter decreased $12 million compared to the prior year quarter. Unfavorable volume and product pricing decreased sales by $26 million and $2 million, respectively. These decreases were partially offset by favorable foreign currency exchange which increased sales $16 million.</w:t>
      </w:r>
    </w:p>
    <w:p>
      <w:pPr>
        <w:spacing w:after="0" w:line="199" w:lineRule="exact"/>
        <w:rPr>
          <w:sz w:val="20"/>
          <w:szCs w:val="20"/>
          <w:color w:val="auto"/>
        </w:rPr>
      </w:pPr>
    </w:p>
    <w:p>
      <w:pPr>
        <w:jc w:val="both"/>
        <w:ind w:left="360" w:right="360"/>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Sales for the current year increased $6 million compared to the prior year period. Unfavorable volume and product pricing decreased sales by $13 million and $7 million, respectively. These decreases were more than offset by favorable foreign currency exchange which increased sales $26 million.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9"/>
              </w:rPr>
              <w:t>Six months ended March 31</w:t>
            </w:r>
          </w:p>
        </w:tc>
        <w:tc>
          <w:tcPr>
            <w:tcW w:w="400" w:type="dxa"/>
            <w:vAlign w:val="bottom"/>
          </w:tcPr>
          <w:p>
            <w:pPr>
              <w:spacing w:after="0"/>
              <w:rPr>
                <w:sz w:val="21"/>
                <w:szCs w:val="21"/>
                <w:color w:val="auto"/>
              </w:rPr>
            </w:pPr>
          </w:p>
        </w:tc>
      </w:tr>
      <w:tr>
        <w:trPr>
          <w:trHeight w:val="223"/>
        </w:trPr>
        <w:tc>
          <w:tcPr>
            <w:tcW w:w="372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85"/>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0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407</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413</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781</w:t>
            </w:r>
          </w:p>
        </w:tc>
        <w:tc>
          <w:tcPr>
            <w:tcW w:w="3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793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r>
      <w:tr>
        <w:trPr>
          <w:trHeight w:val="243"/>
        </w:trPr>
        <w:tc>
          <w:tcPr>
            <w:tcW w:w="3720" w:type="dxa"/>
            <w:vAlign w:val="bottom"/>
            <w:gridSpan w:val="2"/>
          </w:tcPr>
          <w:p>
            <w:pPr>
              <w:ind w:left="400"/>
              <w:spacing w:after="0"/>
              <w:rPr>
                <w:sz w:val="20"/>
                <w:szCs w:val="20"/>
                <w:color w:val="auto"/>
              </w:rPr>
            </w:pPr>
            <w:r>
              <w:rPr>
                <w:rFonts w:ascii="Arial" w:cs="Arial" w:eastAsia="Arial" w:hAnsi="Arial"/>
                <w:sz w:val="18"/>
                <w:szCs w:val="18"/>
                <w:b w:val="1"/>
                <w:bCs w:val="1"/>
                <w:color w:val="auto"/>
              </w:rPr>
              <w:t>Gross profit as a percent of sales</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32"/>
        </w:trPr>
        <w:tc>
          <w:tcPr>
            <w:tcW w:w="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40</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0" w:name="page41"/>
    <w:bookmarkEnd w:id="40"/>
    <w:p>
      <w:pPr>
        <w:jc w:val="both"/>
        <w:ind w:left="1"/>
        <w:spacing w:after="0" w:line="260" w:lineRule="auto"/>
        <w:rPr>
          <w:sz w:val="20"/>
          <w:szCs w:val="20"/>
          <w:color w:val="auto"/>
        </w:rPr>
      </w:pPr>
      <w:r>
        <w:rPr>
          <w:rFonts w:ascii="Arial" w:cs="Arial" w:eastAsia="Arial" w:hAnsi="Arial"/>
          <w:sz w:val="20"/>
          <w:szCs w:val="20"/>
          <w:color w:val="auto"/>
        </w:rPr>
        <w:t>The following table provides a reconciliation of the change in cost of sales between the three and six months ended March 31, 2021 and 2020.</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9"/>
              </w:rPr>
              <w:t>Three months ended</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5"/>
              </w:rPr>
              <w:t>Six months ended</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March 31, 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March 31, 2021</w:t>
            </w:r>
          </w:p>
        </w:tc>
      </w:tr>
      <w:tr>
        <w:trPr>
          <w:trHeight w:val="223"/>
        </w:trPr>
        <w:tc>
          <w:tcPr>
            <w:tcW w:w="20" w:type="dxa"/>
            <w:vAlign w:val="bottom"/>
          </w:tcPr>
          <w:p>
            <w:pPr>
              <w:spacing w:after="0"/>
              <w:rPr>
                <w:sz w:val="19"/>
                <w:szCs w:val="19"/>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Changes in:</w:t>
            </w:r>
          </w:p>
        </w:tc>
        <w:tc>
          <w:tcPr>
            <w:tcW w:w="2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Volume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Price/mix</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Currency exchange</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costs</w:t>
            </w:r>
          </w:p>
        </w:tc>
        <w:tc>
          <w:tcPr>
            <w:tcW w:w="2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Change in cost of sales</w:t>
            </w:r>
          </w:p>
        </w:tc>
        <w:tc>
          <w:tcPr>
            <w:tcW w:w="2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Cost of sales for the current quarter decreased $6 million compared to the prior year quarter. Price/mix and lower volume decreased cost of sales by $13 million and $14 million, respectively. These decreases were partially offset by higher operating costs, that includes an $11 million impact for unplanned plant shut-downs associated with winter storms in the U.S. Gulf Coast during the quarter, and foreign currency exchange which increased cost of sales by $15 million and $6 million, respectively.</w:t>
      </w:r>
    </w:p>
    <w:p>
      <w:pPr>
        <w:spacing w:after="0" w:line="175"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Cost of sales for the current year decreased $12 million compared to the prior year period. Price/mix and lower volume decreased cost of sales by $27 million and $3 million, respectively. These decreases were partially offset by higher operating costs, including the winter storm impact of $11 million, and foreign currency exchange which increased cost of sales by $6 million and $12 million, respectively.</w:t>
      </w:r>
    </w:p>
    <w:p>
      <w:pPr>
        <w:spacing w:after="0" w:line="200" w:lineRule="exact"/>
        <w:rPr>
          <w:sz w:val="20"/>
          <w:szCs w:val="20"/>
          <w:color w:val="auto"/>
        </w:rPr>
      </w:pPr>
    </w:p>
    <w:p>
      <w:pPr>
        <w:spacing w:after="0" w:line="352" w:lineRule="exact"/>
        <w:rPr>
          <w:sz w:val="20"/>
          <w:szCs w:val="20"/>
          <w:color w:val="auto"/>
        </w:rPr>
      </w:pPr>
    </w:p>
    <w:tbl>
      <w:tblPr>
        <w:tblLayout w:type="fixed"/>
        <w:tblInd w:w="41"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7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9"/>
              </w:rPr>
              <w:t>Six months ended March 31</w:t>
            </w: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85"/>
              </w:rPr>
              <w:t>Change</w:t>
            </w:r>
          </w:p>
        </w:tc>
      </w:tr>
      <w:tr>
        <w:trPr>
          <w:trHeight w:val="223"/>
        </w:trPr>
        <w:tc>
          <w:tcPr>
            <w:tcW w:w="2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8"/>
              </w:rPr>
              <w:t>Selling, general and administrative expense</w:t>
            </w:r>
          </w:p>
        </w:tc>
        <w:tc>
          <w:tcPr>
            <w:tcW w:w="6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103</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190</w:t>
            </w:r>
          </w:p>
        </w:tc>
        <w:tc>
          <w:tcPr>
            <w:tcW w:w="3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202</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As a percent of sales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8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Selling, general and administrative expense for the current quarter decreased $19 million compared to the prior year quarter with expenses as a percent of sales decreasing 2.9 percentage points. Key drivers of the fluctuation in selling, general and administrative expense compared to the prior year quarter were:</w:t>
      </w:r>
    </w:p>
    <w:p>
      <w:pPr>
        <w:spacing w:after="0" w:line="78" w:lineRule="exact"/>
        <w:rPr>
          <w:sz w:val="20"/>
          <w:szCs w:val="20"/>
          <w:color w:val="auto"/>
        </w:rPr>
      </w:pPr>
    </w:p>
    <w:p>
      <w:pPr>
        <w:ind w:left="361" w:hanging="361"/>
        <w:spacing w:after="0" w:line="260" w:lineRule="auto"/>
        <w:tabs>
          <w:tab w:leader="none" w:pos="361" w:val="left"/>
        </w:tabs>
        <w:numPr>
          <w:ilvl w:val="0"/>
          <w:numId w:val="28"/>
        </w:numPr>
        <w:rPr>
          <w:rFonts w:ascii="Arial" w:cs="Arial" w:eastAsia="Arial" w:hAnsi="Arial"/>
          <w:sz w:val="20"/>
          <w:szCs w:val="20"/>
          <w:color w:val="auto"/>
        </w:rPr>
      </w:pPr>
      <w:r>
        <w:rPr>
          <w:rFonts w:ascii="Arial" w:cs="Arial" w:eastAsia="Arial" w:hAnsi="Arial"/>
          <w:sz w:val="20"/>
          <w:szCs w:val="20"/>
          <w:color w:val="auto"/>
        </w:rPr>
        <w:t>$1 million and $14 million of key items for severance, lease abandonment and other restructuring costs during the three months ended March 31, 2021 and 2020, respectively;</w:t>
      </w:r>
    </w:p>
    <w:p>
      <w:pPr>
        <w:spacing w:after="0" w:line="68" w:lineRule="exact"/>
        <w:rPr>
          <w:rFonts w:ascii="Arial" w:cs="Arial" w:eastAsia="Arial" w:hAnsi="Arial"/>
          <w:sz w:val="20"/>
          <w:szCs w:val="20"/>
          <w:color w:val="auto"/>
        </w:rPr>
      </w:pPr>
    </w:p>
    <w:p>
      <w:pPr>
        <w:ind w:left="361" w:hanging="361"/>
        <w:spacing w:after="0"/>
        <w:tabs>
          <w:tab w:leader="none" w:pos="361"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Unfavorable environmental expense of $4 million;</w:t>
      </w:r>
    </w:p>
    <w:p>
      <w:pPr>
        <w:spacing w:after="0" w:line="107" w:lineRule="exact"/>
        <w:rPr>
          <w:rFonts w:ascii="Arial" w:cs="Arial" w:eastAsia="Arial" w:hAnsi="Arial"/>
          <w:sz w:val="20"/>
          <w:szCs w:val="20"/>
          <w:color w:val="auto"/>
        </w:rPr>
      </w:pPr>
    </w:p>
    <w:p>
      <w:pPr>
        <w:ind w:left="361" w:hanging="361"/>
        <w:spacing w:after="0"/>
        <w:tabs>
          <w:tab w:leader="none" w:pos="361"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Unfavorable currency exchange of $4 million during the three months ended March 31, 2021.</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remaining decrease was mainly due to achieved cost savings during the three months ended March 31, 2021 from restructuring programs initiated in fiscal year 2020.</w:t>
      </w:r>
    </w:p>
    <w:p>
      <w:pPr>
        <w:spacing w:after="0" w:line="19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Selling, general and administrative expense for the current year decreased $12 million compared to the prior year period with expenses as a percent of sales decreasing 1.2 percentage points. Key drivers of the fluctuation in selling, general and administrative expense compared to the prior year period were:</w:t>
      </w:r>
    </w:p>
    <w:p>
      <w:pPr>
        <w:spacing w:after="0" w:line="78" w:lineRule="exact"/>
        <w:rPr>
          <w:sz w:val="20"/>
          <w:szCs w:val="20"/>
          <w:color w:val="auto"/>
        </w:rPr>
      </w:pPr>
    </w:p>
    <w:p>
      <w:pPr>
        <w:ind w:left="361" w:hanging="361"/>
        <w:spacing w:after="0" w:line="260" w:lineRule="auto"/>
        <w:tabs>
          <w:tab w:leader="none" w:pos="361" w:val="left"/>
        </w:tabs>
        <w:numPr>
          <w:ilvl w:val="0"/>
          <w:numId w:val="29"/>
        </w:numPr>
        <w:rPr>
          <w:rFonts w:ascii="Arial" w:cs="Arial" w:eastAsia="Arial" w:hAnsi="Arial"/>
          <w:sz w:val="20"/>
          <w:szCs w:val="20"/>
          <w:color w:val="auto"/>
        </w:rPr>
      </w:pPr>
      <w:r>
        <w:rPr>
          <w:rFonts w:ascii="Arial" w:cs="Arial" w:eastAsia="Arial" w:hAnsi="Arial"/>
          <w:sz w:val="20"/>
          <w:szCs w:val="20"/>
          <w:color w:val="auto"/>
        </w:rPr>
        <w:t>$13 million and $21 million of key items for severance, lease abandonment and other restructuring costs during the six months ended March 31, 2021 and 2020, respectively;</w:t>
      </w:r>
    </w:p>
    <w:p>
      <w:pPr>
        <w:spacing w:after="0" w:line="68" w:lineRule="exact"/>
        <w:rPr>
          <w:rFonts w:ascii="Arial" w:cs="Arial" w:eastAsia="Arial" w:hAnsi="Arial"/>
          <w:sz w:val="20"/>
          <w:szCs w:val="20"/>
          <w:color w:val="auto"/>
        </w:rPr>
      </w:pPr>
    </w:p>
    <w:p>
      <w:pPr>
        <w:ind w:left="361" w:hanging="361"/>
        <w:spacing w:after="0"/>
        <w:tabs>
          <w:tab w:leader="none" w:pos="361" w:val="left"/>
        </w:tabs>
        <w:numPr>
          <w:ilvl w:val="0"/>
          <w:numId w:val="29"/>
        </w:numPr>
        <w:rPr>
          <w:rFonts w:ascii="Arial" w:cs="Arial" w:eastAsia="Arial" w:hAnsi="Arial"/>
          <w:sz w:val="20"/>
          <w:szCs w:val="20"/>
          <w:color w:val="auto"/>
        </w:rPr>
      </w:pPr>
      <w:r>
        <w:rPr>
          <w:rFonts w:ascii="Arial" w:cs="Arial" w:eastAsia="Arial" w:hAnsi="Arial"/>
          <w:sz w:val="20"/>
          <w:szCs w:val="20"/>
          <w:color w:val="auto"/>
        </w:rPr>
        <w:t>$9 million related to a capital project impairment during the six months ended March 31, 2021;</w:t>
      </w:r>
    </w:p>
    <w:p>
      <w:pPr>
        <w:spacing w:after="0" w:line="107" w:lineRule="exact"/>
        <w:rPr>
          <w:rFonts w:ascii="Arial" w:cs="Arial" w:eastAsia="Arial" w:hAnsi="Arial"/>
          <w:sz w:val="20"/>
          <w:szCs w:val="20"/>
          <w:color w:val="auto"/>
        </w:rPr>
      </w:pPr>
    </w:p>
    <w:p>
      <w:pPr>
        <w:ind w:left="361" w:hanging="361"/>
        <w:spacing w:after="0"/>
        <w:tabs>
          <w:tab w:leader="none" w:pos="361" w:val="left"/>
        </w:tabs>
        <w:numPr>
          <w:ilvl w:val="0"/>
          <w:numId w:val="29"/>
        </w:numPr>
        <w:rPr>
          <w:rFonts w:ascii="Arial" w:cs="Arial" w:eastAsia="Arial" w:hAnsi="Arial"/>
          <w:sz w:val="20"/>
          <w:szCs w:val="20"/>
          <w:color w:val="auto"/>
        </w:rPr>
      </w:pPr>
      <w:r>
        <w:rPr>
          <w:rFonts w:ascii="Arial" w:cs="Arial" w:eastAsia="Arial" w:hAnsi="Arial"/>
          <w:sz w:val="20"/>
          <w:szCs w:val="20"/>
          <w:color w:val="auto"/>
        </w:rPr>
        <w:t>Unfavorable environmental expense of $4 million; and</w:t>
      </w:r>
    </w:p>
    <w:p>
      <w:pPr>
        <w:spacing w:after="0" w:line="107" w:lineRule="exact"/>
        <w:rPr>
          <w:rFonts w:ascii="Arial" w:cs="Arial" w:eastAsia="Arial" w:hAnsi="Arial"/>
          <w:sz w:val="20"/>
          <w:szCs w:val="20"/>
          <w:color w:val="auto"/>
        </w:rPr>
      </w:pPr>
    </w:p>
    <w:p>
      <w:pPr>
        <w:ind w:left="361" w:hanging="361"/>
        <w:spacing w:after="0"/>
        <w:tabs>
          <w:tab w:leader="none" w:pos="361" w:val="left"/>
        </w:tabs>
        <w:numPr>
          <w:ilvl w:val="0"/>
          <w:numId w:val="29"/>
        </w:numPr>
        <w:rPr>
          <w:rFonts w:ascii="Arial" w:cs="Arial" w:eastAsia="Arial" w:hAnsi="Arial"/>
          <w:sz w:val="20"/>
          <w:szCs w:val="20"/>
          <w:color w:val="auto"/>
        </w:rPr>
      </w:pPr>
      <w:r>
        <w:rPr>
          <w:rFonts w:ascii="Arial" w:cs="Arial" w:eastAsia="Arial" w:hAnsi="Arial"/>
          <w:sz w:val="20"/>
          <w:szCs w:val="20"/>
          <w:color w:val="auto"/>
        </w:rPr>
        <w:t>Unfavorable currency exchange of $6 million during the six months ended March 31, 2021.</w:t>
      </w:r>
    </w:p>
    <w:p>
      <w:pPr>
        <w:spacing w:after="0" w:line="108"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remaining decrease was mainly due to achieved cost savings during the six months ended March 31, 2021 from restructuring programs initiated in fiscal year 2020.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784" w:right="699" w:bottom="1440" w:gutter="0" w:footer="0" w:header="0"/>
        </w:sectPr>
      </w:pPr>
    </w:p>
    <w:bookmarkStart w:id="41" w:name="page42"/>
    <w:bookmarkEnd w:id="41"/>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w w:val="94"/>
              </w:rPr>
              <w:t>Three months ended March 31</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98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 decrease is due to $2 million of one-time research and development credit charges in the prior year quarter and achieved cost savings from the restructuring programs initiated in fiscal 2020.</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decrease is due to $2 million of one-time research and development credit charges in the prior year period and achieved cost savings from the restructuring programs initiated in fiscal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 March 31</w:t>
            </w:r>
          </w:p>
        </w:tc>
        <w:tc>
          <w:tcPr>
            <w:tcW w:w="4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1"/>
              </w:rPr>
              <w:t>Six months ended March 31</w:t>
            </w:r>
          </w:p>
        </w:tc>
      </w:tr>
      <w:tr>
        <w:trPr>
          <w:trHeight w:val="223"/>
        </w:trPr>
        <w:tc>
          <w:tcPr>
            <w:tcW w:w="2620" w:type="dxa"/>
            <w:vAlign w:val="bottom"/>
            <w:gridSpan w:val="4"/>
          </w:tcPr>
          <w:p>
            <w:pPr>
              <w:ind w:left="40"/>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1"/>
              </w:rPr>
              <w:t>Change</w:t>
            </w:r>
          </w:p>
        </w:tc>
      </w:tr>
      <w:tr>
        <w:trPr>
          <w:trHeight w:val="223"/>
        </w:trPr>
        <w:tc>
          <w:tcPr>
            <w:tcW w:w="60" w:type="dxa"/>
            <w:vAlign w:val="bottom"/>
          </w:tcPr>
          <w:p>
            <w:pPr>
              <w:spacing w:after="0"/>
              <w:rPr>
                <w:sz w:val="19"/>
                <w:szCs w:val="19"/>
                <w:color w:val="auto"/>
              </w:rPr>
            </w:pPr>
          </w:p>
        </w:tc>
        <w:tc>
          <w:tcPr>
            <w:tcW w:w="25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w w:val="89"/>
              </w:rPr>
              <w:t>Intangibles amortization expense</w:t>
            </w:r>
          </w:p>
        </w:tc>
        <w:tc>
          <w:tcPr>
            <w:tcW w:w="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700" w:type="dxa"/>
            <w:vAlign w:val="bottom"/>
            <w:tcBorders>
              <w:top w:val="single" w:sz="8" w:color="auto"/>
            </w:tcBorders>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97"/>
        </w:trPr>
        <w:tc>
          <w:tcPr>
            <w:tcW w:w="7260" w:type="dxa"/>
            <w:vAlign w:val="bottom"/>
            <w:gridSpan w:val="15"/>
          </w:tcPr>
          <w:p>
            <w:pPr>
              <w:spacing w:after="0"/>
              <w:rPr>
                <w:sz w:val="20"/>
                <w:szCs w:val="20"/>
                <w:color w:val="auto"/>
              </w:rPr>
            </w:pPr>
            <w:r>
              <w:rPr>
                <w:rFonts w:ascii="Arial" w:cs="Arial" w:eastAsia="Arial" w:hAnsi="Arial"/>
                <w:sz w:val="20"/>
                <w:szCs w:val="20"/>
                <w:color w:val="auto"/>
                <w:w w:val="91"/>
              </w:rPr>
              <w:t>Current Quarter – Amortization expense is relatively consistent with the prior year quarter.</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7260" w:type="dxa"/>
            <w:vAlign w:val="bottom"/>
            <w:gridSpan w:val="15"/>
          </w:tcPr>
          <w:p>
            <w:pPr>
              <w:spacing w:after="0"/>
              <w:rPr>
                <w:sz w:val="20"/>
                <w:szCs w:val="20"/>
                <w:color w:val="auto"/>
              </w:rPr>
            </w:pPr>
            <w:r>
              <w:rPr>
                <w:rFonts w:ascii="Arial" w:cs="Arial" w:eastAsia="Arial" w:hAnsi="Arial"/>
                <w:sz w:val="20"/>
                <w:szCs w:val="20"/>
                <w:color w:val="auto"/>
                <w:w w:val="95"/>
              </w:rPr>
              <w:t>Year-to-date – Amortization expense is relatively consistent with the prior year period.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8"/>
        </w:trPr>
        <w:tc>
          <w:tcPr>
            <w:tcW w:w="6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9"/>
              </w:rPr>
              <w:t>Six months ended March 31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23"/>
        </w:trPr>
        <w:tc>
          <w:tcPr>
            <w:tcW w:w="2620" w:type="dxa"/>
            <w:vAlign w:val="bottom"/>
            <w:gridSpan w:val="4"/>
          </w:tcPr>
          <w:p>
            <w:pPr>
              <w:ind w:left="40"/>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w w:val="89"/>
              </w:rPr>
              <w:t>2020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5"/>
              </w:rPr>
              <w:t>Change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1"/>
              </w:rPr>
              <w:t>Change</w:t>
            </w:r>
          </w:p>
        </w:tc>
      </w:tr>
      <w:tr>
        <w:trPr>
          <w:trHeight w:val="223"/>
        </w:trPr>
        <w:tc>
          <w:tcPr>
            <w:tcW w:w="60" w:type="dxa"/>
            <w:vAlign w:val="bottom"/>
          </w:tcPr>
          <w:p>
            <w:pPr>
              <w:spacing w:after="0"/>
              <w:rPr>
                <w:sz w:val="19"/>
                <w:szCs w:val="19"/>
                <w:color w:val="auto"/>
              </w:rPr>
            </w:pPr>
          </w:p>
        </w:tc>
        <w:tc>
          <w:tcPr>
            <w:tcW w:w="25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Goodwill impairment</w:t>
            </w:r>
          </w:p>
        </w:tc>
        <w:tc>
          <w:tcPr>
            <w:tcW w:w="440" w:type="dxa"/>
            <w:vAlign w:val="bottom"/>
            <w:tcBorders>
              <w:top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4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5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 recorded an impairment charge of $530 million in the prior year quarter. See Note G for additional details.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Ashland recorded an impairment charge of $530 million in the prior year period.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0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4"/>
              </w:rPr>
              <w:t>Three months ended March 31</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7"/>
          </w:tcPr>
          <w:p>
            <w:pPr>
              <w:jc w:val="right"/>
              <w:ind w:right="49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income for the prior year quarter was primarily due to a liquidation gain of $3 million and China subsidies of $2 million.</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Other income was primarily related to a gain on sale of excess corporate property of roughly $4 million in the current year and a liquidation gain of $3 million and China subsidies of $2 million in the prior year period.</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9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w w:val="91"/>
              </w:rPr>
              <w:t>Three months ended March 31</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660" w:type="dxa"/>
            <w:vAlign w:val="bottom"/>
            <w:tcBorders>
              <w:top w:val="single" w:sz="8" w:color="auto"/>
              <w:bottom w:val="single" w:sz="8" w:color="auto"/>
            </w:tcBorders>
            <w:gridSpan w:val="7"/>
          </w:tcPr>
          <w:p>
            <w:pPr>
              <w:jc w:val="right"/>
              <w:ind w:right="410"/>
              <w:spacing w:after="0"/>
              <w:rPr>
                <w:sz w:val="20"/>
                <w:szCs w:val="20"/>
                <w:color w:val="auto"/>
              </w:rPr>
            </w:pPr>
            <w:r>
              <w:rPr>
                <w:rFonts w:ascii="Arial" w:cs="Arial" w:eastAsia="Arial" w:hAnsi="Arial"/>
                <w:sz w:val="18"/>
                <w:szCs w:val="18"/>
                <w:color w:val="auto"/>
                <w:w w:val="95"/>
              </w:rPr>
              <w:t>Six months ended March 31</w:t>
            </w: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5"/>
              </w:rPr>
              <w:t>Change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20" w:type="dxa"/>
            <w:vAlign w:val="bottom"/>
          </w:tcPr>
          <w:p>
            <w:pPr>
              <w:spacing w:after="0"/>
              <w:rPr>
                <w:sz w:val="19"/>
                <w:szCs w:val="19"/>
                <w:color w:val="auto"/>
              </w:rPr>
            </w:pPr>
          </w:p>
        </w:tc>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6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Loss on early retirement of debt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financing costs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Net interest and other expense decreased by $94 million during the current quarter compared to the prior year quarter. Interest expense decreased $11 million primarily due to lower cost of debt and lower debt levels during the current quarter compared to the prior year quarter excluding accelerated debt issuance costs and original issuance discount costs. Ashland incurred $8 million of accelerated debt issuance costs and original issuance discount costs, as well as $59 million of debt refinancing costs during the prior year quarter. Restricted investments included losses of $4 million compared to $29 million for the three months ended March 31, 2021 and 2020, respectively. See Note E for more information on the restricted investments.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687" w:right="69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Net interest and other expense decreased by $110 million during the current year compared to the prior year period. Interest expense decreased $18 million primarily due to lower cost of debt and lower debt levels during the current year compared to the prior year period excluding accelerated debt issuance costs and original issuance discount costs. Ashland incurred $8 million of accelerated debt issuance costs and original issuance discount costs, as well as $59 million of debt refinancing costs during the prior year period. Restricted investments included income of $19 million compared to losses of $16 million for the six months ended March 31, 2021 and 2020, respectively. See Note E for more information on the restricted investments.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4"/>
              </w:rPr>
              <w:t>Three months ended March 31</w:t>
            </w:r>
          </w:p>
        </w:tc>
        <w:tc>
          <w:tcPr>
            <w:tcW w:w="34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Net income (loss) on acquisitions and divestitures</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bl>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activity in the current year was related to a $5 million expense associated with acquisition related transactional costs (including losses associated with foreign currency derivatives) and a $14 million gain related to the sale of a Specialty Additives facility. The activity in the prior year related to post-closing adjustments for certain divestitures.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w w:val="99"/>
              </w:rPr>
              <w:t>Six months ended March 31</w:t>
            </w: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23"/>
        </w:trPr>
        <w:tc>
          <w:tcPr>
            <w:tcW w:w="20" w:type="dxa"/>
            <w:vAlign w:val="bottom"/>
          </w:tcPr>
          <w:p>
            <w:pPr>
              <w:spacing w:after="0"/>
              <w:rPr>
                <w:sz w:val="19"/>
                <w:szCs w:val="19"/>
                <w:color w:val="auto"/>
              </w:rPr>
            </w:pPr>
          </w:p>
        </w:tc>
        <w:tc>
          <w:tcPr>
            <w:tcW w:w="3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18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zero percent for the three months ended March 31, 2021. The current quarter tax rate was impacted by jurisdictional income mix, as well as favorable discrete items of $7 million primarily related to uncertain tax positions.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overall effective tax rate was a benefit of 2% for the three months ended March 31, 2020 and was impacted by a nondeductible goodwill impairment of $527 million of the $530 million charge taken during the prior year quarter.</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zero percent for the six months ended March 31, 2021. The current quarter tax rate was impacted by jurisdictional income mix, as well as favorable discrete items of $20 million primarily related to the sale of a Specialty Additives facility.</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overall effective tax rate was 6% for the six months ended March 31, 2020 and was primarily impacted by nondeductible goodwill impairment of $527 million as well as $25 million favorable tax discrete items from the tax benefit related to the Swiss Tax Reform enacted in the first quarter of fiscal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555" w:right="699" w:bottom="1440" w:gutter="0" w:footer="0" w:header="0"/>
        </w:sectPr>
      </w:pPr>
    </w:p>
    <w:bookmarkStart w:id="43" w:name="page44"/>
    <w:bookmarkEnd w:id="43"/>
    <w:p>
      <w:pPr>
        <w:ind w:left="1"/>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ind w:left="1"/>
        <w:spacing w:after="0" w:line="257"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2"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effective tax rate during the three and six months ended March 31, 2021 and 2020 was significantly impacted by the following tax specific key items:</w:t>
      </w:r>
    </w:p>
    <w:p>
      <w:pPr>
        <w:spacing w:after="0" w:line="190" w:lineRule="exact"/>
        <w:rPr>
          <w:sz w:val="20"/>
          <w:szCs w:val="20"/>
          <w:color w:val="auto"/>
        </w:rPr>
      </w:pPr>
    </w:p>
    <w:p>
      <w:pPr>
        <w:ind w:left="361" w:hanging="361"/>
        <w:spacing w:after="0"/>
        <w:tabs>
          <w:tab w:leader="none" w:pos="3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 tax positions – Includes the impact from the settlement of uncertain tax positions with various taxing authorities;</w:t>
      </w:r>
    </w:p>
    <w:p>
      <w:pPr>
        <w:spacing w:after="0" w:line="38" w:lineRule="exact"/>
        <w:rPr>
          <w:rFonts w:ascii="Arial" w:cs="Arial" w:eastAsia="Arial" w:hAnsi="Arial"/>
          <w:sz w:val="18"/>
          <w:szCs w:val="18"/>
          <w:color w:val="auto"/>
        </w:rPr>
      </w:pPr>
    </w:p>
    <w:p>
      <w:pPr>
        <w:ind w:left="361" w:hanging="361"/>
        <w:spacing w:after="0" w:line="239" w:lineRule="auto"/>
        <w:tabs>
          <w:tab w:leader="none" w:pos="361"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 the impact of the sale of a Specialty Additives facility; and</w:t>
      </w:r>
    </w:p>
    <w:p>
      <w:pPr>
        <w:jc w:val="both"/>
        <w:ind w:left="361" w:hanging="361"/>
        <w:spacing w:after="0"/>
        <w:tabs>
          <w:tab w:leader="none" w:pos="361" w:val="left"/>
        </w:tabs>
        <w:numPr>
          <w:ilvl w:val="0"/>
          <w:numId w:val="30"/>
        </w:numPr>
        <w:rPr>
          <w:rFonts w:ascii="Arial" w:cs="Arial" w:eastAsia="Arial" w:hAnsi="Arial"/>
          <w:sz w:val="20"/>
          <w:szCs w:val="20"/>
          <w:color w:val="auto"/>
        </w:rPr>
      </w:pPr>
      <w:r>
        <w:rPr>
          <w:rFonts w:ascii="Arial" w:cs="Arial" w:eastAsia="Arial" w:hAnsi="Arial"/>
          <w:sz w:val="20"/>
          <w:szCs w:val="20"/>
          <w:color w:val="auto"/>
        </w:rPr>
        <w:t>Other tax reform – Includes the impact from other items related to The Tax Cut and Jobs Act (Tax Act) and other tax law changes including Swiss Tax Reform. The Swiss Tax Reform benefit is an estimate based on ten 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8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Three months ended</w:t>
            </w: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Six months ended</w:t>
            </w:r>
          </w:p>
        </w:tc>
        <w:tc>
          <w:tcPr>
            <w:tcW w:w="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8"/>
                <w:szCs w:val="18"/>
                <w:color w:val="auto"/>
              </w:rPr>
              <w:t>March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color w:val="auto"/>
              </w:rPr>
              <w:t>March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60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43</w:t>
            </w:r>
          </w:p>
        </w:tc>
        <w:tc>
          <w:tcPr>
            <w:tcW w:w="740" w:type="dxa"/>
            <w:vAlign w:val="bottom"/>
            <w:tcBorders>
              <w:top w:val="single" w:sz="8" w:color="auto"/>
            </w:tcBorders>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c>
          <w:tcPr>
            <w:tcW w:w="42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104</w:t>
            </w:r>
          </w:p>
        </w:tc>
        <w:tc>
          <w:tcPr>
            <w:tcW w:w="700" w:type="dxa"/>
            <w:vAlign w:val="bottom"/>
            <w:tcBorders>
              <w:top w:val="single" w:sz="8" w:color="auto"/>
            </w:tcBorders>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648</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800" w:type="dxa"/>
            <w:vAlign w:val="bottom"/>
          </w:tcPr>
          <w:p>
            <w:pPr>
              <w:ind w:left="100"/>
              <w:spacing w:after="0"/>
              <w:rPr>
                <w:sz w:val="20"/>
                <w:szCs w:val="20"/>
                <w:color w:val="auto"/>
              </w:rPr>
            </w:pPr>
            <w:r>
              <w:rPr>
                <w:rFonts w:ascii="Arial" w:cs="Arial" w:eastAsia="Arial" w:hAnsi="Arial"/>
                <w:sz w:val="18"/>
                <w:szCs w:val="18"/>
                <w:b w:val="1"/>
                <w:bCs w:val="1"/>
                <w:color w:val="auto"/>
              </w:rPr>
              <w:t>before income taxes</w:t>
            </w:r>
          </w:p>
        </w:tc>
        <w:tc>
          <w:tcPr>
            <w:tcW w:w="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74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rate adjustments:</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Tax effect of key items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Uncertain tax positions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and separation activity</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tax reform</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income tax rate adjustments</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Adjusted income tax expense</w:t>
            </w:r>
          </w:p>
        </w:tc>
        <w:tc>
          <w:tcPr>
            <w:tcW w:w="320" w:type="dxa"/>
            <w:vAlign w:val="bottom"/>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82550</wp:posOffset>
            </wp:positionV>
            <wp:extent cx="6626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5" w:lineRule="exact"/>
        <w:rPr>
          <w:sz w:val="20"/>
          <w:szCs w:val="20"/>
          <w:color w:val="auto"/>
        </w:rPr>
      </w:pPr>
    </w:p>
    <w:p>
      <w:pPr>
        <w:ind w:left="361" w:hanging="361"/>
        <w:spacing w:after="0"/>
        <w:tabs>
          <w:tab w:leader="none" w:pos="361"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in this MD&amp;A for a summary of the key items, before tax.</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disclosed in this MD&amp;A.</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447" w:right="699" w:bottom="1440" w:gutter="0" w:footer="0" w:header="0"/>
        </w:sectPr>
      </w:pPr>
    </w:p>
    <w:bookmarkStart w:id="44" w:name="page45"/>
    <w:bookmarkEnd w:id="44"/>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4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5"/>
              </w:rPr>
              <w:t>Six months ended March 31</w:t>
            </w: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5"/>
              </w:rPr>
              <w:t>Change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5"/>
              </w:rPr>
              <w:t>Change</w:t>
            </w:r>
          </w:p>
        </w:tc>
      </w:tr>
      <w:tr>
        <w:trPr>
          <w:trHeight w:val="223"/>
        </w:trPr>
        <w:tc>
          <w:tcPr>
            <w:tcW w:w="20" w:type="dxa"/>
            <w:vAlign w:val="bottom"/>
          </w:tcPr>
          <w:p>
            <w:pPr>
              <w:spacing w:after="0"/>
              <w:rPr>
                <w:sz w:val="19"/>
                <w:szCs w:val="19"/>
                <w:color w:val="auto"/>
              </w:rPr>
            </w:pPr>
          </w:p>
        </w:tc>
        <w:tc>
          <w:tcPr>
            <w:tcW w:w="4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2"/>
              </w:rPr>
              <w:t>Income (loss) from discontinued operation (net of taxes)</w:t>
            </w: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Composites/Marl facility</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Water Technologies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Distribution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Asbestos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w w:val="87"/>
              </w:rPr>
              <w:t>Gain (loss) on disposal of discontinued operations (net of taxes)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Composites/Marl facility</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The activity for Water Technologies, Distribution and Composites/Marl facility during the current and prior year quarters was related to post-closing adjustments. In the prior year quarter, as a result of the divestiture of the Composites segment and Marl facility, the related operating results were reflected as discontinued operations (net of tax) within the Statements of Consolidated Comprehensive Income (Loss). For the Maleic business component of the Composites business not sold to INEOS, the sales and pre-tax operating income included in discontinued operations were $17 million and $5 million, respectively, for the prior year quarter. Asbestos activity in the prior year quarter relates to insurance settlement activity.</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The activity for Valvoline, Water Technologies, Distribution and Composites/Marl facility during the current and prior year periods was related to post-closing adjustments. In the prior year period, as a result of the divestiture of the Composites segment and Marl facility, the related operating results were reflected as discontinued operations (net of tax) within the Statements of Consolidated Comprehensive Income (Loss). For the Maleic business component of the Composites business not sold to INEOS, the sales and pre-tax operating income included in discontinued operations were $28 million and $7 million, respectively, for the prior year period. Asbestos activity in the prior year period relates to insurance settlement activity.</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comparative analysis of the components of other comprehensive income is provided below for the three and six months ended March 31, 2021 and 2020.</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7"/>
          </w:tcPr>
          <w:p>
            <w:pPr>
              <w:jc w:val="right"/>
              <w:ind w:right="310"/>
              <w:spacing w:after="0"/>
              <w:rPr>
                <w:sz w:val="20"/>
                <w:szCs w:val="20"/>
                <w:color w:val="auto"/>
              </w:rPr>
            </w:pPr>
            <w:r>
              <w:rPr>
                <w:rFonts w:ascii="Arial" w:cs="Arial" w:eastAsia="Arial" w:hAnsi="Arial"/>
                <w:sz w:val="18"/>
                <w:szCs w:val="18"/>
                <w:color w:val="auto"/>
                <w:w w:val="91"/>
              </w:rPr>
              <w:t>Three months ended March 31</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1"/>
              </w:rPr>
              <w:t>Change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20" w:type="dxa"/>
            <w:vAlign w:val="bottom"/>
          </w:tcPr>
          <w:p>
            <w:pPr>
              <w:spacing w:after="0"/>
              <w:rPr>
                <w:sz w:val="19"/>
                <w:szCs w:val="19"/>
                <w:color w:val="auto"/>
              </w:rPr>
            </w:pPr>
          </w:p>
        </w:tc>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6"/>
              </w:rPr>
              <w:t>Other comprehensive income (loss) (net of taxes)</w:t>
            </w:r>
          </w:p>
        </w:tc>
        <w:tc>
          <w:tcPr>
            <w:tcW w:w="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Total other comprehensive income (loss), net of tax, for the current quarter increased $18 million compared to the prior year quarter primarily as a result of the following:</w:t>
      </w:r>
    </w:p>
    <w:p>
      <w:pPr>
        <w:spacing w:after="0" w:line="69" w:lineRule="exact"/>
        <w:rPr>
          <w:sz w:val="20"/>
          <w:szCs w:val="20"/>
          <w:color w:val="auto"/>
        </w:rPr>
      </w:pPr>
    </w:p>
    <w:p>
      <w:pPr>
        <w:jc w:val="both"/>
        <w:ind w:left="700" w:hanging="350"/>
        <w:spacing w:after="0" w:line="246" w:lineRule="auto"/>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the three months ended March 31, 2021, the change in unrealized gain (loss) from foreign currency translation adjustments resulted in a loss of $34 million compared to a loss of $52 million for the three months ended March 31, 2020. The fluctuations in unrealized translation gains and losses are primarily due to translating foreign subsidiary financial statements from local currencies to U.S. Dollars.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Total other comprehensive income (loss), net of tax, for the current year increased $28 million compared to the prior year period primarily as a result of the following:</w:t>
      </w:r>
    </w:p>
    <w:p>
      <w:pPr>
        <w:spacing w:after="0" w:line="69" w:lineRule="exact"/>
        <w:rPr>
          <w:sz w:val="20"/>
          <w:szCs w:val="20"/>
          <w:color w:val="auto"/>
        </w:rPr>
      </w:pPr>
    </w:p>
    <w:p>
      <w:pPr>
        <w:jc w:val="both"/>
        <w:ind w:left="700" w:hanging="350"/>
        <w:spacing w:after="0" w:line="246" w:lineRule="auto"/>
        <w:tabs>
          <w:tab w:leader="none" w:pos="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six months ended March 31, 2021, the change in unrealized gain (loss) from foreign currency translation adjustments resulted in a gain of $14 million compared to a loss of $14 million for the six months ended March 31, 2020. The fluctuations in unrealized translation gains and losses are primarily due to translating foreign subsidiary financial statements from local currencies to U.S. Dollars.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673" w:right="699" w:bottom="1440" w:gutter="0" w:footer="0" w:header="0"/>
        </w:sectPr>
      </w:pPr>
    </w:p>
    <w:bookmarkStart w:id="45" w:name="page46"/>
    <w:bookmarkEnd w:id="45"/>
    <w:p>
      <w:pPr>
        <w:ind w:left="1"/>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361" w:hanging="361"/>
        <w:spacing w:after="0" w:line="260" w:lineRule="auto"/>
        <w:tabs>
          <w:tab w:leader="none" w:pos="3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361" w:hanging="361"/>
        <w:spacing w:after="0" w:line="250" w:lineRule="auto"/>
        <w:tabs>
          <w:tab w:leader="none" w:pos="3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the remeasurement gains and losses related to pension and other postretirement plans).</w:t>
      </w:r>
    </w:p>
    <w:p>
      <w:pPr>
        <w:spacing w:after="0" w:line="77" w:lineRule="exact"/>
        <w:rPr>
          <w:rFonts w:ascii="Arial" w:cs="Arial" w:eastAsia="Arial" w:hAnsi="Arial"/>
          <w:sz w:val="20"/>
          <w:szCs w:val="20"/>
          <w:color w:val="auto"/>
        </w:rPr>
      </w:pPr>
    </w:p>
    <w:p>
      <w:pPr>
        <w:ind w:left="361" w:hanging="361"/>
        <w:spacing w:after="0"/>
        <w:tabs>
          <w:tab w:leader="none" w:pos="3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361" w:hanging="361"/>
        <w:spacing w:after="0" w:line="316" w:lineRule="auto"/>
        <w:tabs>
          <w:tab w:leader="none" w:pos="3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21" w:lineRule="exact"/>
        <w:rPr>
          <w:rFonts w:ascii="Arial" w:cs="Arial" w:eastAsia="Arial" w:hAnsi="Arial"/>
          <w:sz w:val="18"/>
          <w:szCs w:val="18"/>
          <w:color w:val="auto"/>
        </w:rPr>
      </w:pPr>
    </w:p>
    <w:p>
      <w:pPr>
        <w:ind w:left="361" w:hanging="361"/>
        <w:spacing w:after="0"/>
        <w:tabs>
          <w:tab w:leader="none" w:pos="3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1"/>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8"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3"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2"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663" w:right="699" w:bottom="1440" w:gutter="0" w:footer="0" w:header="0"/>
        </w:sectPr>
      </w:pPr>
    </w:p>
    <w:bookmarkStart w:id="46" w:name="page47"/>
    <w:bookmarkEnd w:id="46"/>
    <w:p>
      <w:pPr>
        <w:jc w:val="both"/>
        <w:ind w:left="360" w:right="360"/>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ind w:left="360" w:right="360"/>
        <w:spacing w:after="0" w:line="259" w:lineRule="auto"/>
        <w:rPr>
          <w:sz w:val="20"/>
          <w:szCs w:val="20"/>
          <w:color w:val="auto"/>
        </w:rPr>
      </w:pPr>
      <w:r>
        <w:rPr>
          <w:rFonts w:ascii="Arial" w:cs="Arial" w:eastAsia="Arial" w:hAnsi="Arial"/>
          <w:sz w:val="19"/>
          <w:szCs w:val="19"/>
          <w:color w:val="auto"/>
        </w:rPr>
        <w:t>EBITDA totaled income of $126 million and a loss of $414 million for the three months ended March 31, 2021 and 2020, respectively, and income of $238 million and a loss of $335 million for the six months ended March 31, 2021 and 2020,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4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89"/>
              </w:rPr>
              <w:t>Three months ended</w:t>
            </w: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4"/>
              </w:rPr>
              <w:t>Six months ended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46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480" w:type="dxa"/>
            <w:vAlign w:val="bottom"/>
            <w:tcBorders>
              <w:top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w:t>
            </w: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tax)</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Goodwill impairment</w:t>
            </w: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Inventory adjustment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Capital project impairment</w:t>
            </w: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gain (loss) on acquisitions and divestitures</w:t>
            </w:r>
          </w:p>
        </w:tc>
        <w:tc>
          <w:tcPr>
            <w:tcW w:w="2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2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20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42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vMerge w:val="continue"/>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Accelerated amortization of debt issuance costs</w:t>
            </w: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Debt refinancing costs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securities</w:t>
            </w:r>
          </w:p>
        </w:tc>
        <w:tc>
          <w:tcPr>
            <w:tcW w:w="2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400"/>
              <w:spacing w:after="0"/>
              <w:rPr>
                <w:sz w:val="20"/>
                <w:szCs w:val="20"/>
                <w:color w:val="auto"/>
              </w:rPr>
            </w:pPr>
            <w:r>
              <w:rPr>
                <w:rFonts w:ascii="Arial" w:cs="Arial" w:eastAsia="Arial" w:hAnsi="Arial"/>
                <w:sz w:val="18"/>
                <w:szCs w:val="18"/>
                <w:color w:val="auto"/>
              </w:rPr>
              <w:t>Total key items, before tax</w:t>
            </w:r>
          </w:p>
        </w:tc>
        <w:tc>
          <w:tcPr>
            <w:tcW w:w="20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40" w:type="dxa"/>
            <w:vAlign w:val="bottom"/>
            <w:vMerge w:val="restart"/>
          </w:tcPr>
          <w:p>
            <w:pPr>
              <w:jc w:val="right"/>
              <w:ind w:right="107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7" w:name="page48"/>
    <w:bookmarkEnd w:id="47"/>
    <w:p>
      <w:pPr>
        <w:ind w:left="1"/>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1"/>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1"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2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0"/>
              </w:rPr>
              <w:t>Three months ended</w:t>
            </w: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4"/>
              </w:rPr>
              <w:t>Six months ended</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0.69</w:t>
            </w: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0.35</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Capital project impairment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securities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8.75</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 adjustment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0.06</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Accelerated amortization of debt issuance costs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0.13</w:t>
            </w: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refinancing costs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0.97</w:t>
            </w: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gain (loss) on acquisitions and divestitures</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10.67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10.64</w:t>
            </w: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10.32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w:t>
            </w: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Tax specific key items: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and separation activity</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Uncertain tax positions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tax reform related activity</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0.08</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10.32</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9.90</w:t>
            </w:r>
          </w:p>
        </w:tc>
      </w:tr>
      <w:tr>
        <w:trPr>
          <w:trHeight w:val="263"/>
        </w:trPr>
        <w:tc>
          <w:tcPr>
            <w:tcW w:w="6280" w:type="dxa"/>
            <w:vAlign w:val="bottom"/>
            <w:gridSpan w:val="2"/>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0.84</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expense adjustment (net of tax) (c)</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0.28</w:t>
            </w: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0.28</w:t>
            </w: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0.56</w:t>
            </w:r>
          </w:p>
        </w:tc>
      </w:tr>
      <w:tr>
        <w:trPr>
          <w:trHeight w:val="209"/>
        </w:trPr>
        <w:tc>
          <w:tcPr>
            <w:tcW w:w="6280" w:type="dxa"/>
            <w:vAlign w:val="bottom"/>
            <w:gridSpan w:val="2"/>
          </w:tcPr>
          <w:p>
            <w:pPr>
              <w:spacing w:after="0"/>
              <w:rPr>
                <w:sz w:val="20"/>
                <w:szCs w:val="20"/>
                <w:color w:val="auto"/>
              </w:rPr>
            </w:pPr>
            <w:r>
              <w:rPr>
                <w:rFonts w:ascii="Arial" w:cs="Arial" w:eastAsia="Arial" w:hAnsi="Arial"/>
                <w:sz w:val="18"/>
                <w:szCs w:val="18"/>
                <w:color w:val="auto"/>
                <w:w w:val="94"/>
              </w:rPr>
              <w:t>Adjusted diluted EPS from continuing operations (non-GAAP) excluding intangibles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0"/>
                <w:szCs w:val="20"/>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361" w:hanging="361"/>
        <w:spacing w:after="0"/>
        <w:tabs>
          <w:tab w:leader="none" w:pos="361"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spacing w:after="0" w:line="55" w:lineRule="exact"/>
        <w:rPr>
          <w:rFonts w:ascii="Arial" w:cs="Arial" w:eastAsia="Arial" w:hAnsi="Arial"/>
          <w:sz w:val="14"/>
          <w:szCs w:val="14"/>
          <w:color w:val="auto"/>
        </w:rPr>
      </w:pPr>
    </w:p>
    <w:p>
      <w:pPr>
        <w:jc w:val="both"/>
        <w:ind w:left="361" w:hanging="361"/>
        <w:spacing w:after="0" w:line="227" w:lineRule="auto"/>
        <w:tabs>
          <w:tab w:leader="none" w:pos="361"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ind w:left="361" w:hanging="361"/>
        <w:spacing w:after="0" w:line="237" w:lineRule="auto"/>
        <w:tabs>
          <w:tab w:leader="none" w:pos="361"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21% and 20% for the three months ended March 31, 2021 and 2020, respectively, and 21% and 20% for the six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663" w:right="69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360"/>
        <w:spacing w:after="0" w:line="342" w:lineRule="auto"/>
        <w:rPr>
          <w:sz w:val="20"/>
          <w:szCs w:val="20"/>
          <w:color w:val="auto"/>
        </w:rPr>
      </w:pPr>
      <w:r>
        <w:rPr>
          <w:rFonts w:ascii="Arial" w:cs="Arial" w:eastAsia="Arial" w:hAnsi="Arial"/>
          <w:sz w:val="16"/>
          <w:szCs w:val="16"/>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w:t>
      </w:r>
    </w:p>
    <w:p>
      <w:pPr>
        <w:spacing w:after="0" w:line="10" w:lineRule="exact"/>
        <w:rPr>
          <w:sz w:val="20"/>
          <w:szCs w:val="20"/>
          <w:color w:val="auto"/>
        </w:rPr>
      </w:pPr>
    </w:p>
    <w:p>
      <w:pPr>
        <w:jc w:val="both"/>
        <w:ind w:left="36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6"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EBITDA by reportable segment for the three and six months ended March 31, 2021 and 2020.</w:t>
      </w: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57" w:right="699" w:bottom="1440" w:gutter="0" w:footer="0" w:header="0"/>
        </w:sectPr>
      </w:pPr>
    </w:p>
    <w:bookmarkStart w:id="49" w:name="page50"/>
    <w:bookmarkEnd w:id="49"/>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0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right"/>
              <w:ind w:right="167"/>
              <w:spacing w:after="0"/>
              <w:rPr>
                <w:sz w:val="20"/>
                <w:szCs w:val="20"/>
                <w:color w:val="auto"/>
              </w:rPr>
            </w:pPr>
            <w:r>
              <w:rPr>
                <w:rFonts w:ascii="Arial" w:cs="Arial" w:eastAsia="Arial" w:hAnsi="Arial"/>
                <w:sz w:val="18"/>
                <w:szCs w:val="18"/>
                <w:color w:val="auto"/>
              </w:rPr>
              <w:t>Three months ended</w:t>
            </w: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07"/>
              <w:spacing w:after="0"/>
              <w:rPr>
                <w:sz w:val="20"/>
                <w:szCs w:val="20"/>
                <w:color w:val="auto"/>
              </w:rPr>
            </w:pPr>
            <w:r>
              <w:rPr>
                <w:rFonts w:ascii="Arial" w:cs="Arial" w:eastAsia="Arial" w:hAnsi="Arial"/>
                <w:sz w:val="18"/>
                <w:szCs w:val="18"/>
                <w:color w:val="auto"/>
              </w:rPr>
              <w:t>Six months ended</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67"/>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(In millions - unaudited)</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6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Intermediates and Solvents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1,149</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6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EXPENSE</w:t>
            </w: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6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Life Sciences</w:t>
            </w:r>
          </w:p>
        </w:tc>
        <w:tc>
          <w:tcPr>
            <w:tcW w:w="10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Personal Care &amp; Household</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Specialties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i w:val="1"/>
                <w:iCs w:val="1"/>
                <w:color w:val="auto"/>
              </w:rPr>
              <w:t>Specialty Additives</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Performance Adhesives</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Industrial Specialties</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Intermediates and Solvents</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i w:val="1"/>
                <w:iCs w:val="1"/>
                <w:color w:val="auto"/>
              </w:rPr>
              <w:t>Unallocated and other</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61" w:hanging="361"/>
        <w:spacing w:after="0"/>
        <w:tabs>
          <w:tab w:leader="none" w:pos="361"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55" w:lineRule="exact"/>
        <w:rPr>
          <w:rFonts w:ascii="Arial" w:cs="Arial" w:eastAsia="Arial" w:hAnsi="Arial"/>
          <w:sz w:val="14"/>
          <w:szCs w:val="14"/>
          <w:color w:val="auto"/>
        </w:rPr>
      </w:pPr>
    </w:p>
    <w:p>
      <w:pPr>
        <w:ind w:left="361" w:hanging="361"/>
        <w:spacing w:after="0"/>
        <w:tabs>
          <w:tab w:leader="none" w:pos="361"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 capital project impairment of $9 million for the six months ended March 31, 2021 relating to a long-term capital project plan change at a plant facility.</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1"/>
          </w:cols>
          <w:pgMar w:left="679" w:top="552" w:right="739" w:bottom="1440" w:gutter="0" w:footer="0" w:header="0"/>
        </w:sectPr>
      </w:pPr>
    </w:p>
    <w:bookmarkStart w:id="50" w:name="page51"/>
    <w:bookmarkEnd w:id="50"/>
    <w:p>
      <w:pPr>
        <w:ind w:left="361" w:right="320" w:hanging="361"/>
        <w:spacing w:after="0" w:line="253" w:lineRule="auto"/>
        <w:tabs>
          <w:tab w:leader="none" w:pos="361"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7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Consumer Specialties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Consumer Specialties business is comprised of the following reportable segments: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Life Sciences</w:t>
      </w:r>
    </w:p>
    <w:p>
      <w:pPr>
        <w:spacing w:after="0" w:line="108" w:lineRule="exact"/>
        <w:rPr>
          <w:sz w:val="20"/>
          <w:szCs w:val="20"/>
          <w:color w:val="auto"/>
        </w:rPr>
      </w:pPr>
    </w:p>
    <w:p>
      <w:pPr>
        <w:jc w:val="both"/>
        <w:ind w:left="1"/>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Personal Care &amp; Household</w:t>
      </w:r>
    </w:p>
    <w:p>
      <w:pPr>
        <w:spacing w:after="0" w:line="108" w:lineRule="exact"/>
        <w:rPr>
          <w:sz w:val="20"/>
          <w:szCs w:val="20"/>
          <w:color w:val="auto"/>
        </w:rPr>
      </w:pPr>
    </w:p>
    <w:p>
      <w:pPr>
        <w:jc w:val="both"/>
        <w:ind w:left="1"/>
        <w:spacing w:after="0" w:line="276"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57"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March 2021 quarter compared to March 2020 quarter</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Consumer Specialties’ sales decreased $21 million to $322 million in the current quarter. Life Sciences represented an increase of $1 million, offset by a decrease of $22 million for Personal Care &amp; Household. Favorable currency exchange increased sales by $9 million for the Consumer Specialties business. This increase was more than offset by product pricing and lower volume which decreased sales by $1 million and $29 million, respectively.</w:t>
      </w:r>
    </w:p>
    <w:p>
      <w:pPr>
        <w:spacing w:after="0" w:line="83" w:lineRule="exact"/>
        <w:rPr>
          <w:sz w:val="20"/>
          <w:szCs w:val="20"/>
          <w:color w:val="auto"/>
        </w:rPr>
      </w:pPr>
    </w:p>
    <w:p>
      <w:pPr>
        <w:jc w:val="both"/>
        <w:ind w:left="1"/>
        <w:spacing w:after="0" w:line="242" w:lineRule="auto"/>
        <w:rPr>
          <w:sz w:val="20"/>
          <w:szCs w:val="20"/>
          <w:color w:val="auto"/>
        </w:rPr>
      </w:pPr>
      <w:r>
        <w:rPr>
          <w:rFonts w:ascii="Arial" w:cs="Arial" w:eastAsia="Arial" w:hAnsi="Arial"/>
          <w:sz w:val="20"/>
          <w:szCs w:val="20"/>
          <w:color w:val="auto"/>
        </w:rPr>
        <w:t>Operating income increased $354 million to income of $54 million for the current quarter. Life Sciences and Personal Care &amp; Household recorded income of $35 million and $19 million, respectively. Favorable price/mix, favorable foreign currency exchange, lower costs and a prior year goodwill impairment related to Personal Care &amp; Household increased operating income by $2 million, $7 million, $10 million and $356 million, respectively. These increases were partially offset by lower volume and storm related unplanned plant shutdown costs which decreased operating income by $10 million and $11 million, respectively. Current quarter EBITDA increased $354 million to $88 million while Adjusted EBITDA decreased $3 million to $88 million, of which $50 million was in Life Sciences and $38 million in Personal Care &amp; Household. Adjusted EBITDA margin increased 0.8 percentage points in the current quarter to 27.3%.</w:t>
      </w:r>
    </w:p>
    <w:p>
      <w:pPr>
        <w:spacing w:after="0" w:line="8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Consumer Specialties’ sales decreased $19 million to $617 million in the current period. Life Sciences represented an increase of $15 million, offset by a decrease of $34 million for Personal Care &amp; Household. Favorable currency exchange increased sales by $14 million for the Consumer Specialties business. This increase was more than offset by product pricing and lower volume which decreased sales by $3 million and $30 million, respectively.</w:t>
      </w:r>
    </w:p>
    <w:p>
      <w:pPr>
        <w:spacing w:after="0" w:line="83"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Operating income increased $365 million to income of $97 million for the current period. Life Sciences and Personal Care &amp; Household recorded income of $64 million and $33 million, respectively. Favorable price/mix, favorable foreign currency exchange, lower costs, a prior year goodwill impairment and a legal settlement related to Personal Care &amp; Household increased operating income by $6 million, $11 million, $12 million, $356 million and $2 million, respectively. These increases were partially offset by lower volume and storm related unplanned plant shutdown costs which decreased operating income by $11 million, each. Current period EBITDA increased $366 million to $166 million, and Adjusted EBITDA increased $9 million to $166 million of which $95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337" w:right="699" w:bottom="1440" w:gutter="0" w:footer="0" w:header="0"/>
        </w:sectPr>
      </w:pPr>
    </w:p>
    <w:bookmarkStart w:id="51" w:name="page52"/>
    <w:bookmarkEnd w:id="51"/>
    <w:p>
      <w:pPr>
        <w:jc w:val="both"/>
        <w:ind w:left="360" w:right="360"/>
        <w:spacing w:after="0" w:line="260" w:lineRule="auto"/>
        <w:rPr>
          <w:sz w:val="20"/>
          <w:szCs w:val="20"/>
          <w:color w:val="auto"/>
        </w:rPr>
      </w:pPr>
      <w:r>
        <w:rPr>
          <w:rFonts w:ascii="Arial" w:cs="Arial" w:eastAsia="Arial" w:hAnsi="Arial"/>
          <w:sz w:val="20"/>
          <w:szCs w:val="20"/>
          <w:color w:val="auto"/>
        </w:rPr>
        <w:t>was in Life Sciences and $71 million in Personal Care &amp; Household. Adjusted EBITDA margin increased 2.2 percentage points in the current period to 26.9%.</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360" w:right="360"/>
        <w:spacing w:after="0" w:line="242" w:lineRule="auto"/>
        <w:rPr>
          <w:sz w:val="20"/>
          <w:szCs w:val="20"/>
          <w:color w:val="auto"/>
        </w:rPr>
      </w:pPr>
      <w:r>
        <w:rPr>
          <w:rFonts w:ascii="Arial" w:cs="Arial" w:eastAsia="Arial" w:hAnsi="Arial"/>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86" w:lineRule="exact"/>
        <w:rPr>
          <w:sz w:val="20"/>
          <w:szCs w:val="20"/>
          <w:color w:val="auto"/>
        </w:rPr>
      </w:pPr>
    </w:p>
    <w:p>
      <w:pPr>
        <w:jc w:val="both"/>
        <w:ind w:left="360" w:right="360"/>
        <w:spacing w:after="0" w:line="282" w:lineRule="auto"/>
        <w:rPr>
          <w:sz w:val="20"/>
          <w:szCs w:val="20"/>
          <w:color w:val="auto"/>
        </w:rPr>
      </w:pPr>
      <w:r>
        <w:rPr>
          <w:rFonts w:ascii="Arial" w:cs="Arial" w:eastAsia="Arial" w:hAnsi="Arial"/>
          <w:sz w:val="18"/>
          <w:szCs w:val="18"/>
          <w:color w:val="auto"/>
        </w:rPr>
        <w:t>The following EBITDA presentation for the three and six months ended March 31, 2021 and 2020 is provided as a means to enhance the understanding of financial measurements that Ashland has internally determined to be relevant measures of comparison for the results of Consumer Specialties. The key items during the three and six months ended March 31, 2020 related to a goodwill impairment of $356 million for Personal Care &amp; Household and $1 million in restructuring costs for Life Sciences.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Life Sciences</w:t>
            </w:r>
          </w:p>
        </w:tc>
        <w:tc>
          <w:tcPr>
            <w:tcW w:w="4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w w:val="92"/>
              </w:rPr>
              <w:t>Personal Care &amp; Household</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0"/>
              </w:rPr>
              <w:t>Consumer Specialties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color w:val="auto"/>
                <w:w w:val="90"/>
              </w:rPr>
              <w:t>Three months ended March 31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600" w:type="dxa"/>
            <w:vAlign w:val="bottom"/>
            <w:tcBorders>
              <w:top w:val="single" w:sz="8" w:color="auto"/>
            </w:tcBorders>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520" w:type="dxa"/>
            <w:vAlign w:val="bottom"/>
            <w:tcBorders>
              <w:top w:val="single" w:sz="8" w:color="auto"/>
            </w:tcBorders>
            <w:gridSpan w:val="3"/>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4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Restructuring and other costs</w:t>
            </w: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Goodwill impairment</w:t>
            </w:r>
          </w:p>
        </w:tc>
        <w:tc>
          <w:tcPr>
            <w:tcW w:w="7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7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Life Sciences</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w w:val="92"/>
              </w:rPr>
              <w:t>Personal Care &amp; Household</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0"/>
              </w:rPr>
              <w:t>Consumer Specialties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color w:val="auto"/>
                <w:w w:val="91"/>
              </w:rPr>
              <w:t>Six months ended March 31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600" w:type="dxa"/>
            <w:vAlign w:val="bottom"/>
            <w:tcBorders>
              <w:top w:val="single" w:sz="8" w:color="auto"/>
            </w:tcBorders>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520" w:type="dxa"/>
            <w:vAlign w:val="bottom"/>
            <w:tcBorders>
              <w:top w:val="single" w:sz="8" w:color="auto"/>
            </w:tcBorders>
            <w:gridSpan w:val="3"/>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4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Restructuring and other costs</w:t>
            </w: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9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Goodwill impairment</w:t>
            </w:r>
          </w:p>
        </w:tc>
        <w:tc>
          <w:tcPr>
            <w:tcW w:w="7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400"/>
              <w:spacing w:after="0"/>
              <w:rPr>
                <w:sz w:val="20"/>
                <w:szCs w:val="20"/>
                <w:color w:val="auto"/>
              </w:rPr>
            </w:pPr>
            <w:r>
              <w:rPr>
                <w:rFonts w:ascii="Arial" w:cs="Arial" w:eastAsia="Arial" w:hAnsi="Arial"/>
                <w:sz w:val="18"/>
                <w:szCs w:val="18"/>
                <w:color w:val="auto"/>
              </w:rPr>
              <w:t>Adjusted EBITDA</w:t>
            </w:r>
          </w:p>
        </w:tc>
        <w:tc>
          <w:tcPr>
            <w:tcW w:w="7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Industrial Specialties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Industrial Specialties business is comprised of the below 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Specialty Additives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Adhesives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March 2021 quarter compared to March 2020 quarter</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Industrial Specialties’ sales increased $6 million to $246 million in the current quarter. Specialty Additives and Performance Adhesives each had an increase of $3 million. Higher volume and favorable currency exchange increased sales by $1 million and $7 million, respectively. These increases were partially offset by product pricing which decreased sales by $2 million.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Operating income increased $183 million to $38 million for the current quarter. Specialty Additives and Performance Adhesives each recorded income of $19 million, up $180 million and $3 million from the prior year quarter, respectively. Favorable price/mix, production costs and a prior year goodwill impairment increased operating income by $4 million, $5 million and $174 million, respectively. Current quarter EBITDA increased $183 million to $62 million. Adjusted EBITDA increased $9 million to $62 million, of which $40 million and $22 million originated from Specialty Additives and Performance Adhesives, respectively. Adjusted EBITDA margin increased 3.1 percentage points in the current quarter to 25.2%.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Industrial Specialties’ sales increased $25 million to $478 million in the current period. Specialty Additives and Performance Adhesives represented $11 million and $14 million of the increase, respectively. Higher volume and favorable currency exchange increased sales by $17 million and $11 million, respectively. These increases were partially offset by product pricing which decreased sales by $3 million.</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Operating income increased $185 million to $60 million for the current period. Specialty Additives and Performance Adhesives recorded income of $21 million and $39 million, respectively, up $173 million and $12 million from the prior year period, respectively. Higher volume, favorable price/mix, foreign currency exchange, production costs and a prior year goodwill impairment increased operating income by $3 million, $9 million, $1 million, $7 million and $174 million, respectively. Those improvements were partially offset by a capital project impairment of $9 million. Current period EBITDA increased $186 million to $108 million, $63 million income in Specialty Additives and $45 million income in Performance Adhesives. Adjusted EBITDA increased $21 million to $117 million, of which $72 million and $45 million originated from Specialty Additives and Performance Adhesives, respectively. Adjusted EBITDA margin increased 3.3 percentage points in the current period to 24.5%.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549" w:right="699" w:bottom="1440" w:gutter="0" w:footer="0" w:header="0"/>
        </w:sectPr>
      </w:pPr>
    </w:p>
    <w:bookmarkStart w:id="53" w:name="page54"/>
    <w:bookmarkEnd w:id="53"/>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EBITDA and Adjusted EBITDA presentation (as defined and described in the section above) for the three and six months ended March 31, 2021 and 2020 below is provided as a means to enhance the understanding of financial measurements that Ashland has internally determined to be relevant measures of comparison for the results of Industrial Specialties. Adjusted EBITDA results have been prepared to illustrate the ongoing effects of Ashland’s operations, which exclude certain key items. The key items during the six months ended March 31, 2021 related to a capital project impairment within Specialty Additives. The key items during the three and six months ended March 31, 2020 related to a goodwill impairment for Specialty Additives.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Specialty Additives</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1"/>
              </w:rPr>
              <w:t>Performance Adhesives</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5"/>
          </w:tcPr>
          <w:p>
            <w:pPr>
              <w:jc w:val="right"/>
              <w:ind w:right="23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Goodwill impairment</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FF0FC"/>
            </w:tcBorders>
            <w:vMerge w:val="continue"/>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Specialty Additives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1"/>
              </w:rPr>
              <w:t>Performance Adhesives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color w:val="auto"/>
                <w:w w:val="94"/>
              </w:rPr>
              <w:t>Industrial Specialties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w w:val="91"/>
              </w:rPr>
              <w:t>Six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44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Capital project impairment</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Goodwill Impairment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March 2021 quarter compared to March 2020 quarter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Intermediates and Solvents’ sales remained consistent compared to the prior year quarter.</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Operating income/loss increased $5 million to $3 million for the current quarter. Lower production costs, inventory adjustments in the prior year quarter and improved price/mix increased operating income by $1 million, $4 million and $3 million, respectively. This increase was partially offset by lower volume which decreased operating income by $3 million. Current quarter EBITDA increased $6 million to $7 million while Adjusted EBITDA increased $2 million to $7 million. Adjusted EBITDA margin for the current quarter was 18.9%.</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Intermediates and Solvents’ sales increased $5 million to $69 million in the current period primarily due to higher volume.</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Operating income/loss increased $19 million to $5 million for the current period. Lower production costs and prior year inventory adjustments increased operating income by $18 million and $4 million, respectively. This increase was partially offset by unfavorable volume/mix which decreased operating income by $3 million. Current period EBITDA increased $19 million to $12 million, while Adjusted EBITDA increased $15 million to $12 million. EBITDA margin for the current period was 17.4%.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54" w:name="page55"/>
    <w:bookmarkEnd w:id="54"/>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following EBITDA presentation (as defined and described in the section above) for the three and six months ended March 31, 2021 and 2020 is provided as a means to enhance the understanding of financial measurements that Ashland has internally determined to be relevant measures of comparison for the results of Intermediates and Solvents. Key items for the three and six months ended March 31, 2020 included an inventory adjustment of $4 million.</w:t>
      </w:r>
    </w:p>
    <w:tbl>
      <w:tblPr>
        <w:tblLayout w:type="fixed"/>
        <w:tblInd w:w="4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Three months ended</w:t>
            </w: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ind w:right="129"/>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29"/>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Borders>
              <w:top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auto"/>
            </w:tcBorders>
            <w:gridSpan w:val="2"/>
          </w:tcPr>
          <w:p>
            <w:pPr>
              <w:jc w:val="right"/>
              <w:ind w:right="24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34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3400" w:type="dxa"/>
            <w:vAlign w:val="bottom"/>
            <w:tcBorders>
              <w:top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Inventory adjustment</w:t>
            </w:r>
          </w:p>
        </w:tc>
        <w:tc>
          <w:tcPr>
            <w:tcW w:w="1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six months ended March 31, 2021 and 2020.</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Three months ended</w:t>
            </w: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107"/>
              <w:spacing w:after="0"/>
              <w:rPr>
                <w:sz w:val="20"/>
                <w:szCs w:val="20"/>
                <w:color w:val="auto"/>
              </w:rPr>
            </w:pPr>
            <w:r>
              <w:rPr>
                <w:rFonts w:ascii="Arial" w:cs="Arial" w:eastAsia="Arial" w:hAnsi="Arial"/>
                <w:sz w:val="18"/>
                <w:szCs w:val="18"/>
                <w:color w:val="auto"/>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activities</w:t>
            </w:r>
          </w:p>
        </w:tc>
        <w:tc>
          <w:tcPr>
            <w:tcW w:w="540" w:type="dxa"/>
            <w:vAlign w:val="bottom"/>
            <w:tcBorders>
              <w:top w:val="single" w:sz="8" w:color="auto"/>
            </w:tcBorders>
            <w:gridSpan w:val="2"/>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20" w:type="dxa"/>
            <w:vAlign w:val="bottom"/>
            <w:tcBorders>
              <w:top w:val="single" w:sz="8" w:color="auto"/>
            </w:tcBorders>
            <w:gridSpan w:val="2"/>
          </w:tcPr>
          <w:p>
            <w:pPr>
              <w:jc w:val="right"/>
              <w:ind w:right="547"/>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1"/>
              </w:rPr>
              <w:t>Other expenses (primarily governance and legacy expenses)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March 2021 quarter compared to March 2020 quarter</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Unallocated and other recorded expense of $24 million and $21 million for the three months ended March 31, 2021 and 2020, respectively. The current and prior year quarters included charges for restructuring activities of $1 million and $14 million, respectively, which were comprised of severance, lease abandonment and other restructuring costs related to company-wide cost reduction programs during the current and prior year quarters,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current quarter and prior year quarter included $8 million and $5 million for environmental expenses, respectively.</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expenses increase of $13 million is primarily as a result of unfavorable foreign currency, higher stock compensation expense, lower China subsidies, and a liquidation gain in the prior year quarter.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Unallocated and other recorded expense of $50 million and $44 million for the six months ended March 31, 2021 and 2020, respectively. The current and prior year periods included charges for restructuring activities of $13 million and $22 million, respectively, which were comprised of severance, lease abandonment and other restructuring costs related to company-wide cost reduction programs during the current and prior year periods.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current and prior year periods included $12 million and $8 million for environmental expenses, respectively.</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expenses increased $11 million primarily as a result of unfavorable foreign currency, higher stock compensation expense, lower China subsidies, and a liquidation gain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360" w:right="360"/>
        <w:spacing w:after="0" w:line="244" w:lineRule="auto"/>
        <w:rPr>
          <w:sz w:val="20"/>
          <w:szCs w:val="20"/>
          <w:color w:val="auto"/>
        </w:rPr>
      </w:pPr>
      <w:r>
        <w:rPr>
          <w:rFonts w:ascii="Arial" w:cs="Arial" w:eastAsia="Arial" w:hAnsi="Arial"/>
          <w:sz w:val="20"/>
          <w:szCs w:val="20"/>
          <w:color w:val="auto"/>
        </w:rPr>
        <w:t>Ashland had $373 million in cash and cash equivalents as of March 31, 2021, of which $306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86" w:lineRule="exact"/>
        <w:rPr>
          <w:sz w:val="20"/>
          <w:szCs w:val="20"/>
          <w:color w:val="auto"/>
        </w:rPr>
      </w:pPr>
    </w:p>
    <w:p>
      <w:pPr>
        <w:jc w:val="both"/>
        <w:ind w:left="360" w:right="360"/>
        <w:spacing w:after="0" w:line="270" w:lineRule="auto"/>
        <w:rPr>
          <w:sz w:val="20"/>
          <w:szCs w:val="20"/>
          <w:color w:val="auto"/>
        </w:rPr>
      </w:pPr>
      <w:r>
        <w:rPr>
          <w:rFonts w:ascii="Arial" w:cs="Arial" w:eastAsia="Arial" w:hAnsi="Arial"/>
          <w:sz w:val="18"/>
          <w:szCs w:val="18"/>
          <w:color w:val="auto"/>
        </w:rPr>
        <w:t>Ashland has taken actions and may continue to take actions intended to increase its cash position and preserve financial flexibility in light of current uncertainty in the global markets. On March 17, 2021, Ashland terminated its U.S. accounts receivable securitization facility and entered into an agreement with a group of entities to sell certain trade receivables, without recourse, of two U.S. based Ashland subsidiaries. Under the agreement, Ashland can transfer whole receivables up to a limit established by the buyer. As of March 31, 2021, Ashland has not sold any receivables under this agreement against the buyers’ limit, which was at $107 million at March 31, 2021. See Note H for more information. In January 2020, Ashland renewed and extended its Revolving Credit Agreement through 2025 and issued new 2.00% senior notes in Europe for €500 million which mature in 2028. During the six months ended March 31, 2021, Ashland elected not to access funds on its Revolving Credit Facility. As of March 31, 2021, Ashland has total remaining borrowing capacity of $610 million, comprised of amounts remaining available under the Revolving Credit Facility and foreign Accounts Receivable Securitization Facility. Ashland also had an additional $107 million available under the U.S. Accounts Receivable Sales Program as of March 31, 2021 available for liquidation. Ashland has no significant maturities related to our term loans, revolving credit facilities or bonds until August 2022.</w:t>
      </w:r>
    </w:p>
    <w:p>
      <w:pPr>
        <w:spacing w:after="0" w:line="68" w:lineRule="exact"/>
        <w:rPr>
          <w:sz w:val="20"/>
          <w:szCs w:val="20"/>
          <w:color w:val="auto"/>
        </w:rPr>
      </w:pPr>
    </w:p>
    <w:p>
      <w:pPr>
        <w:jc w:val="both"/>
        <w:ind w:left="360" w:right="360"/>
        <w:spacing w:after="0" w:line="243"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85"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six months ended March 31,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6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1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color w:val="auto"/>
                <w:w w:val="94"/>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11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72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8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770"/>
              <w:spacing w:after="0"/>
              <w:rPr>
                <w:sz w:val="20"/>
                <w:szCs w:val="20"/>
                <w:color w:val="auto"/>
              </w:rPr>
            </w:pPr>
            <w:r>
              <w:rPr>
                <w:rFonts w:ascii="Arial" w:cs="Arial" w:eastAsia="Arial" w:hAnsi="Arial"/>
                <w:sz w:val="18"/>
                <w:szCs w:val="18"/>
                <w:color w:val="auto"/>
              </w:rPr>
              <w:t>56</w:t>
            </w: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65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ind w:left="1"/>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six months ended March 31, 2021 and 2020.</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5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10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color w:val="auto"/>
                <w:w w:val="94"/>
              </w:rPr>
              <w:t>2020</w:t>
            </w:r>
          </w:p>
        </w:tc>
      </w:tr>
      <w:tr>
        <w:trPr>
          <w:trHeight w:val="223"/>
        </w:trPr>
        <w:tc>
          <w:tcPr>
            <w:tcW w:w="20" w:type="dxa"/>
            <w:vAlign w:val="bottom"/>
          </w:tcPr>
          <w:p>
            <w:pPr>
              <w:spacing w:after="0"/>
              <w:rPr>
                <w:sz w:val="19"/>
                <w:szCs w:val="19"/>
                <w:color w:val="auto"/>
              </w:rPr>
            </w:pPr>
          </w:p>
        </w:tc>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7"/>
              </w:rPr>
              <w:t>Cash flows provided (used) by operating activities from continuing operations</w:t>
            </w:r>
          </w:p>
        </w:tc>
        <w:tc>
          <w:tcPr>
            <w:tcW w:w="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7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Gain from sales of property and equipment</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Distributions from equity affiliates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Stock based compensation expense</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(Income) loss from restricted investments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Loss on early retirement of debt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29"/>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Income on acquisitions and divestitures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520" w:type="dxa"/>
            <w:vAlign w:val="bottom"/>
          </w:tcPr>
          <w:p>
            <w:pPr>
              <w:ind w:left="600"/>
              <w:spacing w:after="0"/>
              <w:rPr>
                <w:sz w:val="20"/>
                <w:szCs w:val="20"/>
                <w:color w:val="auto"/>
              </w:rPr>
            </w:pPr>
            <w:r>
              <w:rPr>
                <w:rFonts w:ascii="Arial" w:cs="Arial" w:eastAsia="Arial" w:hAnsi="Arial"/>
                <w:sz w:val="18"/>
                <w:szCs w:val="18"/>
                <w:color w:val="auto"/>
              </w:rPr>
              <w:t>Impairments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652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5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5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361" w:hanging="361"/>
        <w:spacing w:after="0"/>
        <w:tabs>
          <w:tab w:leader="none" w:pos="361"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or sold.</w:t>
      </w:r>
    </w:p>
    <w:p>
      <w:pPr>
        <w:spacing w:after="0" w:line="17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Cash flows provided from operating activities from continuing operations amounted to inflows of $170 million and $13 million in the current and prior year periods, respectively.</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The cash results during each period are primarily driven by net income,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68" w:lineRule="exact"/>
        <w:rPr>
          <w:sz w:val="20"/>
          <w:szCs w:val="20"/>
          <w:color w:val="auto"/>
        </w:rPr>
      </w:pPr>
    </w:p>
    <w:p>
      <w:pPr>
        <w:jc w:val="both"/>
        <w:ind w:left="1"/>
        <w:spacing w:after="0" w:line="316" w:lineRule="auto"/>
        <w:rPr>
          <w:sz w:val="20"/>
          <w:szCs w:val="20"/>
          <w:color w:val="auto"/>
        </w:rPr>
      </w:pPr>
      <w:r>
        <w:rPr>
          <w:rFonts w:ascii="Arial" w:cs="Arial" w:eastAsia="Arial" w:hAnsi="Arial"/>
          <w:sz w:val="18"/>
          <w:szCs w:val="18"/>
          <w:color w:val="auto"/>
        </w:rPr>
        <w:t>Changes in operating assets and liabilities accounted for outflows of $31 million compared to outflows of $163 million for the six months ended March 31, 2021 and 2020, respectively, and were primarily driven by the following net working capital accounts:</w:t>
      </w:r>
    </w:p>
    <w:p>
      <w:pPr>
        <w:spacing w:after="0" w:line="22" w:lineRule="exact"/>
        <w:rPr>
          <w:sz w:val="20"/>
          <w:szCs w:val="20"/>
          <w:color w:val="auto"/>
        </w:rPr>
      </w:pPr>
    </w:p>
    <w:p>
      <w:pPr>
        <w:ind w:left="361" w:hanging="361"/>
        <w:spacing w:after="0" w:line="260" w:lineRule="auto"/>
        <w:tabs>
          <w:tab w:leader="none" w:pos="361" w:val="left"/>
        </w:tabs>
        <w:numPr>
          <w:ilvl w:val="0"/>
          <w:numId w:val="39"/>
        </w:numPr>
        <w:rPr>
          <w:rFonts w:ascii="Arial" w:cs="Arial" w:eastAsia="Arial" w:hAnsi="Arial"/>
          <w:sz w:val="20"/>
          <w:szCs w:val="20"/>
          <w:color w:val="auto"/>
        </w:rPr>
      </w:pPr>
      <w:r>
        <w:rPr>
          <w:rFonts w:ascii="Arial" w:cs="Arial" w:eastAsia="Arial" w:hAnsi="Arial"/>
          <w:sz w:val="20"/>
          <w:szCs w:val="20"/>
          <w:color w:val="auto"/>
        </w:rPr>
        <w:t>Accounts receivable – There were cash inflows of $19 million and outflows of $19 million during the current and prior year periods, respectively.</w:t>
      </w:r>
    </w:p>
    <w:p>
      <w:pPr>
        <w:spacing w:after="0" w:line="68" w:lineRule="exact"/>
        <w:rPr>
          <w:rFonts w:ascii="Arial" w:cs="Arial" w:eastAsia="Arial" w:hAnsi="Arial"/>
          <w:sz w:val="20"/>
          <w:szCs w:val="20"/>
          <w:color w:val="auto"/>
        </w:rPr>
      </w:pPr>
    </w:p>
    <w:p>
      <w:pPr>
        <w:ind w:left="361" w:hanging="361"/>
        <w:spacing w:after="0" w:line="260" w:lineRule="auto"/>
        <w:tabs>
          <w:tab w:leader="none" w:pos="361"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Inventory – There were cash inflows of $12 million and outflows of $15 million during the current and prior year periods, respectively.</w:t>
      </w:r>
    </w:p>
    <w:p>
      <w:pPr>
        <w:spacing w:after="0" w:line="68" w:lineRule="exact"/>
        <w:rPr>
          <w:rFonts w:ascii="Arial" w:cs="Arial" w:eastAsia="Arial" w:hAnsi="Arial"/>
          <w:sz w:val="20"/>
          <w:szCs w:val="20"/>
          <w:color w:val="auto"/>
        </w:rPr>
      </w:pPr>
    </w:p>
    <w:p>
      <w:pPr>
        <w:ind w:left="361" w:hanging="361"/>
        <w:spacing w:after="0" w:line="316" w:lineRule="auto"/>
        <w:tabs>
          <w:tab w:leader="none" w:pos="3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and other payables – There were cash outflows of $37 million and $83 million during the current and prior year periods, respectively, and primarily related to the timing of certain payments and management of supplier/vendor payment terms.</w:t>
      </w:r>
    </w:p>
    <w:p>
      <w:pPr>
        <w:spacing w:after="0" w:line="2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remaining changes to operating assets and liabilities resulted in outflows of $25 million and outflows of $46 million in the current and prior year periods, respectively, and were primarily due to income taxes paid or income tax refunds, interest paid, and adjustments to certain accruals and other long-term assets and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555" w:right="699" w:bottom="1440" w:gutter="0" w:footer="0" w:header="0"/>
        </w:sectPr>
      </w:pPr>
    </w:p>
    <w:bookmarkStart w:id="57" w:name="page58"/>
    <w:bookmarkEnd w:id="57"/>
    <w:p>
      <w:pPr>
        <w:ind w:left="360"/>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20"/>
          <w:szCs w:val="20"/>
          <w:color w:val="auto"/>
        </w:rPr>
        <w:t>Operating cash flows for the current year period included income from continuing operations of $104 million. Additionally, the current period included non-cash adjustments of $124 million for depreciation and amortization, $8 million for stock-based compensation expense, $19 million income from restricted investments, $11 million net income on acquisitions and divestitures and $9 million for impairments.</w:t>
      </w:r>
    </w:p>
    <w:p>
      <w:pPr>
        <w:spacing w:after="0" w:line="83" w:lineRule="exact"/>
        <w:rPr>
          <w:sz w:val="20"/>
          <w:szCs w:val="20"/>
          <w:color w:val="auto"/>
        </w:rPr>
      </w:pPr>
    </w:p>
    <w:p>
      <w:pPr>
        <w:jc w:val="both"/>
        <w:ind w:left="360" w:right="360"/>
        <w:spacing w:after="0" w:line="263" w:lineRule="auto"/>
        <w:rPr>
          <w:sz w:val="20"/>
          <w:szCs w:val="20"/>
          <w:color w:val="auto"/>
        </w:rPr>
      </w:pPr>
      <w:r>
        <w:rPr>
          <w:rFonts w:ascii="Arial" w:cs="Arial" w:eastAsia="Arial" w:hAnsi="Arial"/>
          <w:sz w:val="19"/>
          <w:szCs w:val="19"/>
          <w:color w:val="auto"/>
        </w:rPr>
        <w:t>Operating cash flows for the prior year period included a loss from continuing operations of $541 million. Additionally, the prior year period included non-cash adjustments of $530 million for a goodwill impairment charge, $122 million for depreciation and amortization, $59 million loss on early retirement of debt, $12 million original issue discounts and debt issuance cost amortization, $8 million for stock-based compensation expense and $16 million loss on restricted investments.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six months ended March 31, 2021 and 2020.</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4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Six months ended</w:t>
            </w:r>
          </w:p>
        </w:tc>
        <w:tc>
          <w:tcPr>
            <w:tcW w:w="10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color w:val="auto"/>
                <w:w w:val="94"/>
              </w:rPr>
              <w:t>2020</w:t>
            </w:r>
          </w:p>
        </w:tc>
      </w:tr>
      <w:tr>
        <w:trPr>
          <w:trHeight w:val="223"/>
        </w:trPr>
        <w:tc>
          <w:tcPr>
            <w:tcW w:w="20" w:type="dxa"/>
            <w:vAlign w:val="bottom"/>
          </w:tcPr>
          <w:p>
            <w:pPr>
              <w:spacing w:after="0"/>
              <w:rPr>
                <w:sz w:val="19"/>
                <w:szCs w:val="19"/>
                <w:color w:val="auto"/>
              </w:rPr>
            </w:pPr>
          </w:p>
        </w:tc>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6"/>
              </w:rPr>
              <w:t>Cash flows provided (used) by investing activities from continuing operations</w:t>
            </w:r>
          </w:p>
        </w:tc>
        <w:tc>
          <w:tcPr>
            <w:tcW w:w="6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540" w:type="dxa"/>
            <w:vAlign w:val="bottom"/>
            <w:gridSpan w:val="2"/>
          </w:tcPr>
          <w:p>
            <w:pPr>
              <w:jc w:val="right"/>
              <w:ind w:right="36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Proceeds from sale or restructuring of operations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Company-owned life insurance payments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Reimbursements from restricted investments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r>
      <w:tr>
        <w:trPr>
          <w:trHeight w:val="229"/>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Proceeds from sale of securities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securities</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6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360" w:right="360"/>
        <w:spacing w:after="0" w:line="242" w:lineRule="auto"/>
        <w:rPr>
          <w:sz w:val="20"/>
          <w:szCs w:val="20"/>
          <w:color w:val="auto"/>
        </w:rPr>
      </w:pPr>
      <w:r>
        <w:rPr>
          <w:rFonts w:ascii="Arial" w:cs="Arial" w:eastAsia="Arial" w:hAnsi="Arial"/>
          <w:sz w:val="20"/>
          <w:szCs w:val="20"/>
          <w:color w:val="auto"/>
        </w:rPr>
        <w:t>Cash used by investing activities was $20 million and $49 million for the current and prior year periods, respectively. The significant cash investing activities for the current quarter primarily related to cash outflows of $55 million for property additions compared to $66 million in the prior year period. Additionally, there were reimbursements from the restricted renewable annual asbestos trust of $18 million during the current period compared to $19 million in the prior year period, proceeds from disposal of property, plant and equipment of $5 million in the current period and proceeds from sale or restructuring of operations of $14 million in the current period. The current and prior year period also included a rebalancing within the asbestos trust, which resulted in $47 million and $10 million of proceeds from the sale of securities offset by $47 million and $10 million of purchases of securities, respectively.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ind w:left="360" w:right="360"/>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six months ended March 31,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65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106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400"/>
              <w:spacing w:after="0"/>
              <w:rPr>
                <w:sz w:val="20"/>
                <w:szCs w:val="20"/>
                <w:color w:val="auto"/>
              </w:rPr>
            </w:pPr>
            <w:r>
              <w:rPr>
                <w:rFonts w:ascii="Arial" w:cs="Arial" w:eastAsia="Arial" w:hAnsi="Arial"/>
                <w:sz w:val="18"/>
                <w:szCs w:val="18"/>
                <w:color w:val="auto"/>
              </w:rPr>
              <w:t>(In millions)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color w:val="auto"/>
                <w:w w:val="94"/>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7"/>
              </w:rPr>
              <w:t>Cash flows provided (used) by financing activities from continuing operations</w:t>
            </w:r>
          </w:p>
        </w:tc>
        <w:tc>
          <w:tcPr>
            <w:tcW w:w="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8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long-term debt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Premium on long-term debt repayment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paid</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jc w:val="right"/>
              <w:ind w:right="1150"/>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6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8" w:name="page59"/>
    <w:bookmarkEnd w:id="58"/>
    <w:p>
      <w:pPr>
        <w:jc w:val="both"/>
        <w:ind w:left="1"/>
        <w:spacing w:after="0" w:line="260" w:lineRule="auto"/>
        <w:rPr>
          <w:sz w:val="20"/>
          <w:szCs w:val="20"/>
          <w:color w:val="auto"/>
        </w:rPr>
      </w:pPr>
      <w:r>
        <w:rPr>
          <w:rFonts w:ascii="Arial" w:cs="Arial" w:eastAsia="Arial" w:hAnsi="Arial"/>
          <w:sz w:val="20"/>
          <w:szCs w:val="20"/>
          <w:color w:val="auto"/>
        </w:rPr>
        <w:t>Cash flows used by financing activities resulted in an outflow of $233 million for the current period compared to an inflow of $234 million for the prior year period.</w:t>
      </w:r>
    </w:p>
    <w:p>
      <w:pPr>
        <w:spacing w:after="0" w:line="69"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Significant cash financing activities for the current period included short-term debt repayments of $195 million, primarily related to the 2020 Revolving Credit Facility and accounts receivable securitization facilities. The current period included cash dividends paid of $0.550 per share, for a total of $33 million.</w:t>
      </w:r>
    </w:p>
    <w:p>
      <w:pPr>
        <w:spacing w:after="0" w:line="7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Significant cash financing activities for the prior year period included proceeds from issuance of long-term debt, repayment of long-term debt, premiums on retirement of long-term debt, and debt issuance costs paid of $804 million, $767 million, $59 million and $11 million, respectively, all related to debt refinancing activity. The prior year period also included short-term cash inflows of $306 million, primarily related to draws on the 2020 Revolving Credit Facility. The prior year period included cash dividends paid of $0.550 per share, for a total of $33 million.</w:t>
      </w:r>
    </w:p>
    <w:p>
      <w:pPr>
        <w:spacing w:after="0" w:line="8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six months ended March 31, 2021 and 2020.</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9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Six months ended</w:t>
            </w:r>
          </w:p>
        </w:tc>
        <w:tc>
          <w:tcPr>
            <w:tcW w:w="14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8"/>
                <w:szCs w:val="18"/>
                <w:color w:val="auto"/>
              </w:rPr>
              <w:t>March 31</w:t>
            </w:r>
          </w:p>
        </w:tc>
        <w:tc>
          <w:tcPr>
            <w:tcW w:w="1400" w:type="dxa"/>
            <w:vAlign w:val="bottom"/>
            <w:tcBorders>
              <w:bottom w:val="single" w:sz="8" w:color="auto"/>
            </w:tcBorders>
          </w:tcPr>
          <w:p>
            <w:pPr>
              <w:spacing w:after="0"/>
              <w:rPr>
                <w:sz w:val="20"/>
                <w:szCs w:val="20"/>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1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16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1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cash used by discontinued operations</w:t>
            </w:r>
          </w:p>
        </w:tc>
        <w:tc>
          <w:tcPr>
            <w:tcW w:w="122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Cash flows for discontinued operations in the current period primarily related to previously divested businesses, including net payments of asbestos and environmental liabilities, and a $30 million cash inflow for a tax refund associated with the Composites divestiture.</w:t>
      </w:r>
    </w:p>
    <w:p>
      <w:pPr>
        <w:spacing w:after="0" w:line="78"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Cash flows for discontinued operations in the prior year period related to previously divested businesses, including net payments of asbestos, environmental liabilities and tax payments associated with the Composites divestiture, which was a $59 million cash outflow.</w:t>
      </w:r>
    </w:p>
    <w:p>
      <w:pPr>
        <w:spacing w:after="0" w:line="78"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periods. Free cash flow does not reflect adjustments for certain non-discretionary cash flows such as mandatory debt repayments.</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right"/>
              <w:ind w:right="467"/>
              <w:spacing w:after="0"/>
              <w:rPr>
                <w:sz w:val="20"/>
                <w:szCs w:val="20"/>
                <w:color w:val="auto"/>
              </w:rPr>
            </w:pPr>
            <w:r>
              <w:rPr>
                <w:rFonts w:ascii="Arial" w:cs="Arial" w:eastAsia="Arial" w:hAnsi="Arial"/>
                <w:sz w:val="18"/>
                <w:szCs w:val="18"/>
                <w:color w:val="auto"/>
              </w:rPr>
              <w:t>Six months ended</w:t>
            </w:r>
          </w:p>
        </w:tc>
        <w:tc>
          <w:tcPr>
            <w:tcW w:w="100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Total cash flows provided by operating activities from continuing operations</w:t>
            </w:r>
          </w:p>
        </w:tc>
        <w:tc>
          <w:tcPr>
            <w:tcW w:w="1100" w:type="dxa"/>
            <w:vAlign w:val="bottom"/>
            <w:tcBorders>
              <w:top w:val="single" w:sz="8" w:color="auto"/>
            </w:tcBorders>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88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pacing w:after="0" w:line="89" w:lineRule="exact"/>
        <w:rPr>
          <w:sz w:val="20"/>
          <w:szCs w:val="20"/>
          <w:color w:val="auto"/>
        </w:rPr>
      </w:pPr>
    </w:p>
    <w:p>
      <w:pPr>
        <w:ind w:left="361" w:hanging="361"/>
        <w:spacing w:after="0"/>
        <w:tabs>
          <w:tab w:leader="none" w:pos="361"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$29 million and $13 million of restructuring payments for the six months ended March 31, 2021 and 2020,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784" w:right="699" w:bottom="1440" w:gutter="0" w:footer="0" w:header="0"/>
        </w:sectPr>
      </w:pPr>
    </w:p>
    <w:bookmarkStart w:id="59" w:name="page60"/>
    <w:bookmarkEnd w:id="59"/>
    <w:p>
      <w:pPr>
        <w:jc w:val="both"/>
        <w:ind w:left="1"/>
        <w:spacing w:after="0" w:line="246"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$852 million and $734 million as of March 31, 2021 and September 30, 2020, respectively. Liquid assets (cash, cash equivalents and accounts receivable) amounted to 144% and 114% of current liabilities (excluding current liabilities held for sale) as of March 31, 2021 and September 30, 2020, respectively.</w:t>
      </w:r>
    </w:p>
    <w:p>
      <w:pPr>
        <w:spacing w:after="0" w:line="83"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following summary reflects Ashland’s cash, unused borrowing capacity and liquidity as of March 31, 2021 and September 30, 2020.</w:t>
      </w:r>
    </w:p>
    <w:p>
      <w:pPr>
        <w:spacing w:after="0" w:line="79"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82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March 31</w:t>
            </w:r>
          </w:p>
        </w:tc>
        <w:tc>
          <w:tcPr>
            <w:tcW w:w="5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jc w:val="right"/>
              <w:ind w:right="8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28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373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Unused borrowing capacity and liquidity</w:t>
            </w:r>
          </w:p>
        </w:tc>
        <w:tc>
          <w:tcPr>
            <w:tcW w:w="2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820" w:type="dxa"/>
            <w:vAlign w:val="bottom"/>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2018 accounts receivable securitization (foreign)</w:t>
            </w:r>
          </w:p>
        </w:tc>
        <w:tc>
          <w:tcPr>
            <w:tcW w:w="28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2012 accounts receivable securitization (U.S.)</w:t>
            </w:r>
          </w:p>
        </w:tc>
        <w:tc>
          <w:tcPr>
            <w:tcW w:w="28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sales program (U.S.)</w:t>
            </w:r>
          </w:p>
        </w:tc>
        <w:tc>
          <w:tcPr>
            <w:tcW w:w="282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The borrowing capacity remaining under the $600 million revolving credit facility was $581 million due to a reduction of $19 million for letters of credit outstanding at March 31, 2021. In total, Ashland’s available liquidity position, which includes cash, the revolving credit facility and foreign accounts receivable securitization facility, was $983 million at March 31, 2021, compared to $954 million at September 30, 2020. Ashland also had an additional $107 million available under the U.S. accounts receivable sales program as of March 31, 2021 available for liquidation.</w:t>
      </w:r>
    </w:p>
    <w:p>
      <w:pPr>
        <w:spacing w:after="0" w:line="9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summary reflects Ashland’s debt as of March 31, 2021 and September 30, 2020.</w:t>
      </w:r>
    </w:p>
    <w:p>
      <w:pPr>
        <w:spacing w:after="0" w:line="118" w:lineRule="exact"/>
        <w:rPr>
          <w:sz w:val="20"/>
          <w:szCs w:val="20"/>
          <w:color w:val="auto"/>
        </w:rPr>
      </w:pPr>
    </w:p>
    <w:tbl>
      <w:tblPr>
        <w:tblLayout w:type="fixed"/>
        <w:tblInd w:w="41"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March 31</w:t>
            </w: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60" w:type="dxa"/>
            <w:vAlign w:val="bottom"/>
            <w:gridSpan w:val="2"/>
          </w:tcPr>
          <w:p>
            <w:pPr>
              <w:jc w:val="right"/>
              <w:ind w:right="198"/>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860" w:type="dxa"/>
            <w:vAlign w:val="bottom"/>
            <w:tcBorders>
              <w:top w:val="single" w:sz="8" w:color="auto"/>
            </w:tcBorders>
            <w:gridSpan w:val="2"/>
            <w:shd w:val="clear" w:color="auto" w:fill="CFF0FC"/>
          </w:tcPr>
          <w:p>
            <w:pPr>
              <w:jc w:val="right"/>
              <w:ind w:right="125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46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19"/>
                <w:szCs w:val="19"/>
                <w:color w:val="auto"/>
              </w:rPr>
            </w:pPr>
          </w:p>
        </w:tc>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Long-term debt (less current portion and debt issuance cost discounts) (a)</w:t>
            </w:r>
          </w:p>
        </w:tc>
        <w:tc>
          <w:tcPr>
            <w:tcW w:w="4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1,571</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5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1,659</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1,853</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ind w:left="361" w:hanging="361"/>
        <w:spacing w:after="0" w:line="233" w:lineRule="auto"/>
        <w:tabs>
          <w:tab w:leader="none" w:pos="361" w:val="left"/>
        </w:tabs>
        <w:numPr>
          <w:ilvl w:val="0"/>
          <w:numId w:val="41"/>
        </w:numPr>
        <w:rPr>
          <w:rFonts w:ascii="Arial" w:cs="Arial" w:eastAsia="Arial" w:hAnsi="Arial"/>
          <w:sz w:val="29"/>
          <w:szCs w:val="29"/>
          <w:color w:val="auto"/>
          <w:vertAlign w:val="superscript"/>
        </w:rPr>
      </w:pPr>
      <w:r>
        <w:rPr>
          <w:rFonts w:ascii="Arial" w:cs="Arial" w:eastAsia="Arial" w:hAnsi="Arial"/>
          <w:sz w:val="14"/>
          <w:szCs w:val="14"/>
          <w:color w:val="auto"/>
        </w:rPr>
        <w:t>Includes $14 million and $15 million of debt issuance cost discounts as of March 31, 2021 and September 30, 2020</w:t>
      </w:r>
      <w:r>
        <w:rPr>
          <w:rFonts w:ascii="Arial" w:cs="Arial" w:eastAsia="Arial" w:hAnsi="Arial"/>
          <w:sz w:val="17"/>
          <w:szCs w:val="17"/>
          <w:color w:val="auto"/>
        </w:rPr>
        <w:t>,</w:t>
      </w:r>
      <w:r>
        <w:rPr>
          <w:rFonts w:ascii="Arial" w:cs="Arial" w:eastAsia="Arial" w:hAnsi="Arial"/>
          <w:sz w:val="14"/>
          <w:szCs w:val="14"/>
          <w:color w:val="auto"/>
        </w:rPr>
        <w:t xml:space="preserve"> respectively.</w:t>
      </w:r>
    </w:p>
    <w:p>
      <w:pPr>
        <w:spacing w:after="0" w:line="213"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Debt as a percent of capital employed was 35% and 38% at March 31, 2021 and at September 30, 2020, respectively. At March 31, 2021, Ashland’s total debt had an outstanding principal balance of $1,714 million, discounts of $41 million, and debt issuance costs of $14 million. The scheduled aggregate maturities of long-term debt by year (including the current portion and excluding debt issuance costs) are as follows: zero remaining in 2021, $421 million in 2022, $22 million in 2023, $44 million in 2024 and $175 million in 2025.</w:t>
      </w:r>
    </w:p>
    <w:p>
      <w:pPr>
        <w:spacing w:after="0" w:line="86"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Ashland’s corporate credit ratings remained unchanged at BB+ by Standard &amp; Poor’s and Ba1 by Moody’s Investor Services. As of March 31, 2021, Moody’s Investor Services outlook remained at stable, while Standard &amp; Poor's outlook remained at negative. Subsequent changes to these ratings or outlook may have an effect on Ashland’s borrowing rate or ability to access capital markets in the future.</w:t>
      </w:r>
    </w:p>
    <w:p>
      <w:pPr>
        <w:spacing w:after="0" w:line="83"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Ashland's most recent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2021, Ashland is in compliance with all debt agreement covenant restrictions under the 2020 Credit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1"/>
          </w:cols>
          <w:pgMar w:left="679" w:top="771" w:right="699" w:bottom="1440" w:gutter="0" w:footer="0" w:header="0"/>
        </w:sectPr>
      </w:pPr>
    </w:p>
    <w:bookmarkStart w:id="60" w:name="page61"/>
    <w:bookmarkEnd w:id="60"/>
    <w:p>
      <w:pPr>
        <w:jc w:val="both"/>
        <w:ind w:left="360"/>
        <w:spacing w:after="0" w:line="271" w:lineRule="auto"/>
        <w:rPr>
          <w:sz w:val="20"/>
          <w:szCs w:val="20"/>
          <w:color w:val="auto"/>
        </w:rPr>
      </w:pPr>
      <w:r>
        <w:rPr>
          <w:rFonts w:ascii="Arial" w:cs="Arial" w:eastAsia="Arial" w:hAnsi="Arial"/>
          <w:sz w:val="18"/>
          <w:szCs w:val="18"/>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March 31, 2021, Ashland’s calculation of the consolidated net leverage ratio was 2.4.</w:t>
      </w:r>
    </w:p>
    <w:p>
      <w:pPr>
        <w:spacing w:after="0" w:line="62"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March 31, 2021, Ashland’s calculation of the consolidated interest coverage ratio was 8.1.</w:t>
      </w:r>
    </w:p>
    <w:p>
      <w:pPr>
        <w:spacing w:after="0" w:line="44"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0.4x effect on the consolidated net leverage ratio and a 1.5x effect on the consolidated interest coverage ratio. The change in consolidated indebtedness of $100 million would affect the consolidated leverage ratio by approximately 0.2x.</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Total equity increased $78 million since September 30, 2020 to $3,114 million at March 31, 2021. The increase of $78 million was due to net income of $97 million, deferred translation gain of $14 million and $3 million of common shares issued under stock incentive plans, offset by $34 million of dividends and $2 million related to the adoption of new accounting guidance around the measurement of credit losses.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at record. This dividend was paid in the first two quarters of fiscal 2021, each quarter of fiscal 2020 and the third and fourth quarters of fiscal 2019.</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Capital expenditures were $55 million for the six months ended March 31, 2021 compared to $66 million for the six months ended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360"/>
        <w:spacing w:after="0" w:line="25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2020. Although management bases its estimates on historical experience and various other assumptions that are believed to be reasonable under the circumstances, actual results could differ significantly</w:t>
      </w:r>
    </w:p>
    <w:p>
      <w:pPr>
        <w:spacing w:after="0" w:line="1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47" w:right="69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0"/>
          <w:szCs w:val="20"/>
          <w:color w:val="auto"/>
        </w:rPr>
        <w:t>from the estimates under different assumptions or conditions. Management has reviewed the estimates affecting these items with the Audit Committee of Ashland’s Board of Directors. No material changes have been made to the valuation techniques during the six months ended March 31,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Ashland’s market risk exposure at March 31, 2021 is generally consistent with the types of market risk exposures presented in Ashland’s Annual Report on Form 10-K for the fiscal year ended September 30, 2020.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36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2021.</w:t>
      </w:r>
    </w:p>
    <w:p>
      <w:pPr>
        <w:spacing w:after="0" w:line="57"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six months ended March 31, 2021,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49" w:right="699" w:bottom="1440" w:gutter="0" w:footer="0" w:header="0"/>
        </w:sectPr>
      </w:pPr>
    </w:p>
    <w:bookmarkStart w:id="63" w:name="page64"/>
    <w:bookmarkEnd w:id="63"/>
    <w:p>
      <w:pPr>
        <w:jc w:val="center"/>
        <w:ind w:right="-359"/>
        <w:spacing w:after="0"/>
        <w:rPr>
          <w:sz w:val="20"/>
          <w:szCs w:val="20"/>
          <w:color w:val="auto"/>
        </w:rPr>
      </w:pPr>
      <w:r>
        <w:rPr>
          <w:rFonts w:ascii="Arial" w:cs="Arial" w:eastAsia="Arial" w:hAnsi="Arial"/>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jc w:val="both"/>
        <w:ind w:left="360"/>
        <w:spacing w:after="0" w:line="316"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360"/>
        <w:spacing w:after="0" w:line="291"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left="360" w:firstLine="2"/>
        <w:spacing w:after="0" w:line="255" w:lineRule="auto"/>
        <w:tabs>
          <w:tab w:leader="none" w:pos="648" w:val="left"/>
        </w:tabs>
        <w:numPr>
          <w:ilvl w:val="0"/>
          <w:numId w:val="4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w:t>
      </w:r>
      <w:r>
        <w:rPr>
          <w:rFonts w:ascii="Arial" w:cs="Arial" w:eastAsia="Arial" w:hAnsi="Arial"/>
          <w:sz w:val="19"/>
          <w:szCs w:val="19"/>
          <w:i w:val="1"/>
          <w:iCs w:val="1"/>
          <w:color w:val="auto"/>
        </w:rPr>
        <w:t xml:space="preserve"> </w:t>
      </w:r>
      <w:r>
        <w:rPr>
          <w:rFonts w:ascii="Arial" w:cs="Arial" w:eastAsia="Arial" w:hAnsi="Arial"/>
          <w:sz w:val="19"/>
          <w:szCs w:val="19"/>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March 31, 2021, Ashland and its subsidiaries have been identified as a PRP by U.S. federal and state authorities, or by private parties seeking contribution, for the cost of environmental investigation and/or cleanup at 82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81" w:lineRule="exact"/>
        <w:rPr>
          <w:rFonts w:ascii="Arial" w:cs="Arial" w:eastAsia="Arial" w:hAnsi="Arial"/>
          <w:sz w:val="19"/>
          <w:szCs w:val="19"/>
          <w:i w:val="1"/>
          <w:iCs w:val="1"/>
          <w:color w:val="auto"/>
        </w:rPr>
      </w:pPr>
    </w:p>
    <w:p>
      <w:pPr>
        <w:jc w:val="both"/>
        <w:ind w:left="360" w:firstLine="2"/>
        <w:spacing w:after="0" w:line="270" w:lineRule="auto"/>
        <w:tabs>
          <w:tab w:leader="none" w:pos="667"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4"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49" w:right="699"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2021. There is a reasonable possibility that a loss exceeding amounts already recognized may be incurred related to these actions; however, Ashland believes that such potential losses were immaterial as of March 31,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447" w:right="69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ind w:left="360" w:right="360"/>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was no share repurchase activity during the three months ended March 31, 2021.</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80" w:type="dxa"/>
            <w:vAlign w:val="bottom"/>
            <w:gridSpan w:val="3"/>
          </w:tcPr>
          <w:p>
            <w:pPr>
              <w:ind w:left="120"/>
              <w:spacing w:after="0"/>
              <w:rPr>
                <w:sz w:val="20"/>
                <w:szCs w:val="20"/>
                <w:color w:val="auto"/>
              </w:rPr>
            </w:pPr>
            <w:r>
              <w:rPr>
                <w:rFonts w:ascii="Arial" w:cs="Arial" w:eastAsia="Arial" w:hAnsi="Arial"/>
                <w:sz w:val="18"/>
                <w:szCs w:val="18"/>
                <w:color w:val="auto"/>
              </w:rPr>
              <w:t>Issuer Purchases of Equity Securities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Dollar Value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Total 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88"/>
              </w:rPr>
              <w:t>Average Price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Shares 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86"/>
              </w:rPr>
              <w:t>Paid Per Share,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as Part of Publicly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9"/>
              </w:rPr>
              <w:t>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95"/>
              </w:rPr>
              <w:t>including</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Announced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8"/>
              </w:rPr>
              <w:t>or Programs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CFF0FC"/>
            </w:tcBorders>
          </w:tcPr>
          <w:p>
            <w:pPr>
              <w:ind w:left="1100"/>
              <w:spacing w:after="0"/>
              <w:rPr>
                <w:sz w:val="20"/>
                <w:szCs w:val="20"/>
                <w:color w:val="auto"/>
              </w:rPr>
            </w:pPr>
            <w:r>
              <w:rPr>
                <w:rFonts w:ascii="Arial" w:cs="Arial" w:eastAsia="Arial" w:hAnsi="Arial"/>
                <w:sz w:val="18"/>
                <w:szCs w:val="18"/>
                <w:color w:val="auto"/>
              </w:rPr>
              <w:t>Q2 Fiscal Periods</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Shares Purchased</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commission</w:t>
            </w: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or Programs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(in millions)(a)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January 1, 2021 to January 31, 2021</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February 1, 2021 to February 28, 2021</w:t>
            </w:r>
          </w:p>
        </w:tc>
        <w:tc>
          <w:tcPr>
            <w:tcW w:w="1600" w:type="dxa"/>
            <w:vAlign w:val="bottom"/>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March 1, 2021 to March 31, 2021</w:t>
            </w:r>
          </w:p>
        </w:tc>
        <w:tc>
          <w:tcPr>
            <w:tcW w:w="16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720" w:hanging="361"/>
        <w:spacing w:after="0" w:line="264" w:lineRule="auto"/>
        <w:tabs>
          <w:tab w:leader="none" w:pos="7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March 31, 2021, $800 million remains available for repurchase under this authorization.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 Exhibits</w:t>
      </w:r>
    </w:p>
    <w:p>
      <w:pPr>
        <w:spacing w:after="0" w:line="121" w:lineRule="exact"/>
        <w:rPr>
          <w:sz w:val="20"/>
          <w:szCs w:val="20"/>
          <w:color w:val="auto"/>
        </w:rPr>
      </w:pPr>
    </w:p>
    <w:p>
      <w:pPr>
        <w:jc w:val="both"/>
        <w:ind w:left="1340" w:right="60" w:hanging="1322"/>
        <w:spacing w:after="0" w:line="250" w:lineRule="auto"/>
        <w:tabs>
          <w:tab w:leader="none" w:pos="1320" w:val="left"/>
        </w:tabs>
        <w:rPr>
          <w:rFonts w:ascii="Arial" w:cs="Arial" w:eastAsia="Arial" w:hAnsi="Arial"/>
          <w:sz w:val="20"/>
          <w:szCs w:val="20"/>
          <w:u w:val="single" w:color="auto"/>
          <w:color w:val="0000EE"/>
        </w:rPr>
      </w:pPr>
      <w:r>
        <w:rPr>
          <w:rFonts w:ascii="Arial" w:cs="Arial" w:eastAsia="Arial" w:hAnsi="Arial"/>
          <w:sz w:val="20"/>
          <w:szCs w:val="20"/>
          <w:color w:val="auto"/>
        </w:rPr>
        <w:t>2.1</w:t>
      </w:r>
      <w:r>
        <w:rPr>
          <w:sz w:val="20"/>
          <w:szCs w:val="20"/>
          <w:color w:val="auto"/>
        </w:rPr>
        <w:tab/>
      </w:r>
      <w:hyperlink r:id="rId120">
        <w:r>
          <w:rPr>
            <w:rFonts w:ascii="Arial" w:cs="Arial" w:eastAsia="Arial" w:hAnsi="Arial"/>
            <w:sz w:val="20"/>
            <w:szCs w:val="20"/>
            <w:u w:val="single" w:color="auto"/>
            <w:color w:val="0000EE"/>
          </w:rPr>
          <w:t>Master Asset Purchase Agreement, dated January 18, 2021, entered into by and between Schülke &amp; Mayr GmbH, ISP Marl</w:t>
        </w:r>
      </w:hyperlink>
      <w:r>
        <w:rPr>
          <w:rFonts w:ascii="Arial" w:cs="Arial" w:eastAsia="Arial" w:hAnsi="Arial"/>
          <w:sz w:val="20"/>
          <w:szCs w:val="20"/>
          <w:u w:val="single" w:color="auto"/>
          <w:color w:val="0000EE"/>
        </w:rPr>
        <w:t xml:space="preserve"> </w:t>
      </w:r>
      <w:hyperlink r:id="rId120">
        <w:r>
          <w:rPr>
            <w:rFonts w:ascii="Arial" w:cs="Arial" w:eastAsia="Arial" w:hAnsi="Arial"/>
            <w:sz w:val="20"/>
            <w:szCs w:val="20"/>
            <w:u w:val="single" w:color="auto"/>
            <w:color w:val="0000EE"/>
          </w:rPr>
          <w:t>Holdings GmbH, and Ashland Industries Europe GmbH (filed as Exhibit 2.1 to Ashland’s Form 8-K filed on January 22,</w:t>
        </w:r>
      </w:hyperlink>
      <w:r>
        <w:rPr>
          <w:rFonts w:ascii="Arial" w:cs="Arial" w:eastAsia="Arial" w:hAnsi="Arial"/>
          <w:sz w:val="20"/>
          <w:szCs w:val="20"/>
          <w:u w:val="single" w:color="auto"/>
          <w:color w:val="0000EE"/>
        </w:rPr>
        <w:t xml:space="preserve"> </w:t>
      </w:r>
      <w:hyperlink r:id="rId120">
        <w:r>
          <w:rPr>
            <w:rFonts w:ascii="Arial" w:cs="Arial" w:eastAsia="Arial" w:hAnsi="Arial"/>
            <w:sz w:val="20"/>
            <w:szCs w:val="20"/>
            <w:u w:val="single" w:color="auto"/>
            <w:color w:val="0000EE"/>
          </w:rPr>
          <w:t>2021 (SEC File No. 333-211719) and incorporated herein by reference).</w:t>
        </w:r>
      </w:hyperlink>
    </w:p>
    <w:p>
      <w:pPr>
        <w:spacing w:after="0" w:line="175" w:lineRule="exact"/>
        <w:rPr>
          <w:rFonts w:ascii="Arial" w:cs="Arial" w:eastAsia="Arial" w:hAnsi="Arial"/>
          <w:sz w:val="20"/>
          <w:szCs w:val="20"/>
          <w:u w:val="single" w:color="auto"/>
          <w:color w:val="0000EE"/>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10.1</w:t>
            </w:r>
          </w:p>
        </w:tc>
        <w:tc>
          <w:tcPr>
            <w:tcW w:w="9900" w:type="dxa"/>
            <w:vAlign w:val="bottom"/>
            <w:gridSpan w:val="23"/>
          </w:tcPr>
          <w:p>
            <w:pPr>
              <w:spacing w:after="0"/>
              <w:rPr>
                <w:rFonts w:ascii="Arial" w:cs="Arial" w:eastAsia="Arial" w:hAnsi="Arial"/>
                <w:sz w:val="20"/>
                <w:szCs w:val="20"/>
                <w:color w:val="0000EE"/>
                <w:w w:val="94"/>
              </w:rPr>
            </w:pPr>
            <w:hyperlink r:id="rId121">
              <w:r>
                <w:rPr>
                  <w:rFonts w:ascii="Arial" w:cs="Arial" w:eastAsia="Arial" w:hAnsi="Arial"/>
                  <w:sz w:val="20"/>
                  <w:szCs w:val="20"/>
                  <w:color w:val="0000EE"/>
                  <w:w w:val="94"/>
                </w:rPr>
                <w:t>Ashland Global Holdings Inc. 2021 Omnibus Incentive Compensation Plan (filed as Exhibit 10.1 to Ashland’s Form 8-K</w:t>
              </w:r>
            </w:hyperlink>
          </w:p>
        </w:tc>
      </w:tr>
      <w:tr>
        <w:trPr>
          <w:trHeight w:val="209"/>
        </w:trPr>
        <w:tc>
          <w:tcPr>
            <w:tcW w:w="1340" w:type="dxa"/>
            <w:vAlign w:val="bottom"/>
          </w:tcPr>
          <w:p>
            <w:pPr>
              <w:spacing w:after="0"/>
              <w:rPr>
                <w:sz w:val="18"/>
                <w:szCs w:val="18"/>
                <w:color w:val="auto"/>
              </w:rPr>
            </w:pPr>
          </w:p>
        </w:tc>
        <w:tc>
          <w:tcPr>
            <w:tcW w:w="9560" w:type="dxa"/>
            <w:vAlign w:val="bottom"/>
            <w:tcBorders>
              <w:top w:val="single" w:sz="8" w:color="0000EE"/>
            </w:tcBorders>
            <w:gridSpan w:val="15"/>
          </w:tcPr>
          <w:p>
            <w:pPr>
              <w:spacing w:after="0" w:line="209" w:lineRule="exact"/>
              <w:rPr>
                <w:rFonts w:ascii="Arial" w:cs="Arial" w:eastAsia="Arial" w:hAnsi="Arial"/>
                <w:sz w:val="20"/>
                <w:szCs w:val="20"/>
                <w:color w:val="0000EE"/>
              </w:rPr>
            </w:pPr>
            <w:hyperlink r:id="rId121">
              <w:r>
                <w:rPr>
                  <w:rFonts w:ascii="Arial" w:cs="Arial" w:eastAsia="Arial" w:hAnsi="Arial"/>
                  <w:sz w:val="20"/>
                  <w:szCs w:val="20"/>
                  <w:color w:val="0000EE"/>
                </w:rPr>
                <w:t>filed on February 3, 2021 (SEC File No. 333-211719) and incorporated herein by reference).</w:t>
              </w:r>
            </w:hyperlink>
          </w:p>
        </w:tc>
        <w:tc>
          <w:tcPr>
            <w:tcW w:w="340" w:type="dxa"/>
            <w:vAlign w:val="bottom"/>
            <w:gridSpan w:val="8"/>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10.2</w:t>
            </w:r>
          </w:p>
        </w:tc>
        <w:tc>
          <w:tcPr>
            <w:tcW w:w="9500" w:type="dxa"/>
            <w:vAlign w:val="bottom"/>
            <w:tcBorders>
              <w:bottom w:val="single" w:sz="8" w:color="0000EE"/>
            </w:tcBorders>
            <w:gridSpan w:val="14"/>
          </w:tcPr>
          <w:p>
            <w:pPr>
              <w:spacing w:after="0"/>
              <w:rPr>
                <w:rFonts w:ascii="Arial" w:cs="Arial" w:eastAsia="Arial" w:hAnsi="Arial"/>
                <w:sz w:val="20"/>
                <w:szCs w:val="20"/>
                <w:color w:val="0000EE"/>
                <w:w w:val="91"/>
              </w:rPr>
            </w:pPr>
            <w:hyperlink r:id="rId122">
              <w:r>
                <w:rPr>
                  <w:rFonts w:ascii="Arial" w:cs="Arial" w:eastAsia="Arial" w:hAnsi="Arial"/>
                  <w:sz w:val="20"/>
                  <w:szCs w:val="20"/>
                  <w:color w:val="0000EE"/>
                  <w:w w:val="91"/>
                </w:rPr>
                <w:t>Form of Stock-Settled Restricted Stock Unit Award Agreement under the Ashland Global Holdings Inc. 2021 Omnibus</w:t>
              </w:r>
            </w:hyperlink>
          </w:p>
        </w:tc>
        <w:tc>
          <w:tcPr>
            <w:tcW w:w="400" w:type="dxa"/>
            <w:vAlign w:val="bottom"/>
            <w:gridSpan w:val="9"/>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580" w:type="dxa"/>
            <w:vAlign w:val="bottom"/>
            <w:tcBorders>
              <w:bottom w:val="single" w:sz="8" w:color="0000EE"/>
            </w:tcBorders>
            <w:gridSpan w:val="16"/>
          </w:tcPr>
          <w:p>
            <w:pPr>
              <w:spacing w:after="0" w:line="209" w:lineRule="exact"/>
              <w:rPr>
                <w:rFonts w:ascii="Arial" w:cs="Arial" w:eastAsia="Arial" w:hAnsi="Arial"/>
                <w:sz w:val="20"/>
                <w:szCs w:val="20"/>
                <w:color w:val="0000EE"/>
                <w:w w:val="91"/>
              </w:rPr>
            </w:pPr>
            <w:hyperlink r:id="rId122">
              <w:r>
                <w:rPr>
                  <w:rFonts w:ascii="Arial" w:cs="Arial" w:eastAsia="Arial" w:hAnsi="Arial"/>
                  <w:sz w:val="20"/>
                  <w:szCs w:val="20"/>
                  <w:color w:val="0000EE"/>
                  <w:w w:val="91"/>
                </w:rPr>
                <w:t>Incentive Compensation Plan (filed as Exhibit 10.2 to Ashland’s Form 8-K filed on February 3, 2021 (SEC File No. 333-</w:t>
              </w:r>
            </w:hyperlink>
          </w:p>
        </w:tc>
        <w:tc>
          <w:tcPr>
            <w:tcW w:w="320" w:type="dxa"/>
            <w:vAlign w:val="bottom"/>
            <w:gridSpan w:val="7"/>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720" w:type="dxa"/>
            <w:vAlign w:val="bottom"/>
            <w:tcBorders>
              <w:bottom w:val="single" w:sz="8" w:color="0000EE"/>
            </w:tcBorders>
            <w:gridSpan w:val="5"/>
          </w:tcPr>
          <w:p>
            <w:pPr>
              <w:spacing w:after="0" w:line="209" w:lineRule="exact"/>
              <w:rPr>
                <w:rFonts w:ascii="Arial" w:cs="Arial" w:eastAsia="Arial" w:hAnsi="Arial"/>
                <w:sz w:val="20"/>
                <w:szCs w:val="20"/>
                <w:color w:val="0000EE"/>
                <w:w w:val="88"/>
              </w:rPr>
            </w:pPr>
            <w:hyperlink r:id="rId122">
              <w:r>
                <w:rPr>
                  <w:rFonts w:ascii="Arial" w:cs="Arial" w:eastAsia="Arial" w:hAnsi="Arial"/>
                  <w:sz w:val="20"/>
                  <w:szCs w:val="20"/>
                  <w:color w:val="0000EE"/>
                  <w:w w:val="88"/>
                </w:rPr>
                <w:t>211719) and incorporated herein by reference).</w:t>
              </w:r>
            </w:hyperlink>
          </w:p>
        </w:tc>
        <w:tc>
          <w:tcPr>
            <w:tcW w:w="6180" w:type="dxa"/>
            <w:vAlign w:val="bottom"/>
            <w:gridSpan w:val="18"/>
          </w:tcPr>
          <w:p>
            <w:pPr>
              <w:spacing w:after="0"/>
              <w:rPr>
                <w:sz w:val="18"/>
                <w:szCs w:val="18"/>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10.3</w:t>
            </w:r>
          </w:p>
        </w:tc>
        <w:tc>
          <w:tcPr>
            <w:tcW w:w="9900" w:type="dxa"/>
            <w:vAlign w:val="bottom"/>
            <w:gridSpan w:val="23"/>
          </w:tcPr>
          <w:p>
            <w:pPr>
              <w:spacing w:after="0"/>
              <w:rPr>
                <w:rFonts w:ascii="Arial" w:cs="Arial" w:eastAsia="Arial" w:hAnsi="Arial"/>
                <w:sz w:val="20"/>
                <w:szCs w:val="20"/>
                <w:color w:val="0000EE"/>
              </w:rPr>
            </w:pPr>
            <w:hyperlink r:id="rId123">
              <w:r>
                <w:rPr>
                  <w:rFonts w:ascii="Arial" w:cs="Arial" w:eastAsia="Arial" w:hAnsi="Arial"/>
                  <w:sz w:val="20"/>
                  <w:szCs w:val="20"/>
                  <w:color w:val="0000EE"/>
                </w:rPr>
                <w:t>Form of Restricted Share Award Agreement under the Ashland Global Holdings Inc. 2021 Omnibus Incentive</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800" w:type="dxa"/>
            <w:vAlign w:val="bottom"/>
            <w:tcBorders>
              <w:bottom w:val="single" w:sz="8" w:color="0000EE"/>
            </w:tcBorders>
            <w:gridSpan w:val="20"/>
          </w:tcPr>
          <w:p>
            <w:pPr>
              <w:spacing w:after="0" w:line="209" w:lineRule="exact"/>
              <w:rPr>
                <w:rFonts w:ascii="Arial" w:cs="Arial" w:eastAsia="Arial" w:hAnsi="Arial"/>
                <w:sz w:val="20"/>
                <w:szCs w:val="20"/>
                <w:color w:val="0000EE"/>
                <w:w w:val="90"/>
              </w:rPr>
            </w:pPr>
            <w:hyperlink r:id="rId123">
              <w:r>
                <w:rPr>
                  <w:rFonts w:ascii="Arial" w:cs="Arial" w:eastAsia="Arial" w:hAnsi="Arial"/>
                  <w:sz w:val="20"/>
                  <w:szCs w:val="20"/>
                  <w:color w:val="0000EE"/>
                  <w:w w:val="90"/>
                </w:rPr>
                <w:t>Compensation Plan (filed as Exhibit 10.3 to Ashland’s Form 8-K filed on February 3, 2021 (SEC File No. 333-211719) and</w:t>
              </w:r>
            </w:hyperlink>
          </w:p>
        </w:tc>
        <w:tc>
          <w:tcPr>
            <w:tcW w:w="100" w:type="dxa"/>
            <w:vAlign w:val="bottom"/>
            <w:gridSpan w:val="3"/>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2700" w:type="dxa"/>
            <w:vAlign w:val="bottom"/>
            <w:tcBorders>
              <w:bottom w:val="single" w:sz="8" w:color="0000EE"/>
            </w:tcBorders>
            <w:gridSpan w:val="4"/>
          </w:tcPr>
          <w:p>
            <w:pPr>
              <w:spacing w:after="0" w:line="209" w:lineRule="exact"/>
              <w:rPr>
                <w:rFonts w:ascii="Arial" w:cs="Arial" w:eastAsia="Arial" w:hAnsi="Arial"/>
                <w:sz w:val="20"/>
                <w:szCs w:val="20"/>
                <w:color w:val="0000EE"/>
                <w:w w:val="88"/>
              </w:rPr>
            </w:pPr>
            <w:hyperlink r:id="rId123">
              <w:r>
                <w:rPr>
                  <w:rFonts w:ascii="Arial" w:cs="Arial" w:eastAsia="Arial" w:hAnsi="Arial"/>
                  <w:sz w:val="20"/>
                  <w:szCs w:val="20"/>
                  <w:color w:val="0000EE"/>
                  <w:w w:val="88"/>
                </w:rPr>
                <w:t>incorporated herein by reference).</w:t>
              </w:r>
            </w:hyperlink>
          </w:p>
        </w:tc>
        <w:tc>
          <w:tcPr>
            <w:tcW w:w="7200" w:type="dxa"/>
            <w:vAlign w:val="bottom"/>
            <w:gridSpan w:val="19"/>
          </w:tcPr>
          <w:p>
            <w:pPr>
              <w:spacing w:after="0"/>
              <w:rPr>
                <w:sz w:val="18"/>
                <w:szCs w:val="18"/>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10.4</w:t>
            </w:r>
          </w:p>
        </w:tc>
        <w:tc>
          <w:tcPr>
            <w:tcW w:w="9900" w:type="dxa"/>
            <w:vAlign w:val="bottom"/>
            <w:gridSpan w:val="23"/>
          </w:tcPr>
          <w:p>
            <w:pPr>
              <w:spacing w:after="0"/>
              <w:rPr>
                <w:rFonts w:ascii="Arial" w:cs="Arial" w:eastAsia="Arial" w:hAnsi="Arial"/>
                <w:sz w:val="20"/>
                <w:szCs w:val="20"/>
                <w:color w:val="0000EE"/>
                <w:w w:val="94"/>
              </w:rPr>
            </w:pPr>
            <w:hyperlink r:id="rId124">
              <w:r>
                <w:rPr>
                  <w:rFonts w:ascii="Arial" w:cs="Arial" w:eastAsia="Arial" w:hAnsi="Arial"/>
                  <w:sz w:val="20"/>
                  <w:szCs w:val="20"/>
                  <w:color w:val="0000EE"/>
                  <w:w w:val="94"/>
                </w:rPr>
                <w:t>Form of Stock Appreciation Rights Award Agreement under the Ashland Global Holdings Inc. 2021 Omnibus Incentive</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800" w:type="dxa"/>
            <w:vAlign w:val="bottom"/>
            <w:tcBorders>
              <w:bottom w:val="single" w:sz="8" w:color="0000EE"/>
            </w:tcBorders>
            <w:gridSpan w:val="20"/>
          </w:tcPr>
          <w:p>
            <w:pPr>
              <w:spacing w:after="0" w:line="209" w:lineRule="exact"/>
              <w:rPr>
                <w:rFonts w:ascii="Arial" w:cs="Arial" w:eastAsia="Arial" w:hAnsi="Arial"/>
                <w:sz w:val="20"/>
                <w:szCs w:val="20"/>
                <w:color w:val="0000EE"/>
                <w:w w:val="90"/>
              </w:rPr>
            </w:pPr>
            <w:hyperlink r:id="rId124">
              <w:r>
                <w:rPr>
                  <w:rFonts w:ascii="Arial" w:cs="Arial" w:eastAsia="Arial" w:hAnsi="Arial"/>
                  <w:sz w:val="20"/>
                  <w:szCs w:val="20"/>
                  <w:color w:val="0000EE"/>
                  <w:w w:val="90"/>
                </w:rPr>
                <w:t>Compensation Plan (filed as Exhibit 10.4 to Ashland’s Form 8-K filed on February 3, 2021 (SEC File No. 333-211719) and</w:t>
              </w:r>
            </w:hyperlink>
          </w:p>
        </w:tc>
        <w:tc>
          <w:tcPr>
            <w:tcW w:w="100" w:type="dxa"/>
            <w:vAlign w:val="bottom"/>
            <w:gridSpan w:val="3"/>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9900" w:type="dxa"/>
            <w:vAlign w:val="bottom"/>
            <w:gridSpan w:val="23"/>
          </w:tcPr>
          <w:p>
            <w:pPr>
              <w:spacing w:after="0" w:line="209" w:lineRule="exact"/>
              <w:rPr>
                <w:rFonts w:ascii="Arial" w:cs="Arial" w:eastAsia="Arial" w:hAnsi="Arial"/>
                <w:sz w:val="20"/>
                <w:szCs w:val="20"/>
                <w:color w:val="0000EE"/>
              </w:rPr>
            </w:pPr>
            <w:hyperlink r:id="rId124">
              <w:r>
                <w:rPr>
                  <w:rFonts w:ascii="Arial" w:cs="Arial" w:eastAsia="Arial" w:hAnsi="Arial"/>
                  <w:sz w:val="20"/>
                  <w:szCs w:val="20"/>
                  <w:color w:val="0000EE"/>
                </w:rPr>
                <w:t>incorporated herein by reference).</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10.5</w:t>
            </w:r>
          </w:p>
        </w:tc>
        <w:tc>
          <w:tcPr>
            <w:tcW w:w="8820" w:type="dxa"/>
            <w:vAlign w:val="bottom"/>
            <w:tcBorders>
              <w:bottom w:val="single" w:sz="8" w:color="0000EE"/>
            </w:tcBorders>
            <w:gridSpan w:val="10"/>
          </w:tcPr>
          <w:p>
            <w:pPr>
              <w:spacing w:after="0"/>
              <w:rPr>
                <w:rFonts w:ascii="Arial" w:cs="Arial" w:eastAsia="Arial" w:hAnsi="Arial"/>
                <w:sz w:val="20"/>
                <w:szCs w:val="20"/>
                <w:color w:val="0000EE"/>
                <w:w w:val="90"/>
              </w:rPr>
            </w:pPr>
            <w:hyperlink r:id="rId125">
              <w:r>
                <w:rPr>
                  <w:rFonts w:ascii="Arial" w:cs="Arial" w:eastAsia="Arial" w:hAnsi="Arial"/>
                  <w:sz w:val="20"/>
                  <w:szCs w:val="20"/>
                  <w:color w:val="0000EE"/>
                  <w:w w:val="90"/>
                </w:rPr>
                <w:t>Form of Performance Unit Award Agreement under the Ashland Global Holdings Inc. 2021 Omnibus Incentive</w:t>
              </w:r>
            </w:hyperlink>
          </w:p>
        </w:tc>
        <w:tc>
          <w:tcPr>
            <w:tcW w:w="1080" w:type="dxa"/>
            <w:vAlign w:val="bottom"/>
            <w:gridSpan w:val="13"/>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800" w:type="dxa"/>
            <w:vAlign w:val="bottom"/>
            <w:tcBorders>
              <w:bottom w:val="single" w:sz="8" w:color="0000EE"/>
            </w:tcBorders>
            <w:gridSpan w:val="20"/>
          </w:tcPr>
          <w:p>
            <w:pPr>
              <w:spacing w:after="0" w:line="209" w:lineRule="exact"/>
              <w:rPr>
                <w:rFonts w:ascii="Arial" w:cs="Arial" w:eastAsia="Arial" w:hAnsi="Arial"/>
                <w:sz w:val="20"/>
                <w:szCs w:val="20"/>
                <w:color w:val="0000EE"/>
                <w:w w:val="90"/>
              </w:rPr>
            </w:pPr>
            <w:hyperlink r:id="rId125">
              <w:r>
                <w:rPr>
                  <w:rFonts w:ascii="Arial" w:cs="Arial" w:eastAsia="Arial" w:hAnsi="Arial"/>
                  <w:sz w:val="20"/>
                  <w:szCs w:val="20"/>
                  <w:color w:val="0000EE"/>
                  <w:w w:val="90"/>
                </w:rPr>
                <w:t>Compensation Plan (filed as Exhibit 10.5 to Ashland’s Form 8-K filed on February 3, 2021 (SEC File No. 333-211719) and</w:t>
              </w:r>
            </w:hyperlink>
          </w:p>
        </w:tc>
        <w:tc>
          <w:tcPr>
            <w:tcW w:w="100" w:type="dxa"/>
            <w:vAlign w:val="bottom"/>
            <w:gridSpan w:val="3"/>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2700" w:type="dxa"/>
            <w:vAlign w:val="bottom"/>
            <w:tcBorders>
              <w:bottom w:val="single" w:sz="8" w:color="0000EE"/>
            </w:tcBorders>
            <w:gridSpan w:val="4"/>
          </w:tcPr>
          <w:p>
            <w:pPr>
              <w:spacing w:after="0" w:line="209" w:lineRule="exact"/>
              <w:rPr>
                <w:rFonts w:ascii="Arial" w:cs="Arial" w:eastAsia="Arial" w:hAnsi="Arial"/>
                <w:sz w:val="20"/>
                <w:szCs w:val="20"/>
                <w:color w:val="0000EE"/>
                <w:w w:val="88"/>
              </w:rPr>
            </w:pPr>
            <w:hyperlink r:id="rId125">
              <w:r>
                <w:rPr>
                  <w:rFonts w:ascii="Arial" w:cs="Arial" w:eastAsia="Arial" w:hAnsi="Arial"/>
                  <w:sz w:val="20"/>
                  <w:szCs w:val="20"/>
                  <w:color w:val="0000EE"/>
                  <w:w w:val="88"/>
                </w:rPr>
                <w:t>incorporated herein by reference).</w:t>
              </w:r>
            </w:hyperlink>
          </w:p>
        </w:tc>
        <w:tc>
          <w:tcPr>
            <w:tcW w:w="7200" w:type="dxa"/>
            <w:vAlign w:val="bottom"/>
            <w:gridSpan w:val="19"/>
          </w:tcPr>
          <w:p>
            <w:pPr>
              <w:spacing w:after="0"/>
              <w:rPr>
                <w:sz w:val="18"/>
                <w:szCs w:val="18"/>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10.6</w:t>
            </w:r>
          </w:p>
        </w:tc>
        <w:tc>
          <w:tcPr>
            <w:tcW w:w="9900" w:type="dxa"/>
            <w:vAlign w:val="bottom"/>
            <w:gridSpan w:val="23"/>
          </w:tcPr>
          <w:p>
            <w:pPr>
              <w:spacing w:after="0"/>
              <w:rPr>
                <w:rFonts w:ascii="Arial" w:cs="Arial" w:eastAsia="Arial" w:hAnsi="Arial"/>
                <w:sz w:val="20"/>
                <w:szCs w:val="20"/>
                <w:color w:val="0000EE"/>
                <w:w w:val="95"/>
              </w:rPr>
            </w:pPr>
            <w:hyperlink r:id="rId126">
              <w:r>
                <w:rPr>
                  <w:rFonts w:ascii="Arial" w:cs="Arial" w:eastAsia="Arial" w:hAnsi="Arial"/>
                  <w:sz w:val="20"/>
                  <w:szCs w:val="20"/>
                  <w:color w:val="0000EE"/>
                  <w:w w:val="95"/>
                </w:rPr>
                <w:t>Form of Cash-Settled Restricted Stock Unit Award Agreement under the Ashland Global Holdings Inc. 2021 Omnibus</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580" w:type="dxa"/>
            <w:vAlign w:val="bottom"/>
            <w:tcBorders>
              <w:bottom w:val="single" w:sz="8" w:color="0000EE"/>
            </w:tcBorders>
            <w:gridSpan w:val="16"/>
          </w:tcPr>
          <w:p>
            <w:pPr>
              <w:spacing w:after="0" w:line="209" w:lineRule="exact"/>
              <w:rPr>
                <w:rFonts w:ascii="Arial" w:cs="Arial" w:eastAsia="Arial" w:hAnsi="Arial"/>
                <w:sz w:val="20"/>
                <w:szCs w:val="20"/>
                <w:color w:val="0000EE"/>
                <w:w w:val="91"/>
              </w:rPr>
            </w:pPr>
            <w:hyperlink r:id="rId126">
              <w:r>
                <w:rPr>
                  <w:rFonts w:ascii="Arial" w:cs="Arial" w:eastAsia="Arial" w:hAnsi="Arial"/>
                  <w:sz w:val="20"/>
                  <w:szCs w:val="20"/>
                  <w:color w:val="0000EE"/>
                  <w:w w:val="91"/>
                </w:rPr>
                <w:t>Incentive Compensation Plan (filed as Exhibit 10.6 to Ashland’s Form 8-K filed on February 3, 2021 (SEC File No. 333-</w:t>
              </w:r>
            </w:hyperlink>
          </w:p>
        </w:tc>
        <w:tc>
          <w:tcPr>
            <w:tcW w:w="320" w:type="dxa"/>
            <w:vAlign w:val="bottom"/>
            <w:gridSpan w:val="7"/>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3720" w:type="dxa"/>
            <w:vAlign w:val="bottom"/>
            <w:tcBorders>
              <w:bottom w:val="single" w:sz="8" w:color="0000EE"/>
            </w:tcBorders>
            <w:gridSpan w:val="5"/>
          </w:tcPr>
          <w:p>
            <w:pPr>
              <w:spacing w:after="0" w:line="209" w:lineRule="exact"/>
              <w:rPr>
                <w:rFonts w:ascii="Arial" w:cs="Arial" w:eastAsia="Arial" w:hAnsi="Arial"/>
                <w:sz w:val="20"/>
                <w:szCs w:val="20"/>
                <w:color w:val="0000EE"/>
                <w:w w:val="88"/>
              </w:rPr>
            </w:pPr>
            <w:hyperlink r:id="rId126">
              <w:r>
                <w:rPr>
                  <w:rFonts w:ascii="Arial" w:cs="Arial" w:eastAsia="Arial" w:hAnsi="Arial"/>
                  <w:sz w:val="20"/>
                  <w:szCs w:val="20"/>
                  <w:color w:val="0000EE"/>
                  <w:w w:val="88"/>
                </w:rPr>
                <w:t>211719) and incorporated herein by reference).</w:t>
              </w:r>
            </w:hyperlink>
          </w:p>
        </w:tc>
        <w:tc>
          <w:tcPr>
            <w:tcW w:w="6180" w:type="dxa"/>
            <w:vAlign w:val="bottom"/>
            <w:gridSpan w:val="18"/>
          </w:tcPr>
          <w:p>
            <w:pPr>
              <w:spacing w:after="0"/>
              <w:rPr>
                <w:sz w:val="18"/>
                <w:szCs w:val="18"/>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10.7</w:t>
            </w:r>
          </w:p>
        </w:tc>
        <w:tc>
          <w:tcPr>
            <w:tcW w:w="9400" w:type="dxa"/>
            <w:vAlign w:val="bottom"/>
            <w:tcBorders>
              <w:bottom w:val="single" w:sz="8" w:color="0000EE"/>
            </w:tcBorders>
            <w:gridSpan w:val="13"/>
          </w:tcPr>
          <w:p>
            <w:pPr>
              <w:spacing w:after="0"/>
              <w:rPr>
                <w:rFonts w:ascii="Arial" w:cs="Arial" w:eastAsia="Arial" w:hAnsi="Arial"/>
                <w:sz w:val="20"/>
                <w:szCs w:val="20"/>
                <w:color w:val="0000EE"/>
                <w:w w:val="88"/>
              </w:rPr>
            </w:pPr>
            <w:hyperlink r:id="rId127">
              <w:r>
                <w:rPr>
                  <w:rFonts w:ascii="Arial" w:cs="Arial" w:eastAsia="Arial" w:hAnsi="Arial"/>
                  <w:sz w:val="20"/>
                  <w:szCs w:val="20"/>
                  <w:color w:val="0000EE"/>
                  <w:w w:val="88"/>
                </w:rPr>
                <w:t>Second Amended and Restated Purchase and Sale Agreement, dated March 17, 2021, by and among Ashland LLC and</w:t>
              </w:r>
            </w:hyperlink>
          </w:p>
        </w:tc>
        <w:tc>
          <w:tcPr>
            <w:tcW w:w="500" w:type="dxa"/>
            <w:vAlign w:val="bottom"/>
            <w:gridSpan w:val="10"/>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780" w:type="dxa"/>
            <w:vAlign w:val="bottom"/>
            <w:tcBorders>
              <w:bottom w:val="single" w:sz="8" w:color="0000EE"/>
            </w:tcBorders>
            <w:gridSpan w:val="19"/>
          </w:tcPr>
          <w:p>
            <w:pPr>
              <w:spacing w:after="0" w:line="209" w:lineRule="exact"/>
              <w:rPr>
                <w:rFonts w:ascii="Arial" w:cs="Arial" w:eastAsia="Arial" w:hAnsi="Arial"/>
                <w:sz w:val="20"/>
                <w:szCs w:val="20"/>
                <w:color w:val="0000EE"/>
                <w:w w:val="90"/>
              </w:rPr>
            </w:pPr>
            <w:hyperlink r:id="rId127">
              <w:r>
                <w:rPr>
                  <w:rFonts w:ascii="Arial" w:cs="Arial" w:eastAsia="Arial" w:hAnsi="Arial"/>
                  <w:sz w:val="20"/>
                  <w:szCs w:val="20"/>
                  <w:color w:val="0000EE"/>
                  <w:w w:val="90"/>
                </w:rPr>
                <w:t>Ashland Specialty Ingredients G.P., as originators, Ashland LLC, as initial servicer, and CVG Capital III LLC, as purchaser</w:t>
              </w:r>
            </w:hyperlink>
          </w:p>
        </w:tc>
        <w:tc>
          <w:tcPr>
            <w:tcW w:w="120" w:type="dxa"/>
            <w:vAlign w:val="bottom"/>
            <w:gridSpan w:val="4"/>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9680" w:type="dxa"/>
            <w:vAlign w:val="bottom"/>
            <w:tcBorders>
              <w:bottom w:val="single" w:sz="8" w:color="0000EE"/>
            </w:tcBorders>
            <w:gridSpan w:val="18"/>
          </w:tcPr>
          <w:p>
            <w:pPr>
              <w:spacing w:after="0" w:line="209" w:lineRule="exact"/>
              <w:rPr>
                <w:rFonts w:ascii="Arial" w:cs="Arial" w:eastAsia="Arial" w:hAnsi="Arial"/>
                <w:sz w:val="20"/>
                <w:szCs w:val="20"/>
                <w:color w:val="0000EE"/>
                <w:w w:val="90"/>
              </w:rPr>
            </w:pPr>
            <w:hyperlink r:id="rId127">
              <w:r>
                <w:rPr>
                  <w:rFonts w:ascii="Arial" w:cs="Arial" w:eastAsia="Arial" w:hAnsi="Arial"/>
                  <w:sz w:val="20"/>
                  <w:szCs w:val="20"/>
                  <w:color w:val="0000EE"/>
                  <w:w w:val="90"/>
                </w:rPr>
                <w:t>(filed as Exhibit 10.1 to Ashland’s Form 8-K filed on March 18, 2021 (SEC File No. 333-211719) and incorporated herein</w:t>
              </w:r>
            </w:hyperlink>
          </w:p>
        </w:tc>
        <w:tc>
          <w:tcPr>
            <w:tcW w:w="220" w:type="dxa"/>
            <w:vAlign w:val="bottom"/>
            <w:gridSpan w:val="5"/>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9900" w:type="dxa"/>
            <w:vAlign w:val="bottom"/>
            <w:gridSpan w:val="23"/>
          </w:tcPr>
          <w:p>
            <w:pPr>
              <w:spacing w:after="0" w:line="209" w:lineRule="exact"/>
              <w:rPr>
                <w:rFonts w:ascii="Arial" w:cs="Arial" w:eastAsia="Arial" w:hAnsi="Arial"/>
                <w:sz w:val="20"/>
                <w:szCs w:val="20"/>
                <w:color w:val="0000EE"/>
              </w:rPr>
            </w:pPr>
            <w:hyperlink r:id="rId127">
              <w:r>
                <w:rPr>
                  <w:rFonts w:ascii="Arial" w:cs="Arial" w:eastAsia="Arial" w:hAnsi="Arial"/>
                  <w:sz w:val="20"/>
                  <w:szCs w:val="20"/>
                  <w:color w:val="0000EE"/>
                </w:rPr>
                <w:t>by reference).</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w w:val="87"/>
              </w:rPr>
              <w:t>10.8</w:t>
            </w:r>
          </w:p>
        </w:tc>
        <w:tc>
          <w:tcPr>
            <w:tcW w:w="9900" w:type="dxa"/>
            <w:vAlign w:val="bottom"/>
            <w:gridSpan w:val="23"/>
          </w:tcPr>
          <w:p>
            <w:pPr>
              <w:spacing w:after="0"/>
              <w:rPr>
                <w:rFonts w:ascii="Arial" w:cs="Arial" w:eastAsia="Arial" w:hAnsi="Arial"/>
                <w:sz w:val="20"/>
                <w:szCs w:val="20"/>
                <w:color w:val="0000EE"/>
                <w:w w:val="95"/>
              </w:rPr>
            </w:pPr>
            <w:hyperlink r:id="rId128">
              <w:r>
                <w:rPr>
                  <w:rFonts w:ascii="Arial" w:cs="Arial" w:eastAsia="Arial" w:hAnsi="Arial"/>
                  <w:sz w:val="20"/>
                  <w:szCs w:val="20"/>
                  <w:color w:val="0000EE"/>
                  <w:w w:val="95"/>
                </w:rPr>
                <w:t>Receivables Purchasing Agreement, dated March 17, 2021, by and among CVG Capital III LLC, PNC Bank, National</w:t>
              </w:r>
            </w:hyperlink>
          </w:p>
        </w:tc>
      </w:tr>
      <w:tr>
        <w:trPr>
          <w:trHeight w:val="209"/>
        </w:trPr>
        <w:tc>
          <w:tcPr>
            <w:tcW w:w="1340" w:type="dxa"/>
            <w:vAlign w:val="bottom"/>
          </w:tcPr>
          <w:p>
            <w:pPr>
              <w:spacing w:after="0"/>
              <w:rPr>
                <w:sz w:val="18"/>
                <w:szCs w:val="18"/>
                <w:color w:val="auto"/>
              </w:rPr>
            </w:pPr>
          </w:p>
        </w:tc>
        <w:tc>
          <w:tcPr>
            <w:tcW w:w="9380" w:type="dxa"/>
            <w:vAlign w:val="bottom"/>
            <w:tcBorders>
              <w:top w:val="single" w:sz="8" w:color="0000EE"/>
            </w:tcBorders>
            <w:gridSpan w:val="12"/>
          </w:tcPr>
          <w:p>
            <w:pPr>
              <w:spacing w:after="0" w:line="209" w:lineRule="exact"/>
              <w:rPr>
                <w:rFonts w:ascii="Arial" w:cs="Arial" w:eastAsia="Arial" w:hAnsi="Arial"/>
                <w:sz w:val="20"/>
                <w:szCs w:val="20"/>
                <w:color w:val="0000EE"/>
                <w:w w:val="92"/>
              </w:rPr>
            </w:pPr>
            <w:hyperlink r:id="rId128">
              <w:r>
                <w:rPr>
                  <w:rFonts w:ascii="Arial" w:cs="Arial" w:eastAsia="Arial" w:hAnsi="Arial"/>
                  <w:sz w:val="20"/>
                  <w:szCs w:val="20"/>
                  <w:color w:val="0000EE"/>
                  <w:w w:val="92"/>
                </w:rPr>
                <w:t>Association, as administrative agent, PNC Bank Capital Markets LLC, as structuring agent, Ashland LLC, as initial</w:t>
              </w:r>
            </w:hyperlink>
          </w:p>
        </w:tc>
        <w:tc>
          <w:tcPr>
            <w:tcW w:w="520" w:type="dxa"/>
            <w:vAlign w:val="bottom"/>
            <w:gridSpan w:val="11"/>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80" w:type="dxa"/>
            <w:vAlign w:val="bottom"/>
            <w:gridSpan w:val="5"/>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900" w:type="dxa"/>
            <w:vAlign w:val="bottom"/>
            <w:gridSpan w:val="23"/>
          </w:tcPr>
          <w:p>
            <w:pPr>
              <w:spacing w:after="0" w:line="209" w:lineRule="exact"/>
              <w:rPr>
                <w:rFonts w:ascii="Arial" w:cs="Arial" w:eastAsia="Arial" w:hAnsi="Arial"/>
                <w:sz w:val="20"/>
                <w:szCs w:val="20"/>
                <w:color w:val="0000EE"/>
                <w:w w:val="95"/>
              </w:rPr>
            </w:pPr>
            <w:hyperlink r:id="rId128">
              <w:r>
                <w:rPr>
                  <w:rFonts w:ascii="Arial" w:cs="Arial" w:eastAsia="Arial" w:hAnsi="Arial"/>
                  <w:sz w:val="20"/>
                  <w:szCs w:val="20"/>
                  <w:color w:val="0000EE"/>
                  <w:w w:val="95"/>
                </w:rPr>
                <w:t>servicer, and certain other persons from time to time party thereto (filed as Exhibit 10.2 to Ashland’s Form 8-K filed on</w:t>
              </w:r>
            </w:hyperlink>
          </w:p>
        </w:tc>
      </w:tr>
      <w:tr>
        <w:trPr>
          <w:trHeight w:val="210"/>
        </w:trPr>
        <w:tc>
          <w:tcPr>
            <w:tcW w:w="1340" w:type="dxa"/>
            <w:vAlign w:val="bottom"/>
          </w:tcPr>
          <w:p>
            <w:pPr>
              <w:spacing w:after="0"/>
              <w:rPr>
                <w:sz w:val="18"/>
                <w:szCs w:val="18"/>
                <w:color w:val="auto"/>
              </w:rPr>
            </w:pPr>
          </w:p>
        </w:tc>
        <w:tc>
          <w:tcPr>
            <w:tcW w:w="9500" w:type="dxa"/>
            <w:vAlign w:val="bottom"/>
            <w:tcBorders>
              <w:top w:val="single" w:sz="8" w:color="0000EE"/>
            </w:tcBorders>
            <w:gridSpan w:val="14"/>
          </w:tcPr>
          <w:p>
            <w:pPr>
              <w:spacing w:after="0" w:line="209" w:lineRule="exact"/>
              <w:rPr>
                <w:rFonts w:ascii="Arial" w:cs="Arial" w:eastAsia="Arial" w:hAnsi="Arial"/>
                <w:sz w:val="20"/>
                <w:szCs w:val="20"/>
                <w:color w:val="0000EE"/>
              </w:rPr>
            </w:pPr>
            <w:hyperlink r:id="rId128">
              <w:r>
                <w:rPr>
                  <w:rFonts w:ascii="Arial" w:cs="Arial" w:eastAsia="Arial" w:hAnsi="Arial"/>
                  <w:sz w:val="20"/>
                  <w:szCs w:val="20"/>
                  <w:color w:val="0000EE"/>
                </w:rPr>
                <w:t>March 18, 2021 (SEC File No. 333-211719) and incorporated herein by reference).</w:t>
              </w:r>
            </w:hyperlink>
          </w:p>
        </w:tc>
        <w:tc>
          <w:tcPr>
            <w:tcW w:w="400" w:type="dxa"/>
            <w:vAlign w:val="bottom"/>
            <w:gridSpan w:val="9"/>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80" w:type="dxa"/>
            <w:vAlign w:val="bottom"/>
            <w:gridSpan w:val="5"/>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tcPr>
          <w:p>
            <w:pPr>
              <w:jc w:val="right"/>
              <w:ind w:right="781"/>
              <w:spacing w:after="0"/>
              <w:rPr>
                <w:sz w:val="20"/>
                <w:szCs w:val="20"/>
                <w:color w:val="auto"/>
              </w:rPr>
            </w:pPr>
            <w:r>
              <w:rPr>
                <w:rFonts w:ascii="Arial" w:cs="Arial" w:eastAsia="Arial" w:hAnsi="Arial"/>
                <w:sz w:val="20"/>
                <w:szCs w:val="20"/>
                <w:color w:val="auto"/>
                <w:w w:val="94"/>
              </w:rPr>
              <w:t>31.1*</w:t>
            </w:r>
          </w:p>
        </w:tc>
        <w:tc>
          <w:tcPr>
            <w:tcW w:w="9900" w:type="dxa"/>
            <w:vAlign w:val="bottom"/>
            <w:gridSpan w:val="23"/>
          </w:tcPr>
          <w:p>
            <w:pPr>
              <w:spacing w:after="0"/>
              <w:rPr>
                <w:rFonts w:ascii="Arial" w:cs="Arial" w:eastAsia="Arial" w:hAnsi="Arial"/>
                <w:sz w:val="20"/>
                <w:szCs w:val="20"/>
                <w:color w:val="0000EE"/>
                <w:w w:val="94"/>
              </w:rPr>
            </w:pPr>
            <w:hyperlink w:anchor="page70">
              <w:r>
                <w:rPr>
                  <w:rFonts w:ascii="Arial" w:cs="Arial" w:eastAsia="Arial" w:hAnsi="Arial"/>
                  <w:sz w:val="20"/>
                  <w:szCs w:val="20"/>
                  <w:color w:val="0000EE"/>
                  <w:w w:val="94"/>
                </w:rPr>
                <w:t>Certificate of Guillermo Novo,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4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3"/>
              </w:rPr>
            </w:pPr>
            <w:hyperlink w:anchor="page70">
              <w:r>
                <w:rPr>
                  <w:rFonts w:ascii="Arial" w:cs="Arial" w:eastAsia="Arial" w:hAnsi="Arial"/>
                  <w:sz w:val="20"/>
                  <w:szCs w:val="20"/>
                  <w:color w:val="0000EE"/>
                  <w:w w:val="83"/>
                </w:rPr>
                <w:t>2002.</w:t>
              </w:r>
            </w:hyperlink>
          </w:p>
        </w:tc>
        <w:tc>
          <w:tcPr>
            <w:tcW w:w="6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jc w:val="right"/>
              <w:ind w:right="741"/>
              <w:spacing w:after="0"/>
              <w:rPr>
                <w:sz w:val="20"/>
                <w:szCs w:val="20"/>
                <w:color w:val="auto"/>
              </w:rPr>
            </w:pPr>
            <w:r>
              <w:rPr>
                <w:rFonts w:ascii="Arial" w:cs="Arial" w:eastAsia="Arial" w:hAnsi="Arial"/>
                <w:sz w:val="20"/>
                <w:szCs w:val="20"/>
                <w:color w:val="auto"/>
              </w:rPr>
              <w:t>31.2*</w:t>
            </w:r>
          </w:p>
        </w:tc>
        <w:tc>
          <w:tcPr>
            <w:tcW w:w="9900" w:type="dxa"/>
            <w:vAlign w:val="bottom"/>
            <w:gridSpan w:val="23"/>
          </w:tcPr>
          <w:p>
            <w:pPr>
              <w:spacing w:after="0"/>
              <w:rPr>
                <w:rFonts w:ascii="Arial" w:cs="Arial" w:eastAsia="Arial" w:hAnsi="Arial"/>
                <w:sz w:val="20"/>
                <w:szCs w:val="20"/>
                <w:color w:val="0000EE"/>
                <w:w w:val="96"/>
              </w:rPr>
            </w:pPr>
            <w:hyperlink w:anchor="page71">
              <w:r>
                <w:rPr>
                  <w:rFonts w:ascii="Arial" w:cs="Arial" w:eastAsia="Arial" w:hAnsi="Arial"/>
                  <w:sz w:val="20"/>
                  <w:szCs w:val="20"/>
                  <w:color w:val="0000EE"/>
                  <w:w w:val="96"/>
                </w:rPr>
                <w:t>Certificate of J. Kevin Willis, Chief Financial Officer of Ashland pursuant to Section 302 of the Sarbanes-Oxley Act of</w:t>
              </w:r>
            </w:hyperlink>
          </w:p>
        </w:tc>
      </w:tr>
      <w:tr>
        <w:trPr>
          <w:trHeight w:val="209"/>
        </w:trPr>
        <w:tc>
          <w:tcPr>
            <w:tcW w:w="1340" w:type="dxa"/>
            <w:vAlign w:val="bottom"/>
          </w:tcPr>
          <w:p>
            <w:pPr>
              <w:spacing w:after="0"/>
              <w:rPr>
                <w:sz w:val="18"/>
                <w:szCs w:val="18"/>
                <w:color w:val="auto"/>
              </w:rPr>
            </w:pPr>
          </w:p>
        </w:tc>
        <w:tc>
          <w:tcPr>
            <w:tcW w:w="44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3"/>
              </w:rPr>
            </w:pPr>
            <w:hyperlink w:anchor="page71">
              <w:r>
                <w:rPr>
                  <w:rFonts w:ascii="Arial" w:cs="Arial" w:eastAsia="Arial" w:hAnsi="Arial"/>
                  <w:sz w:val="20"/>
                  <w:szCs w:val="20"/>
                  <w:color w:val="0000EE"/>
                  <w:w w:val="83"/>
                </w:rPr>
                <w:t>2002.</w:t>
              </w:r>
            </w:hyperlink>
          </w:p>
        </w:tc>
        <w:tc>
          <w:tcPr>
            <w:tcW w:w="6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340" w:type="dxa"/>
            <w:vAlign w:val="bottom"/>
          </w:tcPr>
          <w:p>
            <w:pPr>
              <w:jc w:val="right"/>
              <w:ind w:right="881"/>
              <w:spacing w:after="0"/>
              <w:rPr>
                <w:sz w:val="20"/>
                <w:szCs w:val="20"/>
                <w:color w:val="auto"/>
              </w:rPr>
            </w:pPr>
            <w:r>
              <w:rPr>
                <w:rFonts w:ascii="Arial" w:cs="Arial" w:eastAsia="Arial" w:hAnsi="Arial"/>
                <w:sz w:val="20"/>
                <w:szCs w:val="20"/>
                <w:color w:val="auto"/>
              </w:rPr>
              <w:t>32*</w:t>
            </w:r>
          </w:p>
        </w:tc>
        <w:tc>
          <w:tcPr>
            <w:tcW w:w="9840" w:type="dxa"/>
            <w:vAlign w:val="bottom"/>
            <w:tcBorders>
              <w:bottom w:val="single" w:sz="8" w:color="0000EE"/>
            </w:tcBorders>
            <w:gridSpan w:val="21"/>
          </w:tcPr>
          <w:p>
            <w:pPr>
              <w:spacing w:after="0"/>
              <w:rPr>
                <w:rFonts w:ascii="Arial" w:cs="Arial" w:eastAsia="Arial" w:hAnsi="Arial"/>
                <w:sz w:val="20"/>
                <w:szCs w:val="20"/>
                <w:color w:val="0000EE"/>
                <w:w w:val="93"/>
              </w:rPr>
            </w:pPr>
            <w:hyperlink w:anchor="page72">
              <w:r>
                <w:rPr>
                  <w:rFonts w:ascii="Arial" w:cs="Arial" w:eastAsia="Arial" w:hAnsi="Arial"/>
                  <w:sz w:val="20"/>
                  <w:szCs w:val="20"/>
                  <w:color w:val="0000EE"/>
                  <w:w w:val="93"/>
                </w:rPr>
                <w:t>Certificate of Guillermo Novo, Chief Executive Officer of Ashland, and J. Kevin Willis, Chief Financial Officer of Ashland</w:t>
              </w:r>
            </w:hyperlink>
          </w:p>
        </w:tc>
        <w:tc>
          <w:tcPr>
            <w:tcW w:w="60" w:type="dxa"/>
            <w:vAlign w:val="bottom"/>
            <w:gridSpan w:val="2"/>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900" w:type="dxa"/>
            <w:vAlign w:val="bottom"/>
            <w:gridSpan w:val="23"/>
          </w:tcPr>
          <w:p>
            <w:pPr>
              <w:spacing w:after="0" w:line="209" w:lineRule="exact"/>
              <w:rPr>
                <w:rFonts w:ascii="Arial" w:cs="Arial" w:eastAsia="Arial" w:hAnsi="Arial"/>
                <w:sz w:val="20"/>
                <w:szCs w:val="20"/>
                <w:color w:val="0000EE"/>
              </w:rPr>
            </w:pPr>
            <w:hyperlink w:anchor="page72">
              <w:r>
                <w:rPr>
                  <w:rFonts w:ascii="Arial" w:cs="Arial" w:eastAsia="Arial" w:hAnsi="Arial"/>
                  <w:sz w:val="20"/>
                  <w:szCs w:val="20"/>
                  <w:color w:val="0000EE"/>
                </w:rPr>
                <w:t>pursuant to Section 906 of the Sarbanes-Oxley Act of 2002.</w:t>
              </w:r>
            </w:hyperlink>
          </w:p>
        </w:tc>
      </w:tr>
      <w:tr>
        <w:trPr>
          <w:trHeight w:val="483"/>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4720" w:type="dxa"/>
            <w:vAlign w:val="bottom"/>
            <w:tcBorders>
              <w:top w:val="single" w:sz="8" w:color="0000EE"/>
            </w:tcBorders>
            <w:gridSpan w:val="6"/>
          </w:tcPr>
          <w:p>
            <w:pPr>
              <w:spacing w:after="0"/>
              <w:rPr>
                <w:sz w:val="20"/>
                <w:szCs w:val="20"/>
                <w:color w:val="auto"/>
              </w:rPr>
            </w:pPr>
            <w:r>
              <w:rPr>
                <w:rFonts w:ascii="Arial" w:cs="Arial" w:eastAsia="Arial" w:hAnsi="Arial"/>
                <w:sz w:val="20"/>
                <w:szCs w:val="20"/>
                <w:color w:val="auto"/>
              </w:rPr>
              <w:t>Inline XBRL Instance Document.</w:t>
            </w:r>
          </w:p>
        </w:tc>
        <w:tc>
          <w:tcPr>
            <w:tcW w:w="5180" w:type="dxa"/>
            <w:vAlign w:val="bottom"/>
            <w:gridSpan w:val="17"/>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900" w:type="dxa"/>
            <w:vAlign w:val="bottom"/>
            <w:gridSpan w:val="23"/>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428"/>
        </w:trPr>
        <w:tc>
          <w:tcPr>
            <w:tcW w:w="1340" w:type="dxa"/>
            <w:vAlign w:val="bottom"/>
          </w:tcPr>
          <w:p>
            <w:pPr>
              <w:spacing w:after="0"/>
              <w:rPr>
                <w:sz w:val="24"/>
                <w:szCs w:val="24"/>
                <w:color w:val="auto"/>
              </w:rPr>
            </w:pPr>
          </w:p>
        </w:tc>
        <w:tc>
          <w:tcPr>
            <w:tcW w:w="4720" w:type="dxa"/>
            <w:vAlign w:val="bottom"/>
            <w:gridSpan w:val="6"/>
          </w:tcPr>
          <w:p>
            <w:pPr>
              <w:ind w:left="4200"/>
              <w:spacing w:after="0"/>
              <w:rPr>
                <w:sz w:val="20"/>
                <w:szCs w:val="20"/>
                <w:color w:val="auto"/>
              </w:rPr>
            </w:pPr>
            <w:r>
              <w:rPr>
                <w:rFonts w:ascii="Arial" w:cs="Arial" w:eastAsia="Arial" w:hAnsi="Arial"/>
                <w:sz w:val="18"/>
                <w:szCs w:val="18"/>
                <w:color w:val="auto"/>
              </w:rPr>
              <w:t>67</w:t>
            </w: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101.CAL**</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101.DEF**</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101.LAB**</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Inline XBRL Taxonomy Extension Definition Linkbase Document.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Label Linkbase Document.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940" w:space="400"/>
            <w:col w:w="9900"/>
          </w:cols>
          <w:pgMar w:left="320" w:top="568" w:right="339" w:bottom="1440" w:gutter="0" w:footer="0" w:header="0"/>
        </w:sectPr>
      </w:pPr>
    </w:p>
    <w:p>
      <w:pPr>
        <w:spacing w:after="0" w:line="41" w:lineRule="exact"/>
        <w:rPr>
          <w:sz w:val="20"/>
          <w:szCs w:val="20"/>
          <w:color w:val="auto"/>
        </w:rPr>
      </w:pPr>
    </w:p>
    <w:p>
      <w:pPr>
        <w:ind w:left="1340" w:hanging="1332"/>
        <w:spacing w:after="0"/>
        <w:tabs>
          <w:tab w:leader="none" w:pos="1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95" w:lineRule="exact"/>
        <w:rPr>
          <w:rFonts w:ascii="Arial" w:cs="Arial" w:eastAsia="Arial" w:hAnsi="Arial"/>
          <w:sz w:val="20"/>
          <w:szCs w:val="20"/>
          <w:color w:val="auto"/>
        </w:rPr>
      </w:pPr>
    </w:p>
    <w:p>
      <w:pPr>
        <w:jc w:val="both"/>
        <w:ind w:left="720" w:hanging="361"/>
        <w:spacing w:after="0" w:line="233" w:lineRule="auto"/>
        <w:tabs>
          <w:tab w:leader="none" w:pos="72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documents formatted in XBRL (Extensible Business Reporting Language): (i) Statements of Consolidated Comprehensive Income (Loss) for the three and six months ended March 31, 2021 and March 31, 2020; (ii) Condensed Consolidated Balance Sheets at March 31, 2021 and September 30, 2020; (iii) Statements of Consolidated Equity at March 31, 2021; (iv) Statements of Condensed Consolidated Cash Flows for the six months ended March 31, 2021 and March 31, 2020; and (v) Notes to Condensed Consolidated Financial Statements.</w:t>
      </w:r>
    </w:p>
    <w:p>
      <w:pPr>
        <w:spacing w:after="0" w:line="77"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720" w:hanging="361"/>
        <w:spacing w:after="0"/>
        <w:tabs>
          <w:tab w:leader="none" w:pos="7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53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5400" w:type="dxa"/>
            <w:vAlign w:val="bottom"/>
          </w:tcPr>
          <w:p>
            <w:pPr>
              <w:spacing w:after="0"/>
              <w:rPr>
                <w:sz w:val="16"/>
                <w:szCs w:val="16"/>
                <w:color w:val="auto"/>
              </w:rPr>
            </w:pPr>
          </w:p>
        </w:tc>
        <w:tc>
          <w:tcPr>
            <w:tcW w:w="5380" w:type="dxa"/>
            <w:vAlign w:val="bottom"/>
          </w:tcPr>
          <w:p>
            <w:pPr>
              <w:ind w:left="226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April 29, 2021</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540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5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5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729"/>
        </w:trPr>
        <w:tc>
          <w:tcPr>
            <w:tcW w:w="540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220"/>
          </w:cols>
          <w:pgMar w:left="320" w:top="549"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800" w:hanging="401"/>
        <w:spacing w:after="0"/>
        <w:tabs>
          <w:tab w:leader="none" w:pos="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April 29, 2021</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Chairman and Chief Executive Officer</w:t>
      </w:r>
    </w:p>
    <w:p>
      <w:pPr>
        <w:ind w:left="62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3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1"/>
        <w:spacing w:after="0"/>
        <w:tabs>
          <w:tab w:leader="none" w:pos="8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800" w:hanging="401"/>
        <w:spacing w:after="0" w:line="250" w:lineRule="auto"/>
        <w:tabs>
          <w:tab w:leader="none" w:pos="8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1580" w:hanging="398"/>
        <w:spacing w:after="0" w:line="291" w:lineRule="auto"/>
        <w:tabs>
          <w:tab w:leader="none" w:pos="1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80" w:hanging="398"/>
        <w:spacing w:after="0" w:line="250" w:lineRule="auto"/>
        <w:tabs>
          <w:tab w:leader="none" w:pos="15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80" w:hanging="398"/>
        <w:spacing w:after="0" w:line="246" w:lineRule="auto"/>
        <w:tabs>
          <w:tab w:leader="none" w:pos="15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20"/>
          <w:szCs w:val="20"/>
          <w:color w:val="auto"/>
        </w:rPr>
      </w:pPr>
    </w:p>
    <w:p>
      <w:pPr>
        <w:jc w:val="both"/>
        <w:ind w:left="800" w:right="20" w:hanging="401"/>
        <w:spacing w:after="0" w:line="250" w:lineRule="auto"/>
        <w:tabs>
          <w:tab w:leader="none" w:pos="8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80" w:hanging="398"/>
        <w:spacing w:after="0" w:line="250" w:lineRule="auto"/>
        <w:tabs>
          <w:tab w:leader="none" w:pos="15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80" w:hanging="398"/>
        <w:spacing w:after="0" w:line="260" w:lineRule="auto"/>
        <w:tabs>
          <w:tab w:leader="none" w:pos="15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April 29, 2021</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ind w:left="62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240"/>
          </w:cols>
          <w:pgMar w:left="320" w:top="33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March 31, 2021,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1"/>
        <w:spacing w:after="0"/>
        <w:tabs>
          <w:tab w:leader="none" w:pos="8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1"/>
        <w:spacing w:after="0" w:line="244" w:lineRule="auto"/>
        <w:tabs>
          <w:tab w:leader="none" w:pos="8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April 29, 2021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April 29, 2021</w:t>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04"/>
    </w:lvl>
    <w:lvl w:ilvl="1">
      <w:lvlJc w:val="left"/>
      <w:lvlText w:val="*"/>
      <w:numFmt w:val="bullet"/>
      <w:start w:val="1"/>
    </w:lvl>
  </w:abstractNum>
  <w:abstractNum w:abstractNumId="44">
    <w:nsid w:val="6DE91B18"/>
    <w:multiLevelType w:val="hybridMultilevel"/>
    <w:lvl w:ilvl="0">
      <w:lvlJc w:val="left"/>
      <w:lvlText w:val="%1"/>
      <w:numFmt w:val="decimal"/>
      <w:start w:val="1"/>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20" Type="http://schemas.openxmlformats.org/officeDocument/2006/relationships/hyperlink" Target="http://www.sec.gov/Archives/edgar/data/0001674862/000119312521014797/d80286dex21.htm" TargetMode="External"/><Relationship Id="rId121" Type="http://schemas.openxmlformats.org/officeDocument/2006/relationships/hyperlink" Target="http://www.sec.gov/Archives/edgar/data/0001674862/000156459021004018/ash-ex101_6.htm" TargetMode="External"/><Relationship Id="rId122" Type="http://schemas.openxmlformats.org/officeDocument/2006/relationships/hyperlink" Target="http://www.sec.gov/Archives/edgar/data/0001674862/000156459021004018/ash-ex102_8.htm" TargetMode="External"/><Relationship Id="rId123" Type="http://schemas.openxmlformats.org/officeDocument/2006/relationships/hyperlink" Target="http://www.sec.gov/Archives/edgar/data/0001674862/000156459021004018/ash-ex103_9.htm" TargetMode="External"/><Relationship Id="rId124" Type="http://schemas.openxmlformats.org/officeDocument/2006/relationships/hyperlink" Target="http://www.sec.gov/Archives/edgar/data/0001674862/000156459021004018/ash-ex104_10.htm" TargetMode="External"/><Relationship Id="rId125" Type="http://schemas.openxmlformats.org/officeDocument/2006/relationships/hyperlink" Target="http://www.sec.gov/Archives/edgar/data/0001674862/000156459021004018/ash-ex105_7.htm" TargetMode="External"/><Relationship Id="rId126" Type="http://schemas.openxmlformats.org/officeDocument/2006/relationships/hyperlink" Target="http://www.sec.gov/Archives/edgar/data/0001674862/000156459021004018/ash-ex106_11.htm" TargetMode="External"/><Relationship Id="rId127" Type="http://schemas.openxmlformats.org/officeDocument/2006/relationships/hyperlink" Target="http://www.sec.gov/Archives/edgar/data/0001674862/000156459021014162/ash-ex101_7.htm" TargetMode="External"/><Relationship Id="rId128" Type="http://schemas.openxmlformats.org/officeDocument/2006/relationships/hyperlink" Target="http://www.sec.gov/Archives/edgar/data/0001674862/000156459021014162/ash-ex102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2021-04-29T11:50:23Z</dcterms:created>
  <dcterms:modified xsi:type="dcterms:W3CDTF">2021-04-29T11:50:23Z</dcterms:modified>
</cp:coreProperties>
</file>