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55880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0" w:lineRule="exact"/>
        <w:rPr>
          <w:sz w:val="24"/>
          <w:szCs w:val="24"/>
          <w:color w:val="auto"/>
        </w:rPr>
      </w:pPr>
    </w:p>
    <w:p>
      <w:pPr>
        <w:ind w:left="4080" w:right="2860" w:hanging="4072"/>
        <w:spacing w:after="0" w:line="338" w:lineRule="auto"/>
        <w:tabs>
          <w:tab w:leader="none" w:pos="4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2020</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720" w:right="2520" w:hanging="3712"/>
        <w:spacing w:after="0" w:line="348"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 to ___________</w:t>
      </w:r>
    </w:p>
    <w:p>
      <w:pPr>
        <w:ind w:left="44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Commission file number 333-211719</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ASHLAND GLOBAL HOLDINGS INC.</w:t>
      </w:r>
    </w:p>
    <w:p>
      <w:pPr>
        <w:spacing w:after="0" w:line="103" w:lineRule="exact"/>
        <w:rPr>
          <w:sz w:val="24"/>
          <w:szCs w:val="24"/>
          <w:color w:val="auto"/>
        </w:rPr>
      </w:pPr>
    </w:p>
    <w:tbl>
      <w:tblPr>
        <w:tblLayout w:type="fixed"/>
        <w:tblInd w:w="40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Delaware</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color w:val="auto"/>
              </w:rPr>
              <w:t>81-2587835</w:t>
            </w:r>
          </w:p>
        </w:tc>
        <w:tc>
          <w:tcPr>
            <w:tcW w:w="1800" w:type="dxa"/>
            <w:vAlign w:val="bottom"/>
          </w:tcPr>
          <w:p>
            <w:pPr>
              <w:spacing w:after="0"/>
              <w:rPr>
                <w:sz w:val="18"/>
                <w:szCs w:val="18"/>
                <w:color w:val="auto"/>
              </w:rPr>
            </w:pPr>
          </w:p>
        </w:tc>
      </w:tr>
      <w:tr>
        <w:trPr>
          <w:trHeight w:val="216"/>
        </w:trPr>
        <w:tc>
          <w:tcPr>
            <w:tcW w:w="6620" w:type="dxa"/>
            <w:vAlign w:val="bottom"/>
            <w:gridSpan w:val="6"/>
          </w:tcPr>
          <w:p>
            <w:pPr>
              <w:jc w:val="center"/>
              <w:ind w:right="17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20" w:type="dxa"/>
            <w:vAlign w:val="bottom"/>
            <w:gridSpan w:val="4"/>
          </w:tcPr>
          <w:p>
            <w:pPr>
              <w:jc w:val="center"/>
              <w:ind w:right="7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62"/>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58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8145 Blazer Drive</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3"/>
        </w:trPr>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580" w:type="dxa"/>
            <w:vAlign w:val="bottom"/>
            <w:gridSpan w:val="3"/>
          </w:tcPr>
          <w:p>
            <w:pPr>
              <w:jc w:val="center"/>
              <w:ind w:left="699"/>
              <w:spacing w:after="0"/>
              <w:rPr>
                <w:sz w:val="20"/>
                <w:szCs w:val="20"/>
                <w:color w:val="auto"/>
              </w:rPr>
            </w:pPr>
            <w:r>
              <w:rPr>
                <w:rFonts w:ascii="Times New Roman" w:cs="Times New Roman" w:eastAsia="Times New Roman" w:hAnsi="Times New Roman"/>
                <w:sz w:val="16"/>
                <w:szCs w:val="16"/>
                <w:color w:val="auto"/>
              </w:rPr>
              <w:t>Wilmington, Delaware 19808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Telephone Number (302) 995-3000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7"/>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780" w:type="dxa"/>
            <w:vAlign w:val="bottom"/>
            <w:gridSpan w:val="5"/>
          </w:tcPr>
          <w:p>
            <w:pPr>
              <w:jc w:val="center"/>
              <w:ind w:right="348"/>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8"/>
        </w:trPr>
        <w:tc>
          <w:tcPr>
            <w:tcW w:w="9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of each class</w:t>
            </w:r>
          </w:p>
        </w:tc>
        <w:tc>
          <w:tcPr>
            <w:tcW w:w="1720" w:type="dxa"/>
            <w:vAlign w:val="bottom"/>
          </w:tcPr>
          <w:p>
            <w:pPr>
              <w:spacing w:after="0"/>
              <w:rPr>
                <w:sz w:val="18"/>
                <w:szCs w:val="18"/>
                <w:color w:val="auto"/>
              </w:rPr>
            </w:pPr>
          </w:p>
        </w:tc>
        <w:tc>
          <w:tcPr>
            <w:tcW w:w="18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rPr>
              <w:t>Trading Symbol</w:t>
            </w:r>
          </w:p>
        </w:tc>
        <w:tc>
          <w:tcPr>
            <w:tcW w:w="108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20" w:type="dxa"/>
            <w:vAlign w:val="bottom"/>
            <w:gridSpan w:val="2"/>
            <w:shd w:val="clear" w:color="auto" w:fill="000000"/>
          </w:tcPr>
          <w:p>
            <w:pPr>
              <w:spacing w:after="0" w:line="20" w:lineRule="exact"/>
              <w:rPr>
                <w:sz w:val="1"/>
                <w:szCs w:val="1"/>
                <w:color w:val="auto"/>
              </w:rPr>
            </w:pP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1720" w:type="dxa"/>
            <w:vAlign w:val="bottom"/>
          </w:tcPr>
          <w:p>
            <w:pPr>
              <w:spacing w:after="0"/>
              <w:rPr>
                <w:sz w:val="21"/>
                <w:szCs w:val="21"/>
                <w:color w:val="auto"/>
              </w:rPr>
            </w:pPr>
          </w:p>
        </w:tc>
        <w:tc>
          <w:tcPr>
            <w:tcW w:w="18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ASH</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64"/>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780" w:type="dxa"/>
            <w:vAlign w:val="bottom"/>
            <w:gridSpan w:val="5"/>
          </w:tcPr>
          <w:p>
            <w:pPr>
              <w:jc w:val="center"/>
              <w:ind w:right="348"/>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4"/>
        </w:trPr>
        <w:tc>
          <w:tcPr>
            <w:tcW w:w="78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jc w:val="center"/>
              <w:ind w:right="76"/>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56"/>
        </w:trPr>
        <w:tc>
          <w:tcPr>
            <w:tcW w:w="78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8" w:lineRule="exact"/>
        <w:rPr>
          <w:sz w:val="24"/>
          <w:szCs w:val="24"/>
          <w:color w:val="auto"/>
        </w:rPr>
      </w:pPr>
    </w:p>
    <w:p>
      <w:pPr>
        <w:jc w:val="both"/>
        <w:ind w:firstLine="39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firstLine="39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firstLine="394"/>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attestation to its management’s assessment of the effectiveness of its internal control over financial reporting under section 404(b) of the Sarbanes-Oxley Act (15 U.S.C 7262 (b))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7" w:right="339" w:bottom="1440" w:gutter="0" w:footer="0" w:header="0"/>
        </w:sectPr>
      </w:pPr>
    </w:p>
    <w:p>
      <w:pPr>
        <w:spacing w:after="0" w:line="3" w:lineRule="exact"/>
        <w:rPr>
          <w:sz w:val="24"/>
          <w:szCs w:val="24"/>
          <w:color w:val="auto"/>
        </w:r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060" w:space="720"/>
            <w:col w:w="3460"/>
          </w:cols>
          <w:pgMar w:left="320" w:top="587" w:right="339" w:bottom="1440" w:gutter="0" w:footer="0" w:header="0"/>
          <w:type w:val="continuous"/>
        </w:sectPr>
      </w:pPr>
    </w:p>
    <w:p>
      <w:pPr>
        <w:spacing w:after="0" w:line="26"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3420" w:space="80"/>
            <w:col w:w="3160" w:space="720"/>
            <w:col w:w="1860" w:space="80"/>
            <w:col w:w="1920"/>
          </w:cols>
          <w:pgMar w:left="320" w:top="587" w:right="339" w:bottom="1440" w:gutter="0" w:footer="0" w:header="0"/>
          <w:type w:val="continuous"/>
        </w:sectPr>
      </w:pPr>
    </w:p>
    <w:p>
      <w:pPr>
        <w:spacing w:after="0" w:line="2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5" w:lineRule="exact"/>
        <w:rPr>
          <w:sz w:val="24"/>
          <w:szCs w:val="24"/>
          <w:color w:val="auto"/>
        </w:rPr>
      </w:pPr>
    </w:p>
    <w:p>
      <w:pPr>
        <w:sectPr>
          <w:pgSz w:w="11900" w:h="16838" w:orient="portrait"/>
          <w:cols w:equalWidth="0" w:num="2">
            <w:col w:w="3620" w:space="80"/>
            <w:col w:w="7540"/>
          </w:cols>
          <w:pgMar w:left="320" w:top="587" w:right="339" w:bottom="1440" w:gutter="0" w:footer="0" w:header="0"/>
          <w:type w:val="continuous"/>
        </w:sectPr>
      </w:pPr>
    </w:p>
    <w:p>
      <w:pPr>
        <w:ind w:firstLine="39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400"/>
        <w:spacing w:after="0" w:line="184" w:lineRule="exact"/>
        <w:tabs>
          <w:tab w:leader="none" w:pos="7280" w:val="left"/>
          <w:tab w:leader="none" w:pos="79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firstLine="394"/>
        <w:spacing w:after="0" w:line="298" w:lineRule="auto"/>
        <w:rPr>
          <w:sz w:val="20"/>
          <w:szCs w:val="20"/>
          <w:color w:val="auto"/>
        </w:rPr>
      </w:pPr>
      <w:r>
        <w:rPr>
          <w:rFonts w:ascii="Times New Roman" w:cs="Times New Roman" w:eastAsia="Times New Roman" w:hAnsi="Times New Roman"/>
          <w:sz w:val="16"/>
          <w:szCs w:val="16"/>
          <w:color w:val="auto"/>
        </w:rPr>
        <w:t>At March 31, 2020, the aggregate market value of voting stock held by non-affiliates of the Registrant was approximately $2,854,663,000. In determining this amount, the Registrant has assumed that its directors and executive officers are affiliates. Such assumption shall not be deemed conclusive for any other purpose.</w:t>
      </w:r>
    </w:p>
    <w:p>
      <w:pPr>
        <w:spacing w:after="0" w:line="2" w:lineRule="exact"/>
        <w:rPr>
          <w:sz w:val="24"/>
          <w:szCs w:val="24"/>
          <w:color w:val="auto"/>
        </w:rPr>
      </w:pPr>
    </w:p>
    <w:p>
      <w:pPr>
        <w:ind w:left="4380" w:right="4360" w:hanging="3968"/>
        <w:spacing w:after="0" w:line="334" w:lineRule="auto"/>
        <w:rPr>
          <w:sz w:val="20"/>
          <w:szCs w:val="20"/>
          <w:color w:val="auto"/>
        </w:rPr>
      </w:pPr>
      <w:r>
        <w:rPr>
          <w:rFonts w:ascii="Times New Roman" w:cs="Times New Roman" w:eastAsia="Times New Roman" w:hAnsi="Times New Roman"/>
          <w:sz w:val="16"/>
          <w:szCs w:val="16"/>
          <w:color w:val="auto"/>
        </w:rPr>
        <w:t>At October 31, 2020, there were 60,578,546 shares of Registrant’s common stock outstanding. Documents Incorporated by Reference</w:t>
      </w:r>
    </w:p>
    <w:p>
      <w:pPr>
        <w:spacing w:after="0" w:line="1" w:lineRule="exact"/>
        <w:rPr>
          <w:sz w:val="24"/>
          <w:szCs w:val="24"/>
          <w:color w:val="auto"/>
        </w:rPr>
      </w:pPr>
    </w:p>
    <w:p>
      <w:pPr>
        <w:ind w:firstLine="394"/>
        <w:spacing w:after="0" w:line="298" w:lineRule="auto"/>
        <w:rPr>
          <w:sz w:val="20"/>
          <w:szCs w:val="20"/>
          <w:color w:val="auto"/>
        </w:rPr>
      </w:pPr>
      <w:r>
        <w:rPr>
          <w:rFonts w:ascii="Times New Roman" w:cs="Times New Roman" w:eastAsia="Times New Roman" w:hAnsi="Times New Roman"/>
          <w:sz w:val="16"/>
          <w:szCs w:val="16"/>
          <w:color w:val="auto"/>
        </w:rPr>
        <w:t>Portions of Registrant’s Proxy Statement (Proxy Statement) for its Annual Meeting of Stockholders are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896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vMerge w:val="restart"/>
          </w:tcPr>
          <w:p>
            <w:pPr>
              <w:ind w:left="4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w:t>
              </w:r>
            </w:hyperlink>
          </w:p>
        </w:tc>
        <w:tc>
          <w:tcPr>
            <w:tcW w:w="89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20" w:type="dxa"/>
            <w:vAlign w:val="bottom"/>
            <w:vMerge w:val="continue"/>
          </w:tcPr>
          <w:p>
            <w:pPr>
              <w:spacing w:after="0"/>
              <w:rPr>
                <w:sz w:val="16"/>
                <w:szCs w:val="16"/>
                <w:color w:val="auto"/>
              </w:rPr>
            </w:pPr>
          </w:p>
        </w:tc>
        <w:tc>
          <w:tcPr>
            <w:tcW w:w="8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960" w:type="dxa"/>
            <w:vAlign w:val="bottom"/>
          </w:tcPr>
          <w:p>
            <w:pPr>
              <w:ind w:left="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General</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960" w:type="dxa"/>
            <w:vAlign w:val="bottom"/>
          </w:tcPr>
          <w:p>
            <w:pPr>
              <w:ind w:left="4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Consumer Specialties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960" w:type="dxa"/>
            <w:vAlign w:val="bottom"/>
          </w:tcPr>
          <w:p>
            <w:pPr>
              <w:ind w:left="4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Industrial Specialties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960" w:type="dxa"/>
            <w:vAlign w:val="bottom"/>
          </w:tcPr>
          <w:p>
            <w:pPr>
              <w:ind w:left="4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Intermediate and Solvents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960" w:type="dxa"/>
            <w:vAlign w:val="bottom"/>
          </w:tcPr>
          <w:p>
            <w:pPr>
              <w:ind w:left="4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Miscellaneous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Unresolved Staff Comments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Properties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Legal Proceedings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X.</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Information about our Executive Officers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PART II</w:t>
              </w:r>
            </w:hyperlink>
          </w:p>
        </w:tc>
        <w:tc>
          <w:tcPr>
            <w:tcW w:w="8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Selected Financial Data</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Management’s Discussion and Analysis of Financial Condition and Results of Operation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7A.</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Financial Statements and Supplementary Data</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Controls and Procedures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9B.</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PART III</w:t>
              </w:r>
            </w:hyperlink>
          </w:p>
        </w:tc>
        <w:tc>
          <w:tcPr>
            <w:tcW w:w="8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Directors, Executive Officers and Corporate Governance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11.</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Executive Compensation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13.</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14.</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Principal Accounting Fees and Services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PART IV</w:t>
              </w:r>
            </w:hyperlink>
          </w:p>
        </w:tc>
        <w:tc>
          <w:tcPr>
            <w:tcW w:w="8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Exhibits and Financial Statement Schedules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Form 10-K Summary</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72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Global Holdings Inc. is a Delaware corporation, with its headquarters and principal executive offices at 8145 Blazer Drive, Wilmington, Delaware 19808 Telephone: (302) 995-3000. Ashland Global Holdings Inc. was incorporated in 2016 as the successor to a Kentucky corporation named Ashland Inc. organized in 2004 (now known as Ashland LLC), which was itself organized as the successor to a Kentucky corporation of the same name organized in 1936. Ashland Global Holdings Inc. replaced Ashland Inc. as the publicly held corporation, and Ashland Inc. was converted to a Kentucky limited liability company and is now an indirect, wholly owned subsidiary of Ashland Global Holdings Inc. The terms “Ashland” and “the Company” as used herein include Ashland Global Holdings Inc., its predecessors, and its consolidated subsidiaries, except where the context indicates otherwise. Ashland is the successor issuer to Ashland Inc. pursuant to Rule 12g-3(a) under the Securities Exchange Act of 1934, as amended (the Exchange Act) and files periodic and other reports required by the Exchange Act.</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is a global leader in providing specialty materials to customers in a wide range of consumer and industrial markets, including adhesives, architectural coatings, construction, energy, food and beverage, nutraceuticals, personal care and pharmaceutical. With approximately 4,500 employees worldwide, Ashland serves customers in more than 100 countries.</w:t>
      </w:r>
    </w:p>
    <w:p>
      <w:pPr>
        <w:spacing w:after="0" w:line="68"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During 2020, Ashland changed the way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enables greater ownership and accountability for both short- and long-term performance. Ashland has realigned its segment reporting structure commensurate with this organizational change. As a result, 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w:t>
      </w:r>
    </w:p>
    <w:p>
      <w:pPr>
        <w:spacing w:after="0" w:line="8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The nutraceutical business also provides custom formulation, toll processing and particle engineering solutions. Customers include pharmaceutical, food, beverage, nutraceuticals and supplements manufacturers, hospitals and radiologists and industrial manufacturers.</w:t>
      </w:r>
    </w:p>
    <w:p>
      <w:pPr>
        <w:spacing w:after="0" w:line="7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strength, binding power, film formation, deposition and suspension and emulsification. Customers include global paint manufacturers, electronics and automotive manufacturers, textile mills, the construction industry and welders. In addition, Specialty Additives sells product to Life Sciences, Personal Care, and Performance Adhesives for use as a raw material.</w:t>
      </w:r>
    </w:p>
    <w:p>
      <w:pPr>
        <w:spacing w:after="0" w:line="68"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volatile organic compounds (VOCs) in buildings. Customers include converters of packaging materials, manufacturers of building materials and suppliers to transportation industry.</w:t>
      </w:r>
    </w:p>
    <w:p>
      <w:pPr>
        <w:spacing w:after="0" w:line="75" w:lineRule="exact"/>
        <w:rPr>
          <w:sz w:val="20"/>
          <w:szCs w:val="20"/>
          <w:color w:val="auto"/>
        </w:rPr>
      </w:pPr>
    </w:p>
    <w:p>
      <w:pPr>
        <w:jc w:val="both"/>
        <w:ind w:right="20" w:firstLine="394"/>
        <w:spacing w:after="0" w:line="261" w:lineRule="auto"/>
        <w:rPr>
          <w:sz w:val="20"/>
          <w:szCs w:val="20"/>
          <w:color w:val="auto"/>
        </w:rPr>
      </w:pPr>
      <w:r>
        <w:rPr>
          <w:rFonts w:ascii="Times New Roman" w:cs="Times New Roman" w:eastAsia="Times New Roman" w:hAnsi="Times New Roman"/>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provided as a feedstock to Life Sciences, Personal Care, and Specialty Additives for use as a raw material.</w:t>
      </w:r>
    </w:p>
    <w:p>
      <w:pPr>
        <w:spacing w:after="0" w:line="72" w:lineRule="exact"/>
        <w:rPr>
          <w:sz w:val="20"/>
          <w:szCs w:val="20"/>
          <w:color w:val="auto"/>
        </w:rPr>
      </w:pPr>
    </w:p>
    <w:p>
      <w:pPr>
        <w:ind w:right="380" w:firstLine="39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4"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SPECIALTY BUSINESSES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Consumer Specialties which is comprised of Life Sciences and Personal Care &amp; Household offers industry-leading products, technologies and resources for solving formulation and product-performance challenges. Using natural, synthetic and semisynthetic polymers derived from cellulose ethers, vinyl pyrrolidones, acrylic polymers, and plant and seed extract, Consumer Specialties offers comprehensive and innovative solutions for consumer and industrial applications.</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Key customers include pharmaceutical companies; makers of personal care products; food and beverage manufacturers; and makers of nutraceuticals and supplements. Certain customer relationships are significant, and the loss of any one of those customers could have a material adverse effect on the Consumer Specialty business.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Consumer Specialties’ areas of expertise include: organic and synthetic chemistry, polymer chemistry, surface science, rheology, structural analysis and microbiology.</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Consumer Specialties’ solutions provide an array of properties, including: thickening and rheology control and water retention.</w:t>
      </w:r>
    </w:p>
    <w:p>
      <w:pPr>
        <w:spacing w:after="0" w:line="117"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Consumer Specialties is composed of various end use markets. Many of the products of the end markets are produced in shared manufacturing facilities, to better manage capacity and achieve desired returns.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Life Sciences</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Life Sciences is a leading supplier of excipients and tablet coating systems to the pharmaceutical, nutrition and nutraceutical industries. Excipients include a comprehensive range of polymers for use as tablet binders, superdisintegrants, sustained-release agents and drug solubilizers, as well as a variety of coating formulations for immediate, delayed,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sustained release applications. Core products include cellulosics and acetylenics which are used primarily in oral solid dosage drug formulations. The portfolio also includes branded and proprietary nutraceutical ingredients and expertise in nutraceutical formulation, particle engineering and contract manufacturing.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Life Sciences operates throughout the Americas, Europe and Asia Pacific. It has 18 manufacturing and lab facilities in five countries which serve its various end markets. It has manufacturing facilities and labs in Anaheim, California; Wilmington, Delaware; Calvert City, Kentucky; Kearny, Paterson, S. Hackensack (two facilities) and Totowa, New Jersey; Monroe, New York; Fiskeville, Rhode Island; Texas City, Texas; and Ogden, Utah; within the United States and Dusseldorf, Germany; Jaumave and Mexico City, Mexico, and Cabreuva and Sao Paolo, Brazil; and Dublin, Ireland.</w:t>
      </w:r>
    </w:p>
    <w:p>
      <w:pPr>
        <w:spacing w:after="0" w:line="72"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Life Science markets and distributes its products and services directly and through third-party distributors in the Americas, Europe, the Middle East, Africa and Asia Pacific.</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Personal Care &amp; Household’s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68"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Personal Care &amp; Household’s portfolio of hair care products includes advanced styling polymers, fixatives, conditioning polymers, emulsifiers, preservatives, rheology modifiers and biofunctional actives.</w:t>
      </w:r>
    </w:p>
    <w:p>
      <w:pPr>
        <w:spacing w:after="0" w:line="54"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Personal Care &amp; Household’s portfolio of ingredients and solutions for skin care, sun care, and cosmetics focuses on natural and sustainable solutions. Ashland’s Personal Care &amp; Household business includes biofunctional actives, preservatives, and specialty polymers to provide functionality such as water resistance and rheology. Ashland’s natural ingredients include a wide range of cellulose, guar, and cassia derivatives; unique active ingredients derived from botanical sources using exclusive Ashland technologies such as Zeta Fraction and PSR technology; emollients based on natural chemistries; encapsulation technology derived from alginates; and efficacious preservative blends inspired by nature.</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Personal Care &amp; Household’s portfolio of products and technologies is used in many types of cleaning and fragrance applications, including fabric care, home care and dishwashing. Personal Care &amp; Household’s products are used in a variety of applications for viscosity enhancement, particle suspension, rheology modification, stabilization and fragrance enhancement.</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Personal Care &amp; Household operates throughout the Americas, Europe and Asia Pacific. It has 13 manufacturing and lab facilities in five countries which serve its various end markets and participates in one joint venture. It has manufacturing facilities and labs in Freetown, Massachusetts; Chatham, New Jersey; Ossining, New York; Merry Hill, North Carolina; Columbus, Ohio; Summerville, South Carolina; Kenedy, Texas; and Menomonee Falls, Wisconsin within the United States and Sophia Antipolis, France; Hyderabad and Mumbai, India; Mexico City, Mexico and Poole, United Kingdom.</w:t>
      </w:r>
    </w:p>
    <w:p>
      <w:pPr>
        <w:spacing w:after="0" w:line="72" w:lineRule="exact"/>
        <w:rPr>
          <w:sz w:val="20"/>
          <w:szCs w:val="20"/>
          <w:color w:val="auto"/>
        </w:rPr>
      </w:pPr>
    </w:p>
    <w:p>
      <w:pPr>
        <w:jc w:val="both"/>
        <w:ind w:firstLine="471"/>
        <w:spacing w:after="0" w:line="282" w:lineRule="auto"/>
        <w:rPr>
          <w:sz w:val="20"/>
          <w:szCs w:val="20"/>
          <w:color w:val="auto"/>
        </w:rPr>
      </w:pPr>
      <w:r>
        <w:rPr>
          <w:rFonts w:ascii="Times New Roman" w:cs="Times New Roman" w:eastAsia="Times New Roman" w:hAnsi="Times New Roman"/>
          <w:sz w:val="18"/>
          <w:szCs w:val="18"/>
          <w:color w:val="auto"/>
        </w:rPr>
        <w:t>Personal Care and Household markets and distributes its products and services directly and through third-party distributors in the Americas, Europe, the Middle East, Africa and Asia Pacific.</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fiscal 2020, the following Consumer Specialty products were 10% or greater of Ashland’s total consolidated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040" w:type="dxa"/>
            <w:vAlign w:val="bottom"/>
            <w:tcBorders>
              <w:top w:val="single" w:sz="8" w:color="auto"/>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 of Consumer Specialty sales</w:t>
            </w:r>
          </w:p>
        </w:tc>
        <w:tc>
          <w:tcPr>
            <w:tcW w:w="3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Cellulosics</w:t>
            </w:r>
          </w:p>
        </w:tc>
        <w:tc>
          <w:tcPr>
            <w:tcW w:w="4040" w:type="dxa"/>
            <w:vAlign w:val="bottom"/>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6"/>
              </w:rPr>
              <w:t>29%</w:t>
            </w:r>
          </w:p>
        </w:tc>
        <w:tc>
          <w:tcPr>
            <w:tcW w:w="39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34%</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Polyvinylpyrrolidones (PVP)</w:t>
            </w:r>
          </w:p>
        </w:tc>
        <w:tc>
          <w:tcPr>
            <w:tcW w:w="4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28%</w:t>
            </w:r>
          </w:p>
        </w:tc>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17%</w:t>
            </w:r>
          </w:p>
        </w:tc>
      </w:tr>
      <w:tr>
        <w:trPr>
          <w:trHeight w:val="414"/>
        </w:trPr>
        <w:tc>
          <w:tcPr>
            <w:tcW w:w="3300" w:type="dxa"/>
            <w:vAlign w:val="bottom"/>
          </w:tcPr>
          <w:p>
            <w:pPr>
              <w:spacing w:after="0"/>
              <w:rPr>
                <w:sz w:val="24"/>
                <w:szCs w:val="24"/>
                <w:color w:val="auto"/>
              </w:rPr>
            </w:pPr>
          </w:p>
        </w:tc>
        <w:tc>
          <w:tcPr>
            <w:tcW w:w="40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3</w:t>
            </w:r>
          </w:p>
        </w:tc>
        <w:tc>
          <w:tcPr>
            <w:tcW w:w="390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INDUSTRIAL SPECIALTY BUSINESSES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Industrial Specialties which is comprised of Specialty Additives and Performance Adhesives offers industry-leading products, technologies and resources for solving formulation and product-performance challenges. Using synthetic and semisynthetic polymers derived from polyester and polyurethane-based adhesives, and plant and seed extract, Industrial Specialties offers comprehensive and innovative solutions for industrial applications.</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Key customers include manufacturers of paint, coatings and construction materials; packaging and converting companies; and oilfield service companies. Certain customer relationships are significant, and the loss of any one of those customers could have a material adverse effect on the Industrial Specialties business.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Industrial Specialties’ areas of expertise include: organic and synthetic chemistry, colloid science, rheology, structural analysis and microbiology.</w:t>
      </w:r>
    </w:p>
    <w:p>
      <w:pPr>
        <w:spacing w:after="0" w:line="117"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Industrial Specialties’ solutions provide an array of properties, including: thickening and rheology control, adhesive strength, binding power, film formation, conditioning and deposition, colloid stabilization and suspension.</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Industrial Specialties is composed of various end use markets. Many of the products of the end markets are produced in shared manufacturing facilities, to better manage capacity and achieve desired returns.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Specialty Additives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75"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Specialty Additives is a leading global manufacturer of synthetic-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Specialty Additives operates throughout the Americas, Europe and Asia Pacific. It has 12 manufacturing and lab facilities in eight countries which serve its various end markets. Specialty Additives has manufacturing facilities and labs in Huntsville, Alabama; Parlin, New Jersey; and Hopewell, Virginia; within the United States and Doel-Beveren, Belgium; Nanjing and Shanghai, China; Alizay, France; Dusseldorf, Germany; Mumbai, India; Zwijndrecht, the Netherlands and Bradford and Newton Aycliffe, United Kingdom.</w:t>
      </w:r>
    </w:p>
    <w:p>
      <w:pPr>
        <w:spacing w:after="0" w:line="72" w:lineRule="exact"/>
        <w:rPr>
          <w:sz w:val="20"/>
          <w:szCs w:val="20"/>
          <w:color w:val="auto"/>
        </w:rPr>
      </w:pPr>
    </w:p>
    <w:p>
      <w:pPr>
        <w:jc w:val="both"/>
        <w:ind w:firstLine="471"/>
        <w:spacing w:after="0" w:line="282" w:lineRule="auto"/>
        <w:rPr>
          <w:sz w:val="20"/>
          <w:szCs w:val="20"/>
          <w:color w:val="auto"/>
        </w:rPr>
      </w:pPr>
      <w:r>
        <w:rPr>
          <w:rFonts w:ascii="Times New Roman" w:cs="Times New Roman" w:eastAsia="Times New Roman" w:hAnsi="Times New Roman"/>
          <w:sz w:val="18"/>
          <w:szCs w:val="18"/>
          <w:color w:val="auto"/>
        </w:rPr>
        <w:t>Specialty Additives distributes its products and services directly and through third-party distributors in the Americas, Europe, the Middle East, Africa and Asia Pacific.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i w:val="1"/>
          <w:iCs w:val="1"/>
          <w:color w:val="auto"/>
        </w:rPr>
        <w:t>Performance Adhesives</w:t>
      </w:r>
    </w:p>
    <w:p>
      <w:pPr>
        <w:spacing w:after="0" w:line="11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Performance Adhesives manufactures and sells specialty coatings and adhesive solutions to the packaging and converting, building and construction, and transportation markets for use across multiple industries. Key technologies and markets include: acrylic polymers for pressure-sensitive adhesives; urethane adhesive for flexible packaging applications; aqueous and radiation-curable adhesives and specialty coatings for printing and converting applications; polyurethane adhesives for structural wood bonding; rubber and butyl based adhesives for commercial roofing applications; acrylic, polyurethane and epoxy structural adhesives for bonding, thermoset and thermoplastic composites, and metals in automotive, marine, recreational and industrial applications; specialty phenolic resins and adhesives for abrasives and friction applications, as well as other industrial laminate applications. Performance Adhesives’ products provide an array of functional properties including high-strength bonding, ease and speed of product assembly, heat and moisture resistance and design flexibility, while also functioning as an enabler to sustainable solutions.</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Performance Adhesives operates throughout the Americas and Europe. It has 6 manufacturing and lab facilities in two countries which serve its various end markets. It has manufacturing facilities and labs in Calumet City, Illinois; Ashland, and Columbus, Ohio; White City, Oregon; and Piedmont, South Carolina; within the United States and Kidderminster, United Kingdom.</w:t>
      </w:r>
    </w:p>
    <w:p>
      <w:pPr>
        <w:spacing w:after="0" w:line="68" w:lineRule="exact"/>
        <w:rPr>
          <w:sz w:val="20"/>
          <w:szCs w:val="20"/>
          <w:color w:val="auto"/>
        </w:rPr>
      </w:pPr>
    </w:p>
    <w:p>
      <w:pPr>
        <w:jc w:val="both"/>
        <w:ind w:firstLine="471"/>
        <w:spacing w:after="0" w:line="282" w:lineRule="auto"/>
        <w:rPr>
          <w:sz w:val="20"/>
          <w:szCs w:val="20"/>
          <w:color w:val="auto"/>
        </w:rPr>
      </w:pPr>
      <w:r>
        <w:rPr>
          <w:rFonts w:ascii="Times New Roman" w:cs="Times New Roman" w:eastAsia="Times New Roman" w:hAnsi="Times New Roman"/>
          <w:sz w:val="18"/>
          <w:szCs w:val="18"/>
          <w:color w:val="auto"/>
        </w:rPr>
        <w:t>Performance Adhesives distributes its products and services directly and through third-party distributors in the Americas, Europe, the Middle East, Africa and Asia Pacific.</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fiscal 2020, the following Industrial Specialty products were 10% or greater of Ashland’s total consolidated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02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 of Industrial Specialty sales</w:t>
            </w:r>
          </w:p>
        </w:tc>
        <w:tc>
          <w:tcPr>
            <w:tcW w:w="3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Cellulosics</w:t>
            </w:r>
          </w:p>
        </w:tc>
        <w:tc>
          <w:tcPr>
            <w:tcW w:w="4020" w:type="dxa"/>
            <w:vAlign w:val="bottom"/>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45%</w:t>
            </w:r>
          </w:p>
        </w:tc>
        <w:tc>
          <w:tcPr>
            <w:tcW w:w="39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34%</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Polyvinylpyrrolidones (PVP)</w:t>
            </w:r>
          </w:p>
        </w:tc>
        <w:tc>
          <w:tcPr>
            <w:tcW w:w="40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3%</w:t>
            </w:r>
          </w:p>
        </w:tc>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INTERMEDIATES AND SOLVENTS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Intermediates and Solvents is a leading producer of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provided as a feedstock to Life Sciences, Personal Care and Specialty Additives for use as a raw material. On August 30, 2019, Ashland closed the sale of its Composites segment and the Intermediates and Solvents manufacturing facility in Marl, Germany.</w:t>
      </w:r>
    </w:p>
    <w:p>
      <w:pPr>
        <w:spacing w:after="0" w:line="75"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Intermediates and Solvents has a manufacturing facility in Lima, Ohio, while some derivatives are produced at Life Sciences facilities in Texas City, Texas and Calvert City, Kentucky. Intermediates and Solvents’ markets and distributes its products directly and through third-party distributors in the Americas, Europe, and Asia Pacific.</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maintains a companywide environmental policy overseen by the Environmental, Health, Safety and Quality Committee of Ashland’s Board of Directors.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68"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5"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At September 30, 2020, Ashland’s reserves for environmental remediation and related environmental litigation amounted to $200 million, reflecting Ashland’s best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$475 million. No individual remediation location is significant, as the largest reserve for any site is 14% of the remediation reserve. Ashland regularly adjusts its reserves as environmental remediation continues. Environmental remediation expense, net of insurance receivables, amounted to $48 million in 2020, compared to $34 million in 2019 and $65 million in 2018.</w:t>
      </w:r>
    </w:p>
    <w:p>
      <w:pPr>
        <w:spacing w:after="0" w:line="80"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Control, Registration and Inventory </w:t>
      </w:r>
      <w:r>
        <w:rPr>
          <w:rFonts w:ascii="Times New Roman" w:cs="Times New Roman" w:eastAsia="Times New Roman" w:hAnsi="Times New Roman"/>
          <w:sz w:val="18"/>
          <w:szCs w:val="18"/>
          <w:color w:val="auto"/>
        </w:rPr>
        <w:t>- Many of Ashland’s products and operations are subject to chemical control laws of the countries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are located. These laws include regulation of chemical substances and inventories under the Toxic Substances Control Act (TSCA) in the United States and the Registration, Evaluation and Authorization of Chemicals (REACH) regulation in Europe. Under REACH,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7"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Remediation </w:t>
      </w:r>
      <w:r>
        <w:rPr>
          <w:rFonts w:ascii="Times New Roman" w:cs="Times New Roman" w:eastAsia="Times New Roman" w:hAnsi="Times New Roman"/>
          <w:sz w:val="18"/>
          <w:szCs w:val="18"/>
          <w:color w:val="auto"/>
        </w:rPr>
        <w:t>- Ashland currently operates, and in the past has operated, various facilities at which, during the normal course of business, releases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can also arise related to contaminated sites. Laws in other jurisdictions in which Ashland operates require that contamination caused by such releases at these sites be assessed and, if necessary, remediated to meet applicable standards.</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 In the United States, the Clean Air Act (CAA) imposes stringent limits on facility air emissions, establishes a federally mandated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72"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The United States Environmental Protection Agency (USEPA) has increased its frequency in reviewing the NAAQS. The USEPA has stringent standards for particulate matter, ozone and sulfur dioxide. Throughout 2020,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79"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Ashland’s businesses are subject to various laws relating to and establishing standards for the management of hazardous and solid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74" w:lineRule="exact"/>
        <w:rPr>
          <w:sz w:val="20"/>
          <w:szCs w:val="20"/>
          <w:color w:val="auto"/>
        </w:rPr>
      </w:pPr>
    </w:p>
    <w:p>
      <w:pPr>
        <w:jc w:val="both"/>
        <w:ind w:firstLine="3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Water </w:t>
      </w:r>
      <w:r>
        <w:rPr>
          <w:rFonts w:ascii="Times New Roman" w:cs="Times New Roman" w:eastAsia="Times New Roman" w:hAnsi="Times New Roman"/>
          <w:sz w:val="18"/>
          <w:szCs w:val="18"/>
          <w:color w:val="auto"/>
        </w:rPr>
        <w:t>- Ashland’s businesses maintain numerous discharge permits. In the United States, such permits may be required by the National Pollutant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Elimination System of the Clean Water Act and similar state programs. Other countries have similar laws and regulations requiring permits and controls relating to water discharge.</w:t>
      </w:r>
    </w:p>
    <w:p>
      <w:pPr>
        <w:spacing w:after="0" w:line="65"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Climate Change and Related Regulatory Developments </w:t>
      </w:r>
      <w:r>
        <w:rPr>
          <w:rFonts w:ascii="Times New Roman" w:cs="Times New Roman" w:eastAsia="Times New Roman" w:hAnsi="Times New Roman"/>
          <w:sz w:val="18"/>
          <w:szCs w:val="18"/>
          <w:color w:val="auto"/>
        </w:rPr>
        <w:t>- Ashland has been collecting energy use data and calculating greenhouse gas (GHG)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for many years. Ashland evaluates the potential impacts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Current North American, European and other regional regulatory developments are not expected to have a material effect on Ashland’s operations, although some facilities are subject to promulgated rules. 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competes in the highly fragmented specialty materials industry. The participants in the industry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because of industry consolidation, pricing pressures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competing technologies. To improve its competitive position, as Ashland narrows its focus on specialty materials, the company is building and more strongly leveraging the Ashland corporate brand as a differentiator to create value and better communicate the capabilities, promise and scale of the company, making it easier to introduce new product lines and applications.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has a broad intellectual property portfolio which is an important component of its business. Ashland relies on patents, trade secrets, formulae and know-how to protect and differentiate their products and technologies. In addition, these reportable segments own valuable trademarks which identify and differentiate its products from its competitors. Ashland also uses licensed intellectual property rights from third-parties.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purchases its raw materials from multiple sources of supply in the United States and other countries and believes that raw material supplies will be available in quantities sufficient to meet demand in fiscal 2021. All of Ashland’s reportable segments were impacted, to varying degrees, by the volatility of raw materials costs in fiscal 2020, and these conditions may continue in fiscal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program of research and development is focused on defining the needs of the marketplace and framing those needs into technology platforms. Ashland has the capability to deliver and develop the intellectual property required to grow and protect those platforms. Ashland is focused on developing new chemistries, market-changing technologies and customer driven solutions at numerous technology centers located in the Americas, Europe and the Asia Pacific region.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Ashland’s business may vary due to seasonality. Ashland’s business units typically experience stronger demand during warmer weather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 of September 30, 2020, Ashland had approximately 4,500 employees globally. Ashland believes that the quality of its employees is a competitive advantage. Therefore, the ability to attract, develop and retain the best people globally will continue to be key to Ashland’s long term success. To accomplish this, Ashland offers industry competitive salary and benefits, pay-for-performance incentive plans and a diverse work environment where employees feel challenged and valued.</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is committed to the safety and well-being of our employees. Preventing workplace incidents is an integral part of Ashland’s business strategy. Ashland’s objective is to eliminate or reduce health hazards that could impact our employees through continued investment in Ashland’s zero incident culture program. For the year ended September 30, 2020, Ashland had 33 total recordable injuries across all Ashland locations.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 consider when evaluating its expectations. These factors could cause future results to differ from those in forward-looking statements and from historical trends.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could have a material adverse effect on Ashland’s business operations, results of operations, cash flows and financial position</w:t>
      </w:r>
    </w:p>
    <w:p>
      <w:pPr>
        <w:spacing w:after="0" w:line="5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Ashland is closely monitoring the impact of the COVID-19 pandemic on all aspects of its business and geographies, including how the pandemic will impact customers, employees, suppliers, vendors, business partners and distribution channels. The COVID-19 pandemic has and may create significant volatility, uncertainty and economic disruption, which may materially and adversely affect Ashland’s business operations, cash flows, liquidity and financial position. The extent to which the COVID-19 pandemic continues to impact Ashland will depend on numerous evolving factors and future developments that are difficult to predict, including: the severity of the virus; the duration of the outbreak; governmental, business and other actions in response to the pandemic (which could include limitations on Ashland’s operations or mandates to provide products or services); the impact of the pandemic on Ashland’s supply chain; the impact of the pandemic on economic activity; the extent and duration of the effect on consumer confidence and spending, customer demand and buying patterns including spending on discretionary categories; the health of and the effect on Ashland’s workforce and its ability to meet staffing needs through the operations and other critical functions, particularly if employees are quarantined as a result of exposure; any impairment in value of tangible or intangible assets which could be recorded as a result of weaker economic conditions; the impact on Ashland’s business and the global economy from governmental actions related to international trade;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turmoil in the credit or financial markets, or impacts Ashland’s credit ratings, it could adversely affect Ashland’s ability to access capital on favorable terms and continue to meet its liquidity needs, all of which are highly uncertain and cannot be predicted. In addition, Ashland cannot predict the impact that the COVID-19 pandemic will have on its customers, suppliers, vendors, and other business partners, and each of their financial conditions; however, any material effect on these parties could adversely impact Ashland. The impact of the COVID-19 pandemic may also exacerbate other risks discussed in this Item 1A any of which could have a material effect on Ashland. This situation is changing rapidly and additional impacts may arise that Ashland is not aware of currently.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 Financial Performance and Growth</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has set aggressive growth goals for its businesses, including increasing sales, cash flow and margins, in order to achieve its long term strategic objectives. Ashland’s successful execution of its growth strategies and business plans to facilitate that growth involves a number of risks.</w:t>
      </w:r>
    </w:p>
    <w:p>
      <w:pPr>
        <w:spacing w:after="0" w:line="51" w:lineRule="exact"/>
        <w:rPr>
          <w:sz w:val="20"/>
          <w:szCs w:val="20"/>
          <w:color w:val="auto"/>
        </w:rPr>
      </w:pPr>
    </w:p>
    <w:p>
      <w:pPr>
        <w:jc w:val="both"/>
        <w:ind w:firstLine="788"/>
        <w:spacing w:after="0" w:line="256" w:lineRule="auto"/>
        <w:rPr>
          <w:sz w:val="20"/>
          <w:szCs w:val="20"/>
          <w:color w:val="auto"/>
        </w:rPr>
      </w:pPr>
      <w:r>
        <w:rPr>
          <w:rFonts w:ascii="Times New Roman" w:cs="Times New Roman" w:eastAsia="Times New Roman" w:hAnsi="Times New Roman"/>
          <w:sz w:val="18"/>
          <w:szCs w:val="18"/>
          <w:color w:val="auto"/>
        </w:rPr>
        <w:t>Ashland has set aggressive growth goals for its businesses in order to meet long term strategic objectives and improve shareholder value. Ashland’s failure to meet one or more of these goals or objectives would negatively impact Ashland’s potential value and the businesses. One of the most important risks is that Ashland might fail to adequately execute its business and growth plans, by optimizing the efficient use of its physical and intangible assets. Aspects of that risk include changes to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67"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 terrorist attacks, armed conflict, war, pandemic diseases, fires, floods or other catastrophic events, could seriously harm Ashland’s operations, as well as the operations of its customers and suppliers, and may adversely impact Ashland’s financial performance. Although it is impossible to predict the occurrence or consequences of any such events, they could result in reduced demand for Ashland’s products, make it difficult or impossible for Ashland to manufacture its products or deliver products and services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8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While Ashland maintains business continuity plans that are intended to allow it to continue operations or mitigate the effects of events that could disrupt its business, Ashland cannot provide assurances that its plans would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Ashland’s customers could change their products in a way that reduces the demand for Ashland’s products.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It is important for Ashland to continue developing new products, and new applications of existing products to replace such lost business. Otherwise Ashland faces the risk of a loss of market share, margins and cash flow if it is unable to manage a potential change in the demands of its products.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Greater than half of Ashland’s net sales for fiscal 2021 are expected to be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 w:name="page13"/>
    <w:bookmarkEnd w:id="12"/>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Certain legal and political risks are also inherent in the operation of a company with Ashland’s global scope. For example, in November 2018, the United States reached an agreement with Canada and Mexico on the United States-Mexico-Canada Trade Agreement (USMCA), which replaced the North American Free Trade Agreement (NAFTA) effective July 1, 2020. Among other things, USMCA includes revised country of origin rules and various labor provisions. In addition, the United Kingdom’s exit from the European Union (E.U.) could disrupt European supply chains or customs regimes. Ashland’s ability to do business and execute its growth strategies could be adversely affected by either of these changes or other changes to trade policy and trade relationships. Ashland could also be impacted negatively if the ongoing trade disputes between the United States and China, or those between the United States and the E.U. were to worsen.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 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8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 Ashland continues to operate its business globally, its success will depend, in part, on its ability to anticipate and effectively manage these and other related risks. There can be no assurance that the consequences of these and other factors relating to its multinational operations will not have an adverse effect on Ashland’s business, financial condition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Ashland’s substantial indebtedness may adversely affect its business, results of operations and financial condition.</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maintains a substantial amount of debt. Ashland’s substantial indebtedness could adversely affect its business, results of operations and financial condition by, among other things:</w:t>
      </w:r>
    </w:p>
    <w:p>
      <w:pPr>
        <w:spacing w:after="0" w:line="54" w:lineRule="exact"/>
        <w:rPr>
          <w:sz w:val="20"/>
          <w:szCs w:val="20"/>
          <w:color w:val="auto"/>
        </w:rPr>
      </w:pPr>
    </w:p>
    <w:p>
      <w:pPr>
        <w:jc w:val="both"/>
        <w:ind w:left="800" w:hanging="401"/>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6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Ashland’s ability to borrow additional amounts to fund working capital, capital expenditures, acquisitions, debt service requirements, execution of its growth strategy and other purposes;</w:t>
      </w:r>
    </w:p>
    <w:p>
      <w:pPr>
        <w:spacing w:after="0" w:line="53"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Ashland at a competitive disadvantage compared with those of its competitors that have less debt and lower debt service requirements;</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increases in interest rates since some of its indebtedness is subject to variable rates of interest; and</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Ashland to satisfy its financial obligations.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develop and market new products and production technologies could impact Ashland’s competitive position and have an adverse effect on its businesses and results of operations.</w:t>
      </w:r>
    </w:p>
    <w:p>
      <w:pPr>
        <w:spacing w:after="0" w:line="5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specialty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there can be no assurance that any of the products Ashland is currently developing, or could develop in the future, will achieve substantial commercial success.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competitive nature of Ashland’s markets may delay or prevent the Company from passing increases in raw materials or energy costs on to its customers. In addition, certain of Ashland’s suppliers may be unable to deliver products or raw materials or fulfill contractual requirements. The occurrence of either event could adversely affect Ashland’s results of operations.</w:t>
      </w:r>
    </w:p>
    <w:p>
      <w:pPr>
        <w:spacing w:after="0" w:line="67"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72"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aloe,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faces competition from other companies, which places downward pressure on prices and margins and may adversely affect Ashland’s businesses and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Ashland’s success depends upon its ability to attract and retain key employees and the identification and development of talent to succeed senior management.</w:t>
      </w:r>
    </w:p>
    <w:p>
      <w:pPr>
        <w:spacing w:after="0" w:line="5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Ashland’s success depends on its ability to attract and retain key personnel, and Ashland relies heavily on its management team. The inability to recruit and retain key personnel or the unexpected loss of key personnel may adversely affect Ashland’s operations. Also, a substantial portion of Ashland’s U.S.-based employees will be retirement-eligible within the next several years. That, combined with the relatively small number of middle tier managers with substantial experience in place to replace this group of retirement eligible employees, increases the potential negative impact of the risk that key employees could leave the Company. Additionally, the Company’s redesign and cost reduction program may result in key employees departing who may not be replaced. This risk of unwanted employee turnover also is substantial in positions that require certain technical expertise and geographically in developing markets which Ashland has targeted for growth, especially in Asia, India, South America and Eastern Europe. In addition, because of its reliance on its management team, Ashland’s future success depends, in part, on its ability to identify and develop talent to succeed its senior management and other key positions throughout the organization. If Ashland fails to identify and develop successors, the company is at risk of being harmed by the departures of these key employees.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and Cyber Threats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uses information technology (IT) systems to conduct business and these IT systems are at risk of potential disruption and cyber security threats.</w:t>
      </w:r>
    </w:p>
    <w:p>
      <w:pPr>
        <w:spacing w:after="0" w:line="5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Ashland’s businesses rely on their IT systems to operate efficiently and in some cases,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 In addition, the nature of our businesses, the markets we serve, and the extensive geographic profile of our operations make Ashland a target of cyber security threats. Despite steps Ashland takes to mitigate or eliminate them, cyber security threats in general are increasing and becoming more advanced and could occur as a result of the activity of hackers, employee error or employee misconduct. A breach of our IT systems could lead to the loss and destruction of trade secrets, confidential information, proprietary data, intellectual property, customer and supplier data, and employee personal information, and could disrupt business operations which could adversely affect Ashland’s relationships with business partners and harm our brands, reputation, and financial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may not be able to effectively protect or enforce its intellectual property rights.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relies on the patent, trademark, trade secret and copyright laws of the United States and other countries to protect its intellectual property rights. The laws of some countries may not protect Ashland’s intellectual property rights to the same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6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There can be no assurance that Ashland’s intellectual property rights will not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7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also has substantial intellectual property associated with its know-how and trade secrets that are not protected by patent or copyright laws. Ashland protects these rights by entering into confidentiality and non-disclosure agreements with most of its employees and with third parties. There can be no assurance that such agreements will not be breached or that Ashland will be able to effectively enforce them.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Risks, Regulatory Compliance and Litigation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Ashland’s business exposes it to potential product liability claims and recalls, which could adversely affect its financial condition and performance.</w:t>
      </w:r>
    </w:p>
    <w:p>
      <w:pPr>
        <w:spacing w:after="0" w:line="133"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Although Ashland maintains product liability insurance, there can be no assurance that this type or level of coverage is adequate or that Ashland will be 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6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6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Environmental, health and safety regulations change frequently, and such regulations and their enforcement have tended to become more stringent over time.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applicable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There may also be situations in which certain environmental liabilities are not known to Ashland or are not probable and estimable. As a result, Ashland’s actual costs for environmental remediation could affect Ashland’s cash flow and, to the extent costs exceed established reserves for those liabilities, its results of operations.</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5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its asbestos reserves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Authorisation and Restriction of Chemicals (REACH) regulation (and analogous non-EU initiatives), and potential operational impacts of General Data Protection Regulation (GDPR). Uncertainty associated with the passage of new laws, application of executive authority beyond the legislative process, as well as changes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8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IPO of Valvoline and final distribution of its shares could result in significant tax liability to Ashland and its stockholders.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believes that the Valvoline IPO and certain related internal transactions should be nontaxable transactions for U.S. federal income tax purposes and has obtained written opinions of counsel to that effect. Ashland also obtained a written opinion of counsel to the effect that the final distribution should qualify for non-recognition of gain and loss under Section 355 of the Internal Revenue Code of 1986, as amended (the “Code”). The opinions are based on certain assumptions and representations as to factual matters from Ashland and Valvoline, as well as certain covenants by those parties. The opinions cannot be relied upon if any of the assumptions, representations or covenants is incorrect, incomplete or inaccurate or is violated in any material respect, or if there are changes in law with retroactive effect. The opinions are not binding on the IRS or the courts, and it is possible that the IRS or a state or local taxing authority could take the position that the internal transactions, the final distribution or the receipt of proceeds from the Valvoline IPO resulted in the recognition of significant taxable gain by Ashland, in which case Ashland may be subject to material tax liabilities.</w:t>
      </w:r>
    </w:p>
    <w:p>
      <w:pPr>
        <w:spacing w:after="0" w:line="8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If the final distribution were determined not to qualify for non-recognition of gain and loss, Ashland stockholders that received Valvoline common stock in the final distribution could be subject to tax. If the final distribution were determined not to qualify for non-recognition of gain and loss, then Ashland would recognize gain as if it had sold Valvoline common stock in a taxable transaction in an amount up to the fair market value of the Valvoline common stock it distributed in the final distribution. The tax liability resulting from such gain could have a material impact on Ashland’s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Ashland’s corporate headquarters is located in Wilmington, Delaware. Principal offices of other major operations are located in Wilmington, Delaware (Life Sciences, Specialty Additives, Intermediates and Solvents and Corporate); Bridgewater, New Jersey (Personal Care &amp; Household and Corporate); and Dublin, Ohio (Performance Adhesives and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K of Notes to Consolidated Financial Statements in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Litigation</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and Hercules are also defendants in lawsuits alleging exposure to asbestos at facilities formerly or presently owned or operated by Ashland or Hercules.</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For additional detailed information regarding liabilities arising from asbestos-related litigation, see “Management’s Discussion and Analysis - Critical Accounting Policies - Asbestos Litigation” and Note N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Proceedings</w:t>
      </w:r>
    </w:p>
    <w:p>
      <w:pPr>
        <w:spacing w:after="0" w:line="119" w:lineRule="exact"/>
        <w:rPr>
          <w:sz w:val="20"/>
          <w:szCs w:val="20"/>
          <w:color w:val="auto"/>
        </w:rPr>
      </w:pPr>
    </w:p>
    <w:p>
      <w:pPr>
        <w:jc w:val="both"/>
        <w:ind w:firstLine="402"/>
        <w:spacing w:after="0" w:line="255" w:lineRule="auto"/>
        <w:tabs>
          <w:tab w:leader="none" w:pos="6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CERCLA and Similar State Law Sites </w:t>
      </w:r>
      <w:r>
        <w:rPr>
          <w:rFonts w:ascii="Times New Roman" w:cs="Times New Roman" w:eastAsia="Times New Roman" w:hAnsi="Times New Roman"/>
          <w:sz w:val="18"/>
          <w:szCs w:val="18"/>
          <w:color w:val="auto"/>
        </w:rPr>
        <w:t>- Under the Comprehensive Environmental Response, Compensation and Liability Act of 1980 and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2020, Ashland and its subsidiaries have been identified as a PRP by U.S. federal and state authorities, or by private parties seeking contribution, for the cost of environmental investigation and/or cleanup at 81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Times New Roman" w:cs="Times New Roman" w:eastAsia="Times New Roman" w:hAnsi="Times New Roman"/>
          <w:sz w:val="18"/>
          <w:szCs w:val="18"/>
          <w:color w:val="auto"/>
        </w:rPr>
      </w:pPr>
    </w:p>
    <w:p>
      <w:pPr>
        <w:ind w:firstLine="402"/>
        <w:spacing w:after="0" w:line="284"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Lower Passaic River, New Jersey Matters </w:t>
      </w:r>
      <w:r>
        <w:rPr>
          <w:rFonts w:ascii="Times New Roman" w:cs="Times New Roman" w:eastAsia="Times New Roman" w:hAnsi="Times New Roman"/>
          <w:sz w:val="18"/>
          <w:szCs w:val="18"/>
          <w:color w:val="auto"/>
        </w:rPr>
        <w:t>- Ashland, through two formerly owned facilities, and International Specialty Products (ISP),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now-closed facility, have been identified as PRPs, along with approximately 70 other companies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Ashland’s motion to dismiss was partially granted, and the surviving claims are in the early stages of discovery. Ashland and ISP are participating in an USEPA allocation process. The release of the FFS Record of Decision, the current allocations proceedings and the lawsuit are not expected to be material to Ashland.</w:t>
      </w:r>
    </w:p>
    <w:p>
      <w:pPr>
        <w:spacing w:after="0" w:line="86"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environmental matters and reserves, see Note N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Pending Legal Proceedings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2020. There is a reasonable possibility that a loss exceeding amounts already recognized may be incurred related to these actions; however, Ashland believes that such potential losses were immaterial as of September 30, 2020.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X. INFORMATION ABOUT OUR EXECUTIVE OFFICERS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list of Ashland’s current executive officers, their ages and their positions and offices during the last five years.</w:t>
      </w:r>
    </w:p>
    <w:p>
      <w:pPr>
        <w:spacing w:after="0" w:line="117"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GUILLERMO NOVO (age 58) is Chairman and Chief Executive Officer of Ashland Global Holdings Inc. since December 31, 2019. Mr. Novo has served as a director of Ashland’s Board since May 22, 2019. Most recently, Mr. Novo served as the President and CEO of Versum Materials, Inc., a premier specialty materials company, and was a member of the board of directors. Previously, Mr. Novo served as Executive Vice President, Materials Technologies of Air Products and Chemicals, Inc. (“Air Products”), an industrial gases and related equipment company, since October 2014. He joined Air Products in September 2012 as Senior Vice President Electronics, Performance Materials, Strategy and Technology. Mr. Novo also served as a director of Bemis Company until May 2019.</w:t>
      </w:r>
    </w:p>
    <w:p>
      <w:pPr>
        <w:spacing w:after="0" w:line="7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J. KEVIN WILLIS (age 55) is Senior Vice President and Chief Financial Officer of Ashland Global Holdings Inc. since September 2016. Mr. Willis held the same positions at Ashland Inc. and served in such capacities since May 2013.</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PETER J. GANZ (age 58) is Senior Vice President, General Counsel and Secretary; Chief Legal Officer of Ashland Global Holdings Inc. and has served as Senior Vice President and General Counsel of Ashland Inc. since July 2011 and Secretary since November 2012. From July 2011 to August 2016, Mr. Ganz served as Chief Compliance Officer, a role he assumed again from February 2019 to November 2020.</w:t>
      </w:r>
    </w:p>
    <w:p>
      <w:pPr>
        <w:spacing w:after="0" w:line="68"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XIAOLAN WANG (age 56) is Senior Vice President and General Manager, Personal Care &amp; Household of Ashland Global Holdings Inc. since February 2020. Most recently, Dr. Wang served as Senior Vice President and General Manager, Business Line Interface and Performance from January 2019 to January 2020 and Senior Vice President and General Manager, Business Line Household Care from April 2016 to December 2018 of Evonik Nutrition &amp; Care at Evonik Industries AG. Previously, Dr. Wang served as Senior Vice President of Evonik Nutrition &amp; Care Asia North from January 2015 to March 2016 and Senior Vice President of Evonik Consumer Specialties Asia from July 2013 to December 2014 at Evonik Industries AG.</w:t>
      </w:r>
    </w:p>
    <w:p>
      <w:pPr>
        <w:spacing w:after="0" w:line="75"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MIN CHONG (age 49) is Senior Vice President and General Manager, Specialty Additives and Intermediates and Solvents of Ashland Global Holdings Inc. since January 2020. Most recently, Mr. Chong served as Senior Vice President and General Manager, Crosslinkers at Evonik Industries AG/ADR from January 2017 to December 2019. Previously, Mr. Chong served as Vice President and General Manager, Epoxy Curing Agents from January 2015 to December 2017 and Vice President and General Manager, Performance Materials Asia from January 2013 to December 2014 at Air Products &amp; Chemicals, Inc.</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ASHOK S. KALYANA (age 48) is Senior Vice President and General Manager, Life Sciences since January 2020. Most recently, Mr. Kalyana was Vice President Business Development and Commercial, APAC at Tate &amp; Lyle Asia Pacific PTE LTD from August 2019 to January 2020. Previously, Mr. Kalyana was the APAC Business Director, Coatings from November 2015 to July 2019 and Global Marketing Director, Coatings from January 2014 to November 2019 at Dow Chemical Co.</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OSAMA M. MUSA (age 52) is Senior Vice President and Chief Technology Officer of Ashland Global Holdings Inc. since November 2018. Previously, Dr. Musa served as Vice President, ASI Technology from November 2014 to November 2018 and Vice President, Technology and Innovation of Ashland from August 2012 until November 2014.</w:t>
      </w:r>
    </w:p>
    <w:p>
      <w:pPr>
        <w:spacing w:after="0" w:line="68" w:lineRule="exact"/>
        <w:rPr>
          <w:sz w:val="20"/>
          <w:szCs w:val="20"/>
          <w:color w:val="auto"/>
        </w:rPr>
      </w:pPr>
    </w:p>
    <w:p>
      <w:pPr>
        <w:jc w:val="both"/>
        <w:ind w:right="20" w:firstLine="394"/>
        <w:spacing w:after="0" w:line="289" w:lineRule="auto"/>
        <w:rPr>
          <w:sz w:val="20"/>
          <w:szCs w:val="20"/>
          <w:color w:val="auto"/>
        </w:rPr>
      </w:pPr>
      <w:r>
        <w:rPr>
          <w:rFonts w:ascii="Times New Roman" w:cs="Times New Roman" w:eastAsia="Times New Roman" w:hAnsi="Times New Roman"/>
          <w:sz w:val="17"/>
          <w:szCs w:val="17"/>
          <w:color w:val="auto"/>
        </w:rPr>
        <w:t>ERIC N. BONI (age 51) is Vice President, Finance and Principal Accounting Officer of Ashland Global Holdings Inc. since January 2020. Previously, Mr. Boni served as Vice President, Finance from January 2019 to January 2020 and Vice President, Finance and Treasurer from September 2016 to January 2019 of Ashland Global Holdings Inc. Mr. Boni served as Vice President and Treasurer of Ashland Inc. from December 2011 to September 2016.</w:t>
      </w:r>
    </w:p>
    <w:p>
      <w:pPr>
        <w:spacing w:after="0" w:line="5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Ashland to a term of one year, or until a successor is duly elected, at the annual meeting of the Board of Directors, except in those instances where the officer is elected other than at an annual meeting of the Board of Directors, in which case his or her tenure will expire at the next annual meeting of the Board of Directors unless the officer is re-elected.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On September 20, 2016, Ashland Inc. became an indirect wholly owned subsidiary of Ashland Global Holdings Inc., and Ashland Inc.’s common stock ceased trading on the New York Stock Exchange (NYSE). Ashland Global Holdings Inc.’s common stock began trading on NYSE under the symbol “ASH” on September 20, 2016.</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At October 31, 2020, there were approximately 9,920 holders of record of Ashland’s Common Stock. Ashland Common Stock is listed on the NYSE (ticker symbol ASH) and has trading privileges on Nasdaq.</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sales of unregistered securities required to be reported under Item 5 of Form 10-K.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FIVE-YEAR TOTAL RETURN PERFORMANCE GRAPH</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 xml:space="preserve">The following graph compares Ashland’s five-year cumulative total shareholder return with the cumulative total return of the S&amp;P MidCap 400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index and one peer group of companies. Ashland is listed in the S&amp;P MidCap 400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index. The cumulative total shareholder return assumes the reinvestment of dividends. On May 12, 2017, Ashland completed the final separation of Valvoline Inc. with the pro rata distribution of 2.745338 shares of Valvoline Inc. common stock for every share of Ashland Common Stock to Ashland stockholders. The effect of the final separation of Valvoline Inc. is reflected in the cumulative total return of Ashland Common Stock as a reinvested dividend.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ASHLAND, S&amp;P MIDCAP 400</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6350</wp:posOffset>
            </wp:positionV>
            <wp:extent cx="3505835" cy="2168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0583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Ashland</w:t>
            </w:r>
          </w:p>
        </w:tc>
        <w:tc>
          <w:tcPr>
            <w:tcW w:w="234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168</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147</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S&amp;P MidCap 400</w:t>
            </w:r>
            <w:r>
              <w:rPr>
                <w:rFonts w:ascii="Times New Roman" w:cs="Times New Roman" w:eastAsia="Times New Roman" w:hAnsi="Times New Roman"/>
                <w:sz w:val="15"/>
                <w:szCs w:val="15"/>
                <w:b w:val="1"/>
                <w:bCs w:val="1"/>
                <w:color w:val="auto"/>
              </w:rPr>
              <w:t>†</w:t>
            </w: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Peer Group - Materials</w:t>
            </w:r>
          </w:p>
        </w:tc>
        <w:tc>
          <w:tcPr>
            <w:tcW w:w="234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151</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r>
    </w:tbl>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peer group consists of the following industry indices:</w:t>
      </w:r>
    </w:p>
    <w:p>
      <w:pPr>
        <w:spacing w:after="0" w:line="115" w:lineRule="exact"/>
        <w:rPr>
          <w:sz w:val="20"/>
          <w:szCs w:val="20"/>
          <w:color w:val="auto"/>
        </w:rPr>
      </w:pPr>
    </w:p>
    <w:p>
      <w:pPr>
        <w:ind w:left="800" w:hanging="401"/>
        <w:spacing w:after="0" w:line="284"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Peer Group – Materials: </w:t>
      </w:r>
      <w:r>
        <w:rPr>
          <w:rFonts w:ascii="Times New Roman" w:cs="Times New Roman" w:eastAsia="Times New Roman" w:hAnsi="Times New Roman"/>
          <w:sz w:val="18"/>
          <w:szCs w:val="18"/>
          <w:color w:val="auto"/>
        </w:rPr>
        <w:t>S&amp;P 500</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(large-cap) and S&amp;P MidCap 400</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As of September 30, 2020, this peer group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55 companies.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 of Company Common Stock</w:t>
            </w: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71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Share repurchase activity during the three months ended September 30, 2020 was as follows: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3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94"/>
        </w:trPr>
        <w:tc>
          <w:tcPr>
            <w:tcW w:w="3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w w:val="98"/>
              </w:rPr>
              <w:t>Dollar Value</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rPr>
              <w:t>of Shares</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w w:val="97"/>
              </w:rPr>
              <w:t>That May Yet</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rPr>
              <w:t>Be Purchased</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rPr>
              <w:t>Under the</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300" w:type="dxa"/>
            <w:vAlign w:val="bottom"/>
          </w:tcPr>
          <w:p>
            <w:pPr>
              <w:spacing w:after="0"/>
              <w:rPr>
                <w:sz w:val="17"/>
                <w:szCs w:val="17"/>
                <w:color w:val="auto"/>
              </w:rPr>
            </w:pPr>
          </w:p>
        </w:tc>
        <w:tc>
          <w:tcPr>
            <w:tcW w:w="1140" w:type="dxa"/>
            <w:vAlign w:val="bottom"/>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03"/>
        </w:trPr>
        <w:tc>
          <w:tcPr>
            <w:tcW w:w="3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00" w:type="dxa"/>
            <w:vAlign w:val="bottom"/>
          </w:tcPr>
          <w:p>
            <w:pPr>
              <w:spacing w:after="0"/>
              <w:rPr>
                <w:sz w:val="17"/>
                <w:szCs w:val="17"/>
                <w:color w:val="auto"/>
              </w:rPr>
            </w:pPr>
          </w:p>
        </w:tc>
        <w:tc>
          <w:tcPr>
            <w:tcW w:w="1140" w:type="dxa"/>
            <w:vAlign w:val="bottom"/>
          </w:tcPr>
          <w:p>
            <w:pPr>
              <w:jc w:val="center"/>
              <w:ind w:left="318"/>
              <w:spacing w:after="0"/>
              <w:rPr>
                <w:sz w:val="20"/>
                <w:szCs w:val="20"/>
                <w:color w:val="auto"/>
              </w:rPr>
            </w:pPr>
            <w:r>
              <w:rPr>
                <w:rFonts w:ascii="Times New Roman" w:cs="Times New Roman" w:eastAsia="Times New Roman" w:hAnsi="Times New Roman"/>
                <w:sz w:val="16"/>
                <w:szCs w:val="16"/>
                <w:b w:val="1"/>
                <w:bCs w:val="1"/>
                <w:color w:val="auto"/>
              </w:rPr>
              <w:t>including</w:t>
            </w:r>
          </w:p>
        </w:tc>
        <w:tc>
          <w:tcPr>
            <w:tcW w:w="520" w:type="dxa"/>
            <w:vAlign w:val="bottom"/>
          </w:tcPr>
          <w:p>
            <w:pPr>
              <w:spacing w:after="0"/>
              <w:rPr>
                <w:sz w:val="17"/>
                <w:szCs w:val="17"/>
                <w:color w:val="auto"/>
              </w:rPr>
            </w:pP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215"/>
        </w:trPr>
        <w:tc>
          <w:tcPr>
            <w:tcW w:w="36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Q4 Fiscal Periods</w:t>
            </w: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4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rPr>
              <w:t xml:space="preserve">(in millions) </w:t>
            </w:r>
            <w:r>
              <w:rPr>
                <w:rFonts w:ascii="Times New Roman" w:cs="Times New Roman" w:eastAsia="Times New Roman" w:hAnsi="Times New Roman"/>
                <w:sz w:val="14"/>
                <w:szCs w:val="14"/>
                <w:b w:val="1"/>
                <w:bCs w:val="1"/>
                <w:color w:val="auto"/>
              </w:rPr>
              <w:t>(a)</w:t>
            </w:r>
          </w:p>
        </w:tc>
      </w:tr>
      <w:tr>
        <w:trPr>
          <w:trHeight w:val="226"/>
        </w:trPr>
        <w:tc>
          <w:tcPr>
            <w:tcW w:w="36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July 1, 2020 to July 31, 2020</w:t>
            </w:r>
          </w:p>
        </w:tc>
        <w:tc>
          <w:tcPr>
            <w:tcW w:w="880" w:type="dxa"/>
            <w:vAlign w:val="bottom"/>
            <w:shd w:val="clear" w:color="auto" w:fill="CCF0FC"/>
          </w:tcPr>
          <w:p>
            <w:pPr>
              <w:spacing w:after="0"/>
              <w:rPr>
                <w:sz w:val="19"/>
                <w:szCs w:val="19"/>
                <w:color w:val="auto"/>
              </w:rPr>
            </w:pPr>
          </w:p>
        </w:tc>
        <w:tc>
          <w:tcPr>
            <w:tcW w:w="11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F0FC"/>
          </w:tcPr>
          <w:p>
            <w:pPr>
              <w:spacing w:after="0"/>
              <w:rPr>
                <w:sz w:val="19"/>
                <w:szCs w:val="19"/>
                <w:color w:val="auto"/>
              </w:rPr>
            </w:pPr>
          </w:p>
        </w:tc>
        <w:tc>
          <w:tcPr>
            <w:tcW w:w="520" w:type="dxa"/>
            <w:vAlign w:val="bottom"/>
            <w:gridSpan w:val="2"/>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2020 to August 31, 2020:</w:t>
            </w: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36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September 1, 2020 to September 30, 2020</w:t>
            </w:r>
          </w:p>
        </w:tc>
        <w:tc>
          <w:tcPr>
            <w:tcW w:w="880" w:type="dxa"/>
            <w:vAlign w:val="bottom"/>
            <w:shd w:val="clear" w:color="auto" w:fill="CCF0FC"/>
          </w:tcPr>
          <w:p>
            <w:pPr>
              <w:spacing w:after="0"/>
              <w:rPr>
                <w:sz w:val="19"/>
                <w:szCs w:val="19"/>
                <w:color w:val="auto"/>
              </w:rPr>
            </w:pPr>
          </w:p>
        </w:tc>
        <w:tc>
          <w:tcPr>
            <w:tcW w:w="11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0FC"/>
          </w:tcPr>
          <w:p>
            <w:pPr>
              <w:spacing w:after="0"/>
              <w:rPr>
                <w:sz w:val="19"/>
                <w:szCs w:val="19"/>
                <w:color w:val="auto"/>
              </w:rPr>
            </w:pPr>
          </w:p>
        </w:tc>
        <w:tc>
          <w:tcPr>
            <w:tcW w:w="52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F0FC"/>
          </w:tcPr>
          <w:p>
            <w:pPr>
              <w:spacing w:after="0"/>
              <w:rPr>
                <w:sz w:val="19"/>
                <w:szCs w:val="19"/>
                <w:color w:val="auto"/>
              </w:rPr>
            </w:pPr>
          </w:p>
        </w:tc>
        <w:tc>
          <w:tcPr>
            <w:tcW w:w="520" w:type="dxa"/>
            <w:vAlign w:val="bottom"/>
            <w:gridSpan w:val="2"/>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F0FC"/>
          </w:tcPr>
          <w:p>
            <w:pPr>
              <w:spacing w:after="0"/>
              <w:rPr>
                <w:sz w:val="19"/>
                <w:szCs w:val="19"/>
                <w:color w:val="auto"/>
              </w:rPr>
            </w:pPr>
          </w:p>
        </w:tc>
        <w:tc>
          <w:tcPr>
            <w:tcW w:w="1500" w:type="dxa"/>
            <w:vAlign w:val="bottom"/>
            <w:shd w:val="clear" w:color="auto" w:fill="CCF0FC"/>
          </w:tcPr>
          <w:p>
            <w:pPr>
              <w:jc w:val="right"/>
              <w:ind w:right="57"/>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3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3600" w:type="dxa"/>
            <w:vAlign w:val="bottom"/>
            <w:shd w:val="clear" w:color="auto" w:fill="CC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F0FC"/>
          </w:tcPr>
          <w:p>
            <w:pPr>
              <w:spacing w:after="0"/>
              <w:rPr>
                <w:sz w:val="19"/>
                <w:szCs w:val="19"/>
                <w:color w:val="auto"/>
              </w:rPr>
            </w:pPr>
          </w:p>
        </w:tc>
        <w:tc>
          <w:tcPr>
            <w:tcW w:w="11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0FC"/>
          </w:tcPr>
          <w:p>
            <w:pPr>
              <w:spacing w:after="0"/>
              <w:rPr>
                <w:sz w:val="19"/>
                <w:szCs w:val="19"/>
                <w:color w:val="auto"/>
              </w:rPr>
            </w:pPr>
          </w:p>
        </w:tc>
        <w:tc>
          <w:tcPr>
            <w:tcW w:w="520" w:type="dxa"/>
            <w:vAlign w:val="bottom"/>
            <w:shd w:val="clear" w:color="auto" w:fill="CCF0FC"/>
          </w:tcPr>
          <w:p>
            <w:pPr>
              <w:spacing w:after="0"/>
              <w:rPr>
                <w:sz w:val="19"/>
                <w:szCs w:val="19"/>
                <w:color w:val="auto"/>
              </w:rPr>
            </w:pPr>
          </w:p>
        </w:tc>
        <w:tc>
          <w:tcPr>
            <w:tcW w:w="1420" w:type="dxa"/>
            <w:vAlign w:val="bottom"/>
            <w:shd w:val="clear" w:color="auto" w:fill="CCF0FC"/>
          </w:tcPr>
          <w:p>
            <w:pPr>
              <w:spacing w:after="0"/>
              <w:rPr>
                <w:sz w:val="19"/>
                <w:szCs w:val="19"/>
                <w:color w:val="auto"/>
              </w:rPr>
            </w:pPr>
          </w:p>
        </w:tc>
        <w:tc>
          <w:tcPr>
            <w:tcW w:w="520" w:type="dxa"/>
            <w:vAlign w:val="bottom"/>
            <w:gridSpan w:val="2"/>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F0FC"/>
          </w:tcPr>
          <w:p>
            <w:pPr>
              <w:jc w:val="right"/>
              <w:ind w:right="57"/>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3600" w:type="dxa"/>
            <w:vAlign w:val="bottom"/>
            <w:tcBorders>
              <w:top w:val="single" w:sz="8" w:color="CCF0FC"/>
            </w:tcBorders>
          </w:tcPr>
          <w:p>
            <w:pPr>
              <w:spacing w:after="0" w:line="20" w:lineRule="exact"/>
              <w:rPr>
                <w:sz w:val="1"/>
                <w:szCs w:val="1"/>
                <w:color w:val="auto"/>
              </w:rPr>
            </w:pPr>
          </w:p>
        </w:tc>
        <w:tc>
          <w:tcPr>
            <w:tcW w:w="880" w:type="dxa"/>
            <w:vAlign w:val="bottom"/>
            <w:tcBorders>
              <w:top w:val="single" w:sz="8" w:color="CC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F0FC"/>
            </w:tcBorders>
          </w:tcPr>
          <w:p>
            <w:pPr>
              <w:spacing w:after="0" w:line="20" w:lineRule="exact"/>
              <w:rPr>
                <w:sz w:val="1"/>
                <w:szCs w:val="1"/>
                <w:color w:val="auto"/>
              </w:rPr>
            </w:pPr>
          </w:p>
        </w:tc>
        <w:tc>
          <w:tcPr>
            <w:tcW w:w="520" w:type="dxa"/>
            <w:vAlign w:val="bottom"/>
            <w:tcBorders>
              <w:top w:val="single" w:sz="8" w:color="CC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500" w:type="dxa"/>
            <w:vAlign w:val="bottom"/>
            <w:tcBorders>
              <w:top w:val="single" w:sz="8" w:color="CCF0FC"/>
            </w:tcBorders>
          </w:tcPr>
          <w:p>
            <w:pPr>
              <w:spacing w:after="0" w:line="20" w:lineRule="exact"/>
              <w:rPr>
                <w:sz w:val="1"/>
                <w:szCs w:val="1"/>
                <w:color w:val="auto"/>
              </w:rPr>
            </w:pPr>
          </w:p>
        </w:tc>
      </w:tr>
      <w:tr>
        <w:trPr>
          <w:trHeight w:val="116"/>
        </w:trPr>
        <w:tc>
          <w:tcPr>
            <w:tcW w:w="3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bl>
    <w:p>
      <w:pPr>
        <w:spacing w:after="0" w:line="58" w:lineRule="exact"/>
        <w:rPr>
          <w:sz w:val="20"/>
          <w:szCs w:val="20"/>
          <w:color w:val="auto"/>
        </w:rPr>
      </w:pPr>
    </w:p>
    <w:p>
      <w:pPr>
        <w:jc w:val="both"/>
        <w:ind w:left="300" w:hanging="292"/>
        <w:spacing w:after="0" w:line="241" w:lineRule="auto"/>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September 30, 2020, $800 million remains available for repurchase under this authorization.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Five-Year Selected Financial Information on page F-65.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on pages M-1 through M-44.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Quantitative and Qualitative Disclosures about Market Risk on page M-44.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 As of September 30, 2020, Ashland, under the supervision and with the participation of Ashland’s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2020.</w:t>
      </w:r>
    </w:p>
    <w:p>
      <w:pPr>
        <w:spacing w:after="0" w:line="72" w:lineRule="exact"/>
        <w:rPr>
          <w:sz w:val="20"/>
          <w:szCs w:val="20"/>
          <w:color w:val="auto"/>
        </w:rPr>
      </w:pPr>
    </w:p>
    <w:p>
      <w:pPr>
        <w:jc w:val="both"/>
        <w:ind w:firstLine="39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 See Management’s Report on Internal Control Over Financial Reporting on page F-2 and the Reports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Independent Registered Public Accounting Firm on pages F-3 and F-4.</w:t>
      </w:r>
    </w:p>
    <w:p>
      <w:pPr>
        <w:spacing w:after="0" w:line="50" w:lineRule="exact"/>
        <w:rPr>
          <w:sz w:val="20"/>
          <w:szCs w:val="20"/>
          <w:color w:val="auto"/>
        </w:rPr>
      </w:pPr>
    </w:p>
    <w:p>
      <w:pPr>
        <w:jc w:val="both"/>
        <w:ind w:firstLine="3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have been no changes in Ashland’s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September 30, 2020 that have materially affected, or are reasonably likely to materially affect, Ashland’s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“Proposal One - Election of Directors” in Ashland’s Proxy Statement, which will be filed with the SEC within 120 days after September 30, 2020. See also the list of Ashland’s executive officers and related information under “Information About Our Executive Officers” in Part I - Item X in this annual report on Form 10-K.</w:t>
      </w:r>
    </w:p>
    <w:p>
      <w:pPr>
        <w:spacing w:after="0" w:line="68"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Governance Principles” in Ashland’s Proxy Statement.</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Stockholder Nominations of Directors” in Ashland’s Proxy Statement.</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“Audit Committee Report” regarding Ashland’s audit committee and audit committee financial experts, as defined under Item 407(d)(4) and (5) of Regulation S-K in Ashland’s Proxy Statement.</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Delinquent Section 16(a) Reports” in Ashland’s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“Compensation of Directors,” “Corporate Governance - Compensation Committee Interlocks and Insider Participation,” and “Executive Compensation,” in Ashland’s Proxy Statement.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“Ashland Common Stock Ownership of Certain Beneficial Owners,” and “Ashland Common Stock Ownership of Directors and Executive Officers of Ashland” in Ashland’s Proxy Statement.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equity compensation plans under which Ashland Common Stock may be issued as of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1"/>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future</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w:t>
            </w:r>
          </w:p>
        </w:tc>
        <w:tc>
          <w:tcPr>
            <w:tcW w:w="340" w:type="dxa"/>
            <w:vAlign w:val="bottom"/>
          </w:tcPr>
          <w:p>
            <w:pPr>
              <w:spacing w:after="0"/>
              <w:rPr>
                <w:sz w:val="18"/>
                <w:szCs w:val="18"/>
                <w:color w:val="auto"/>
              </w:rPr>
            </w:pPr>
          </w:p>
        </w:tc>
      </w:tr>
      <w:tr>
        <w:trPr>
          <w:trHeight w:val="238"/>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c>
          <w:tcPr>
            <w:tcW w:w="340" w:type="dxa"/>
            <w:vAlign w:val="bottom"/>
            <w:tcBorders>
              <w:bottom w:val="single" w:sz="8" w:color="auto"/>
            </w:tcBorders>
          </w:tcPr>
          <w:p>
            <w:pPr>
              <w:spacing w:after="0"/>
              <w:rPr>
                <w:sz w:val="20"/>
                <w:szCs w:val="20"/>
                <w:color w:val="auto"/>
              </w:rPr>
            </w:pPr>
          </w:p>
        </w:tc>
      </w:tr>
      <w:tr>
        <w:trPr>
          <w:trHeight w:val="234"/>
        </w:trPr>
        <w:tc>
          <w:tcPr>
            <w:tcW w:w="41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(b)</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340" w:type="dxa"/>
            <w:vAlign w:val="bottom"/>
          </w:tcPr>
          <w:p>
            <w:pPr>
              <w:spacing w:after="0"/>
              <w:rPr>
                <w:sz w:val="20"/>
                <w:szCs w:val="20"/>
                <w:color w:val="auto"/>
              </w:rPr>
            </w:pPr>
          </w:p>
        </w:tc>
      </w:tr>
      <w:tr>
        <w:trPr>
          <w:trHeight w:val="21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762,185</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3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6,113,647</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r>
      <w:tr>
        <w:trPr>
          <w:trHeight w:val="21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41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51,772</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1,284,866</w:t>
            </w:r>
          </w:p>
        </w:tc>
        <w:tc>
          <w:tcPr>
            <w:tcW w:w="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813,957</w:t>
            </w:r>
          </w:p>
        </w:tc>
        <w:tc>
          <w:tcPr>
            <w:tcW w:w="32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7,398,513</w:t>
            </w:r>
          </w:p>
        </w:tc>
        <w:tc>
          <w:tcPr>
            <w:tcW w:w="340" w:type="dxa"/>
            <w:vAlign w:val="bottom"/>
            <w:tcBorders>
              <w:bottom w:val="single" w:sz="8" w:color="auto"/>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jc w:val="both"/>
        <w:ind w:left="300" w:hanging="292"/>
        <w:spacing w:after="0" w:line="224" w:lineRule="auto"/>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12,883 net shares that could be issued under stock-settled SARs under the 2006 Ashland Inc. Incentive Plan (“2006 Incentive Plan”), 187,497 net shares that could be issued under stock-settled SARs under the Amended and Restated 2011 Ashland Inc. Incentive Plan (“2011 Incentive Plan”), 126,739 net shares that could be issued under stock-settled SARs, 21,768 shares that could be issued under stock-settled restricted stock units under the Amended and Restated 2015 Ashland Global Holdings Inc. Incentive Plan (“2015 Incentive Plan”), 109,564 shares that could be issued under stock settled restricted stock units under the Ashland Global Holdings Inc. 2018 Omnibus Incentive Compensation Plan (the “2018 Omnibus Plan”), based upon the closing price of Ashland Common Stock on the NYSE as of September 30, 2020 of $70.92. Additionally, this figure includes 78,262 performance units for the fiscal 2018-2020 performance period payable in Ashland Common Stock under the 2015 Incentive Plan, 48,109 performance units for the fiscal 2019-2021 performance period payable in Ashland Common Stock under the 2018 Omnibus Plan and 96,984 performance units for the fiscal 2020-2022 performance period payable in Ashland Common Stock under the 2018 Omnibus Plan, estimated assuming target performance is achieved. Also included in the figure are 20,364 shares to be issued under the pre-2005 Deferred Compensation Plan for Employees payable in Ashland Common Stock upon termination of employment or service with Ashland.</w:t>
      </w:r>
    </w:p>
    <w:p>
      <w:pPr>
        <w:jc w:val="both"/>
        <w:ind w:left="300" w:hanging="292"/>
        <w:spacing w:after="0" w:line="221" w:lineRule="auto"/>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w:t>
      </w:r>
    </w:p>
    <w:p>
      <w:pPr>
        <w:ind w:left="3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and (4) in this table.</w:t>
      </w:r>
    </w:p>
    <w:p>
      <w:pPr>
        <w:jc w:val="both"/>
        <w:ind w:left="300" w:hanging="292"/>
        <w:spacing w:after="0" w:line="221" w:lineRule="auto"/>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2,531,838 shares available for issuance under the Ashland Global Holdings Inc. 2018 Omnibus Plan, 107,034 shares available for issuance under the pre-2005 Deferred Compensation Plan for Employees (closed) and 372,701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2015 Incentive Plan are now available for grant under the 2018 Omnibus Plan and are included in the numbers of shares available for issuance under the 2018 Omnibus Plan. This figure also includes 75,132 shares available for issuance under the 2006 Incentive Plan, 2,565,652 shares available for issuance under the 2011 Incentive Plan and 461,290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1" w:lineRule="exact"/>
        <w:rPr>
          <w:rFonts w:ascii="Times New Roman" w:cs="Times New Roman" w:eastAsia="Times New Roman" w:hAnsi="Times New Roman"/>
          <w:sz w:val="14"/>
          <w:szCs w:val="14"/>
          <w:color w:val="auto"/>
        </w:rPr>
      </w:pPr>
    </w:p>
    <w:p>
      <w:pPr>
        <w:jc w:val="both"/>
        <w:ind w:left="300" w:hanging="292"/>
        <w:spacing w:after="0" w:line="221" w:lineRule="auto"/>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41,635 shares to be issued under the Deferred Compensation Plan for Employees (2005), which is described in the “Non-Qualified Deferred Compensation-Ashland Employees’ Deferral Plan” section of Ashland’s proxy statement, and 10,137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1" w:lineRule="exact"/>
        <w:rPr>
          <w:rFonts w:ascii="Times New Roman" w:cs="Times New Roman" w:eastAsia="Times New Roman" w:hAnsi="Times New Roman"/>
          <w:sz w:val="14"/>
          <w:szCs w:val="14"/>
          <w:color w:val="auto"/>
        </w:rPr>
      </w:pPr>
    </w:p>
    <w:p>
      <w:pPr>
        <w:jc w:val="both"/>
        <w:ind w:left="300" w:hanging="292"/>
        <w:spacing w:after="0" w:line="233" w:lineRule="auto"/>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618,753 shares available for issuance under the Deferred Compensation Plan for Employees (2005) and 661,113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“Corporate Governance - Director Independence and Certain Relationships,” “Corporate Governance - Related Person Transaction Policy,” and “Audit Committee Report” in Ashland’s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with respect to principal accounting fees and services to appear under the captions “Audit Committee Report” and “Proposal Two - Ratification of Independent Registered Public Accountants” in Ashland’s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121" w:lineRule="exact"/>
        <w:rPr>
          <w:rFonts w:ascii="Times New Roman" w:cs="Times New Roman" w:eastAsia="Times New Roman" w:hAnsi="Times New Roman"/>
          <w:sz w:val="18"/>
          <w:szCs w:val="18"/>
          <w:b w:val="1"/>
          <w:bCs w:val="1"/>
          <w:color w:val="auto"/>
        </w:rPr>
      </w:pPr>
    </w:p>
    <w:p>
      <w:pPr>
        <w:ind w:left="660" w:hanging="25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117" w:lineRule="exact"/>
        <w:rPr>
          <w:rFonts w:ascii="Times New Roman" w:cs="Times New Roman" w:eastAsia="Times New Roman" w:hAnsi="Times New Roman"/>
          <w:sz w:val="18"/>
          <w:szCs w:val="18"/>
          <w:color w:val="auto"/>
        </w:rPr>
      </w:pPr>
    </w:p>
    <w:p>
      <w:pPr>
        <w:ind w:left="660" w:hanging="25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in this annual report on Form 10-K</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Documents required by Item 601 of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color w:val="0000EE"/>
                </w:rPr>
                <w:t>Stock and Asset Purchase Agreement, dated as of February 18, 2014, between Ashland Inc. and CD&amp;R Seahawk Bidco, LLC</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(filed as Exhibit 2.1 to Ashland’s Form 8-K filed on February 24, 2014 (SEC File No. 001-32532), and incorporated herein by</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reference).</w:t>
              </w:r>
            </w:hyperlink>
          </w:p>
        </w:tc>
        <w:tc>
          <w:tcPr>
            <w:tcW w:w="8540" w:type="dxa"/>
            <w:vAlign w:val="bottom"/>
            <w:gridSpan w:val="5"/>
          </w:tcPr>
          <w:p>
            <w:pPr>
              <w:spacing w:after="0"/>
              <w:rPr>
                <w:sz w:val="17"/>
                <w:szCs w:val="17"/>
                <w:color w:val="auto"/>
              </w:rPr>
            </w:pPr>
          </w:p>
        </w:tc>
      </w:tr>
      <w:tr>
        <w:trPr>
          <w:trHeight w:val="318"/>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color w:val="0000EE"/>
                </w:rPr>
                <w:t>Sale and Purchase Agreement related to the ASK Chemicals Group, dated April 8, 2014, among Ashland Inc., Ashland</w:t>
              </w:r>
            </w:hyperlink>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International Holdings, Inc., Clariant Produkte (Deutschland) GmbH, Clariant Corp., mertus 158. GmbH, Ascot US Bidco Inc.</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and Ascot UK Bidco Limited (filed as Exhibit 2.1 to Ashland’s Form 8-K filed on April 14, 2014 (SEC File No. 001-32532), and</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4"/>
          </w:tcPr>
          <w:p>
            <w:pPr>
              <w:spacing w:after="0"/>
              <w:rPr>
                <w:sz w:val="17"/>
                <w:szCs w:val="17"/>
                <w:color w:val="auto"/>
              </w:rPr>
            </w:pPr>
          </w:p>
        </w:tc>
      </w:tr>
      <w:tr>
        <w:trPr>
          <w:trHeight w:val="318"/>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color w:val="0000EE"/>
                </w:rPr>
                <w:t>Agreement and Plan of Merger dated May 31, 2016, by and among Ashland Inc., Ashland Global Holdings Inc. and Ashland</w:t>
              </w:r>
            </w:hyperlink>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Merger Sub Corp. (filed as Exhibit 2.1 to Ashland’s Form 8-K filed on May 31, 2016 (SEC File No. 001-32532), and</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4"/>
          </w:tcPr>
          <w:p>
            <w:pPr>
              <w:spacing w:after="0"/>
              <w:rPr>
                <w:sz w:val="17"/>
                <w:szCs w:val="17"/>
                <w:color w:val="auto"/>
              </w:rPr>
            </w:pPr>
          </w:p>
        </w:tc>
      </w:tr>
      <w:tr>
        <w:trPr>
          <w:trHeight w:val="318"/>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color w:val="0000EE"/>
                </w:rPr>
                <w:t>Stock and Asset Purchase Agreement, dated November 14, 2018, between Ashland Global Holdings Inc. and INEOS Enterprises</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Holdings Limited (pursuant to Item 601(b)(2) of Regulation S-K, exhibits, schedules and certain annexes to the Stock and Asset</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Purchase Agreement have been omitted; exhibits, schedules and annexes will be supplementally provided to the SEC upon</w:t>
              </w:r>
            </w:hyperlink>
          </w:p>
        </w:tc>
      </w:tr>
      <w:tr>
        <w:trPr>
          <w:trHeight w:val="218"/>
        </w:trPr>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request) (filed as Exhibit 2.1 to Ashland’s Form 8-K filed on November 20, 2018 (SEC File No. 333-211719), and incorporated</w:t>
              </w:r>
            </w:hyperlink>
          </w:p>
        </w:tc>
      </w:tr>
      <w:tr>
        <w:trPr>
          <w:trHeight w:val="234"/>
        </w:trPr>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herein by reference.)</w:t>
              </w:r>
            </w:hyperlink>
          </w:p>
        </w:tc>
      </w:tr>
      <w:tr>
        <w:trPr>
          <w:trHeight w:val="297"/>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color w:val="0000EE"/>
                </w:rPr>
                <w:t>First Amendment to Stock and Asset Purchase Agreement, dated July 1, 2019, between Ashland Global Holdings Inc. and</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INEOS Enterprises Holdings Limited (pursuant to Item 601(b)(2) of Regulation S-K, exhibits, schedules and certain annexes to</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the Stock and Asset Purchase Agreement have been omitted; exhibits, schedules and annexes will be supplementally provided to</w:t>
              </w:r>
            </w:hyperlink>
          </w:p>
        </w:tc>
      </w:tr>
      <w:tr>
        <w:trPr>
          <w:trHeight w:val="218"/>
        </w:trPr>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the SEC upon request) (filed as Exhibit 2.1 to Ashland’s Form 8-K filed on July 8, 2019 (SEC File No. 333-211719) and</w:t>
              </w:r>
            </w:hyperlink>
          </w:p>
        </w:tc>
      </w:tr>
      <w:tr>
        <w:trPr>
          <w:trHeight w:val="234"/>
        </w:trPr>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incorporated herein by reference).</w:t>
              </w:r>
            </w:hyperlink>
          </w:p>
        </w:tc>
      </w:tr>
      <w:tr>
        <w:trPr>
          <w:trHeight w:val="297"/>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color w:val="0000EE"/>
                </w:rPr>
                <w:t>Second Amendment to Stock and Asset Purchase Agreement, dated July 30, 2019, between Ashland Global Holdings Inc. and</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INEOS Enterprises Holdings Limited (pursuant to Item 601(b)(2) of Regulation S-K, exhibits, schedules and certain annexes to</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the Stock and Asset Purchase Agreement have been omitted; exhibits, schedules and annexes will be supplementally provided to</w:t>
              </w:r>
            </w:hyperlink>
          </w:p>
        </w:tc>
      </w:tr>
      <w:tr>
        <w:trPr>
          <w:trHeight w:val="218"/>
        </w:trPr>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the SEC upon request (filed as Exhibit 2.1 to Ashland’s Form 8-K filed on August 2, 2019 (SEC File No. 333-211719) and</w:t>
              </w:r>
            </w:hyperlink>
          </w:p>
        </w:tc>
      </w:tr>
      <w:tr>
        <w:trPr>
          <w:trHeight w:val="234"/>
        </w:trPr>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incorporated herein by reference).</w:t>
              </w:r>
            </w:hyperlink>
          </w:p>
        </w:tc>
      </w:tr>
      <w:tr>
        <w:trPr>
          <w:trHeight w:val="391"/>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0000EE"/>
                </w:rPr>
                <w:t>Asset Purchase Agreement dated July 25, 2020, by and between Ashland LLC and AOC Materials LLC (filed as Exhibit 2.1 to</w:t>
              </w:r>
            </w:hyperlink>
          </w:p>
        </w:tc>
      </w:tr>
      <w:tr>
        <w:trPr>
          <w:trHeight w:val="237"/>
        </w:trPr>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Ashland’s Form 8-K filed on July 27, 2020 (SEC File No. 333-211719 and incorporated herein by reference).</w:t>
              </w:r>
            </w:hyperlink>
          </w:p>
        </w:tc>
      </w:tr>
      <w:tr>
        <w:trPr>
          <w:trHeight w:val="297"/>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3.1</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0000EE"/>
                </w:rPr>
                <w:t>Amended and Restated Articles of Incorporation of Ashland Global Holdings Inc. (filed as Exhibit 3.1 to Ashland’s Form 8-K</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filed on September 20, 2016 (SEC File No. 001-32532), and incorporated by reference herein).</w:t>
              </w:r>
            </w:hyperlink>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w:t>
            </w:r>
          </w:p>
        </w:tc>
        <w:tc>
          <w:tcPr>
            <w:tcW w:w="10140" w:type="dxa"/>
            <w:vAlign w:val="bottom"/>
            <w:gridSpan w:val="7"/>
          </w:tcPr>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0000EE"/>
                </w:rPr>
                <w:t>Amended and Restated By-laws of Ashland Global Holdings Inc. (filed as Exhibit 3.1 to Ashland’s Form 8-K filed November</w:t>
              </w:r>
            </w:hyperlink>
          </w:p>
        </w:tc>
      </w:tr>
      <w:tr>
        <w:trPr>
          <w:trHeight w:val="196"/>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17, 2017 (SEC File No. 333-211719), and incorporated by reference herein).</w:t>
              </w:r>
            </w:hyperlink>
          </w:p>
        </w:tc>
        <w:tc>
          <w:tcPr>
            <w:tcW w:w="37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100" w:type="dxa"/>
            <w:vAlign w:val="bottom"/>
          </w:tcPr>
          <w:p>
            <w:pPr>
              <w:spacing w:after="0"/>
              <w:rPr>
                <w:sz w:val="24"/>
                <w:szCs w:val="24"/>
                <w:color w:val="auto"/>
              </w:rPr>
            </w:pPr>
          </w:p>
        </w:tc>
        <w:tc>
          <w:tcPr>
            <w:tcW w:w="6340" w:type="dxa"/>
            <w:vAlign w:val="bottom"/>
            <w:gridSpan w:val="4"/>
          </w:tcPr>
          <w:p>
            <w:pPr>
              <w:ind w:left="444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18"/>
          </w:tcPr>
          <w:p>
            <w:pPr>
              <w:ind w:left="400"/>
              <w:spacing w:after="0"/>
              <w:rPr>
                <w:sz w:val="20"/>
                <w:szCs w:val="20"/>
                <w:color w:val="auto"/>
              </w:rPr>
            </w:pPr>
            <w:r>
              <w:rPr>
                <w:rFonts w:ascii="Times New Roman" w:cs="Times New Roman" w:eastAsia="Times New Roman" w:hAnsi="Times New Roman"/>
                <w:sz w:val="18"/>
                <w:szCs w:val="18"/>
                <w:color w:val="auto"/>
              </w:rPr>
              <w:t>–  Ashland agrees to provide the SEC, upon request, copies of instruments defining the rights of holders of long-term debt of</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Ashland and all of its subsidiaries for which consolidated or unconsolidated financial statements are required to be filed with the</w:t>
            </w:r>
          </w:p>
        </w:tc>
      </w:tr>
      <w:tr>
        <w:trPr>
          <w:trHeight w:val="234"/>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SEC.</w:t>
            </w:r>
          </w:p>
        </w:tc>
      </w:tr>
      <w:tr>
        <w:trPr>
          <w:trHeight w:val="297"/>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EE"/>
                </w:rPr>
                <w:t>Warrant Agreement dated July 27, 1999 between Hercules and The Chase Manhattan Bank, as warrant agent (filed as Exhibit 4.4</w:t>
              </w:r>
            </w:hyperlink>
          </w:p>
        </w:tc>
      </w:tr>
      <w:tr>
        <w:trPr>
          <w:trHeight w:val="237"/>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20" w:type="dxa"/>
            <w:vAlign w:val="bottom"/>
            <w:tcBorders>
              <w:top w:val="single" w:sz="8" w:color="0000EE"/>
            </w:tcBorders>
            <w:gridSpan w:val="17"/>
          </w:tcPr>
          <w:p>
            <w:pPr>
              <w:spacing w:after="0"/>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to Hercules’ Form 8-K filed on July 28, 1999 (SEC File No. 001-00496), and incorporated herein by reference).</w:t>
              </w:r>
            </w:hyperlink>
          </w:p>
        </w:tc>
      </w:tr>
      <w:tr>
        <w:trPr>
          <w:trHeight w:val="297"/>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EE"/>
                </w:rPr>
                <w:t>Form of Series A Junior Subordinated Deferrable Interest Debentures (filed as Exhibit 4.5 to Hercules’ Form 8-K filed on July</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28, 1999 (SEC File No. 001-00496), and incorporated herein by reference).</w:t>
              </w:r>
            </w:hyperlink>
          </w:p>
        </w:tc>
        <w:tc>
          <w:tcPr>
            <w:tcW w:w="3880" w:type="dxa"/>
            <w:vAlign w:val="bottom"/>
            <w:tcBorders>
              <w:top w:val="single" w:sz="8" w:color="0000EE"/>
            </w:tcBorders>
            <w:gridSpan w:val="6"/>
          </w:tcPr>
          <w:p>
            <w:pPr>
              <w:spacing w:after="0"/>
              <w:rPr>
                <w:sz w:val="17"/>
                <w:szCs w:val="17"/>
                <w:color w:val="auto"/>
              </w:rPr>
            </w:pPr>
          </w:p>
        </w:tc>
      </w:tr>
      <w:tr>
        <w:trPr>
          <w:trHeight w:val="291"/>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1900" w:type="dxa"/>
            <w:vAlign w:val="bottom"/>
            <w:gridSpan w:val="3"/>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EE"/>
                </w:rPr>
                <w:t>Form of CREST</w:t>
              </w:r>
            </w:hyperlink>
          </w:p>
        </w:tc>
        <w:tc>
          <w:tcPr>
            <w:tcW w:w="280" w:type="dxa"/>
            <w:vAlign w:val="bottom"/>
            <w:tcBorders>
              <w:bottom w:val="single" w:sz="8" w:color="0000EE"/>
            </w:tcBorders>
            <w:gridSpan w:val="3"/>
          </w:tcPr>
          <w:p>
            <w:pPr>
              <w:spacing w:after="0"/>
              <w:rPr>
                <w:rFonts w:ascii="Times New Roman" w:cs="Times New Roman" w:eastAsia="Times New Roman" w:hAnsi="Times New Roman"/>
                <w:sz w:val="15"/>
                <w:szCs w:val="15"/>
                <w:color w:val="0000EE"/>
              </w:rPr>
            </w:pPr>
            <w:hyperlink r:id="rId55">
              <w:r>
                <w:rPr>
                  <w:rFonts w:ascii="Times New Roman" w:cs="Times New Roman" w:eastAsia="Times New Roman" w:hAnsi="Times New Roman"/>
                  <w:sz w:val="15"/>
                  <w:szCs w:val="15"/>
                  <w:color w:val="0000EE"/>
                </w:rPr>
                <w:t>SM</w:t>
              </w:r>
            </w:hyperlink>
          </w:p>
        </w:tc>
        <w:tc>
          <w:tcPr>
            <w:tcW w:w="7800" w:type="dxa"/>
            <w:vAlign w:val="bottom"/>
            <w:gridSpan w:val="12"/>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Unit (filed as Exhibit 4.7 to Hercules’ Form 8-K filed on July 28, 1999 (SEC File No. 001-00496), and</w:t>
              </w:r>
            </w:hyperlink>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940" w:type="dxa"/>
            <w:vAlign w:val="bottom"/>
            <w:tcBorders>
              <w:bottom w:val="single" w:sz="8" w:color="0000EE"/>
            </w:tcBorders>
          </w:tcPr>
          <w:p>
            <w:pPr>
              <w:spacing w:after="0" w:line="20" w:lineRule="exact"/>
              <w:rPr>
                <w:sz w:val="1"/>
                <w:szCs w:val="1"/>
                <w:color w:val="auto"/>
              </w:rPr>
            </w:pPr>
          </w:p>
        </w:tc>
        <w:tc>
          <w:tcPr>
            <w:tcW w:w="154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1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7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60" w:type="dxa"/>
            <w:vAlign w:val="bottom"/>
            <w:tcBorders>
              <w:bottom w:val="single" w:sz="8" w:color="0000EE"/>
            </w:tcBorders>
            <w:gridSpan w:val="6"/>
          </w:tcPr>
          <w:p>
            <w:pPr>
              <w:spacing w:after="0" w:line="183"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11"/>
          </w:tcPr>
          <w:p>
            <w:pPr>
              <w:spacing w:after="0"/>
              <w:rPr>
                <w:sz w:val="15"/>
                <w:szCs w:val="15"/>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EE"/>
                </w:rPr>
                <w:t>Form of Warrant (filed as Exhibit 4.8 to Hercules’ Form 8-K filed on July 28, 1999 (SEC File No. 001-00496), and incorporated</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herein by reference).</w:t>
              </w:r>
            </w:hyperlink>
          </w:p>
        </w:tc>
        <w:tc>
          <w:tcPr>
            <w:tcW w:w="7820" w:type="dxa"/>
            <w:vAlign w:val="bottom"/>
            <w:tcBorders>
              <w:top w:val="single" w:sz="8" w:color="0000EE"/>
            </w:tcBorders>
            <w:gridSpan w:val="13"/>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color w:val="0000EE"/>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100,000,000 6.6% Debenture due August 27, 2027 (filed as Exhibit 4.2 to Hercules’ Form 8-K filed on July 30, 1997</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(SEC File No. 001-00496), and incorporated herein by reference).</w:t>
              </w:r>
            </w:hyperlink>
          </w:p>
        </w:tc>
        <w:tc>
          <w:tcPr>
            <w:tcW w:w="4560" w:type="dxa"/>
            <w:vAlign w:val="bottom"/>
            <w:tcBorders>
              <w:top w:val="single" w:sz="8" w:color="0000EE"/>
            </w:tcBorders>
            <w:gridSpan w:val="9"/>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color w:val="0000EE"/>
                </w:rPr>
                <w:t>Indenture, dated as of August 7, 2012, between Ashland Inc. and U.S. Bank N.A., as Trustee (filed as Exhibit 4.1 to Ashland’s</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8-K filed on September 21, 2012 (SEC File No. 001-32532), and incorporated herein by reference).</w:t>
              </w:r>
            </w:hyperlink>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2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color w:val="0000EE"/>
                </w:rPr>
                <w:t>First Supplemental Indenture, dated as of February 26, 2013, between Ashland Inc. and U.S. Bank National Association, as</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Trustee, in respect of the senior notes due 2022 (filed as Exhibit 4.11 to Ashland’s Form 10-K for the fiscal year ended</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September 30, 2013 (SEC File No. 001-32532), and incorporated herein by reference).</w:t>
              </w:r>
            </w:hyperlink>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2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4.9</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color w:val="0000EE"/>
                </w:rPr>
                <w:t>Indenture, dated as of February 26, 2013, between Ashland Inc. and U.S. Bank National Association, as Trustee (filed as Exhibit</w:t>
              </w:r>
            </w:hyperlink>
          </w:p>
        </w:tc>
      </w:tr>
      <w:tr>
        <w:trPr>
          <w:trHeight w:val="237"/>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20" w:type="dxa"/>
            <w:vAlign w:val="bottom"/>
            <w:tcBorders>
              <w:top w:val="single" w:sz="8" w:color="0000EE"/>
            </w:tcBorders>
            <w:gridSpan w:val="17"/>
          </w:tcPr>
          <w:p>
            <w:pPr>
              <w:spacing w:after="0"/>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4.3 to Ashland’s Form 8-K filed on February 27, 2013 (SEC File No. 001- 32532), and incorporated herein by reference).</w:t>
              </w:r>
            </w:hyperlink>
          </w:p>
        </w:tc>
      </w:tr>
      <w:tr>
        <w:trPr>
          <w:trHeight w:val="297"/>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4.10</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color w:val="0000EE"/>
                </w:rPr>
                <w:t>First Supplemental Indenture, dated as of February 26, 2013, between Ashland Inc. and U.S. Bank National Association, as</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Trustee, in respect of the senior notes due 2016, 2018 and 2043 (filed as Exhibit 4.4 to Ashland’s Form 8-K filed on February 27,</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gridSpan w:val="1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2013 (SEC File No. 001-32532), and incorporated herein by reference).</w:t>
              </w:r>
            </w:hyperlink>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2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4.11</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color w:val="0000EE"/>
                </w:rPr>
                <w:t>Second Supplemental Indenture, dated as of March 14, 2013, between Ashland Inc. and U.S. Bank National Association, as</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Trustee, in respect of the senior notes due 2043 (filed as Exhibit 4.2 to Ashland’s Form 8-K filed on March 18, 2013 (SEC File</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No. 001-32532), and incorporated herein by reference).</w:t>
              </w:r>
            </w:hyperlink>
          </w:p>
        </w:tc>
        <w:tc>
          <w:tcPr>
            <w:tcW w:w="5320" w:type="dxa"/>
            <w:vAlign w:val="bottom"/>
            <w:gridSpan w:val="10"/>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4.12</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color w:val="0000EE"/>
                </w:rPr>
                <w:t>Second Supplemental Indenture dated October 19, 2016, among Ashland LLC, Ashland Global Holdings Inc. and US Bank</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National Association, to the Indenture dated as of August 7, 2012 between Ashland LLC and US Bank National Association</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(filed as Exhibit 4.1 to Ashland’s Form 8-K filed on October 20, 2016 (SEC File No. 333-211719), and incorporated herein by</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reference).</w:t>
              </w:r>
            </w:hyperlink>
          </w:p>
        </w:tc>
        <w:tc>
          <w:tcPr>
            <w:tcW w:w="8540" w:type="dxa"/>
            <w:vAlign w:val="bottom"/>
            <w:gridSpan w:val="16"/>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4.13</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0000EE"/>
                </w:rPr>
                <w:t>Third Supplemental Indenture dated October 19, 2016, among Ashland LLC, Ashland Global Holdings Inc. and US Bank</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National Association, to the Indenture dated as of February 27, 2013 between Ashland LLC and US Bank National Association</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(filed as Exhibit 4.2 to Ashland’s Form 8-K filed on October 20, 2016 (SEC File No. 333-211719), and incorporated herein by</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reference).</w:t>
              </w:r>
            </w:hyperlink>
          </w:p>
        </w:tc>
        <w:tc>
          <w:tcPr>
            <w:tcW w:w="8540" w:type="dxa"/>
            <w:vAlign w:val="bottom"/>
            <w:gridSpan w:val="16"/>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4.14</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0000EE"/>
                </w:rPr>
                <w:t>Indenture dated January 23, 2020, among Ashland Services B.V., Ashland Global Holdings Inc., Ashland LLC and U.S. Bank</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National Association, as trustee, in respect of the Senior Euro-Denominated Notes due 2028 (filed as Exhibit 4.1 to Ashland’s</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8-K filed on January 23, 2020 (SEC File No. 333-211719) and incorporated herein by reference).</w:t>
              </w:r>
            </w:hyperlink>
          </w:p>
        </w:tc>
        <w:tc>
          <w:tcPr>
            <w:tcW w:w="18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4.15(a)</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0000EE"/>
                </w:rPr>
                <w:t>Description of Capital Stock (filed as Exhibit 4.14(a) to Ashland’s Form 10-K for the fiscal year ended September 30, 2019</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(SEC File No. 333-211719) and incorporated herein by reference).</w:t>
              </w:r>
            </w:hyperlink>
          </w:p>
        </w:tc>
        <w:tc>
          <w:tcPr>
            <w:tcW w:w="4520" w:type="dxa"/>
            <w:vAlign w:val="bottom"/>
            <w:tcBorders>
              <w:top w:val="single" w:sz="8" w:color="0000EE"/>
            </w:tcBorders>
            <w:gridSpan w:val="8"/>
          </w:tcPr>
          <w:p>
            <w:pPr>
              <w:spacing w:after="0"/>
              <w:rPr>
                <w:sz w:val="17"/>
                <w:szCs w:val="17"/>
                <w:color w:val="auto"/>
              </w:rPr>
            </w:pPr>
          </w:p>
        </w:tc>
      </w:tr>
      <w:tr>
        <w:trPr>
          <w:trHeight w:val="412"/>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4.15(b)</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color w:val="0000EE"/>
                </w:rPr>
                <w:t>Description of 6.875% Senior Notes due 2043 (filed as Exhibit 4.14(b) to Ashland’s Form 10-K for the fiscal year ended</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September 30, 2019 (SEC File No. 333-211719) and incorporated herein by reference).</w:t>
              </w:r>
            </w:hyperlink>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80" w:type="dxa"/>
            <w:vAlign w:val="bottom"/>
            <w:gridSpan w:val="13"/>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4.15(c)</w:t>
            </w:r>
          </w:p>
        </w:tc>
        <w:tc>
          <w:tcPr>
            <w:tcW w:w="9980" w:type="dxa"/>
            <w:vAlign w:val="bottom"/>
            <w:gridSpan w:val="18"/>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0000EE"/>
                </w:rPr>
                <w:t>Description of 4.750% Senior Notes due 2022 (filed as Exhibit 4.14(c) to Ashland’s Form 10-K for the fiscal year ended</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September 30, 2019 (SEC File No. 333-211719) and incorporated herein by reference).</w:t>
              </w:r>
            </w:hyperlink>
          </w:p>
        </w:tc>
      </w:tr>
      <w:tr>
        <w:trPr>
          <w:trHeight w:val="587"/>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Borders>
              <w:top w:val="single" w:sz="8" w:color="0000EE"/>
            </w:tcBorders>
            <w:gridSpan w:val="7"/>
          </w:tcPr>
          <w:p>
            <w:pPr>
              <w:ind w:left="362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Exhibits 10.1 through 10.51 are contracts or compensatory plans or arrangements or management contracts required to be filed as exhibits pursuant to Items 601(b)(10)(ii)(A) and 601(b)(10)(iii)(A) and (B) of Regulation S-K.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color w:val="0000EE"/>
                </w:rPr>
                <w:t>Ashland Inc. Deferred Compensation Plan for Non-Employee Directors and Amendment No. 1 (filed as Exhibit 10.5 to</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Ashland’s Form 10-Q for the quarter ended December 31, 2004 (SEC File No. 001-02918), and incorporated herein by</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reference).</w:t>
              </w:r>
            </w:hyperlink>
          </w:p>
        </w:tc>
        <w:tc>
          <w:tcPr>
            <w:tcW w:w="8540" w:type="dxa"/>
            <w:vAlign w:val="bottom"/>
            <w:gridSpan w:val="12"/>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0000EE"/>
                </w:rPr>
                <w:t>Ashland Inc. Deferred Compensation Plan and Amendment No. 1 (filed as Exhibit 10.3 to Ashland’s Form 10-Q for the quarter</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ended December 31, 2004 (SEC File No. 001-02918), and incorporated herein by reference).</w:t>
              </w:r>
            </w:hyperlink>
          </w:p>
        </w:tc>
        <w:tc>
          <w:tcPr>
            <w:tcW w:w="2620" w:type="dxa"/>
            <w:vAlign w:val="bottom"/>
            <w:tcBorders>
              <w:top w:val="single" w:sz="8" w:color="0000EE"/>
            </w:tcBorders>
            <w:gridSpan w:val="2"/>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0000EE"/>
                </w:rPr>
                <w:t>Amended and Restated Ashland Global Holdings Inc. Deferred Compensation Plan for Employees (2005) effective as of January</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 2017 (filed as Exhibit 10.3 to Ashland’s Form 10-K for the fiscal year ended September 30, 2016 (SEC File No. 333-211719),</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and incorporated by reference herein).</w:t>
              </w:r>
            </w:hyperlink>
          </w:p>
        </w:tc>
        <w:tc>
          <w:tcPr>
            <w:tcW w:w="6560" w:type="dxa"/>
            <w:vAlign w:val="bottom"/>
            <w:gridSpan w:val="8"/>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0000EE"/>
                </w:rPr>
                <w:t>Amended and Restated Ashland Inc. Deferred Compensation Plan for Non-Employee Directors (2005) (filed as Exhibit 10.4 to</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Ashland’s Form 10-K for the fiscal year ended September 30, 2008 (SEC File No. 001-32532), and incorporated herein by</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reference).</w:t>
              </w:r>
            </w:hyperlink>
          </w:p>
        </w:tc>
        <w:tc>
          <w:tcPr>
            <w:tcW w:w="8540" w:type="dxa"/>
            <w:vAlign w:val="bottom"/>
            <w:gridSpan w:val="12"/>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0000EE"/>
                </w:rPr>
                <w:t>Amendment to the Amended and Restated Ashland Inc. Deferred Compensation Plan for Non-Employee Directors (2005) (filed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as Exhibit 10.4 to Ashland’s Form 10-Q for the quarter ended March 31, 2015 (SEC File No. 001-32532), and incorporated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herein by reference).</w:t>
              </w:r>
            </w:hyperlink>
          </w:p>
        </w:tc>
        <w:tc>
          <w:tcPr>
            <w:tcW w:w="7820" w:type="dxa"/>
            <w:vAlign w:val="bottom"/>
            <w:gridSpan w:val="11"/>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0000EE"/>
                </w:rPr>
                <w:t>Amended and Restated Ashland Global Holdings Inc. Deferred Compensation Plan for Non-Employee Directors (2005) effective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 of January 1, 2017 (filed as Exhibit 10.4 to Ashland’s Form 10-Q for the quarter ended December 31, 2016 (SEC File No.</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333-211719), and incorporated herein by reference).</w:t>
              </w:r>
            </w:hyperlink>
          </w:p>
        </w:tc>
        <w:tc>
          <w:tcPr>
            <w:tcW w:w="5540" w:type="dxa"/>
            <w:vAlign w:val="bottom"/>
            <w:gridSpan w:val="7"/>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0000EE"/>
                </w:rPr>
                <w:t>Amended and Restated Ashland Inc. Deferred Compensation Plan for Employees (2005) (filed as Exhibit 10.3 to Ashland’s</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Form 10-K for the fiscal year ended September 30, 2008 (SEC File No. 001-32532) and incorporated herein by reference).</w:t>
              </w:r>
            </w:hyperlink>
          </w:p>
        </w:tc>
      </w:tr>
      <w:tr>
        <w:trPr>
          <w:trHeight w:val="29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Ashland Global Holdings Inc. Deferred Compensation Plan for Employees (Amended and Restated Effective as of May 22,</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2019) (filed as Exhibit 10.1 to Ashland’s Form10-Q for the quarter ended June 30, 2019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incorporated herein by reference).</w:t>
              </w:r>
            </w:hyperlink>
          </w:p>
        </w:tc>
        <w:tc>
          <w:tcPr>
            <w:tcW w:w="6840" w:type="dxa"/>
            <w:vAlign w:val="bottom"/>
            <w:gridSpan w:val="9"/>
          </w:tcPr>
          <w:p>
            <w:pPr>
              <w:spacing w:after="0"/>
              <w:rPr>
                <w:sz w:val="17"/>
                <w:szCs w:val="17"/>
                <w:color w:val="auto"/>
              </w:rPr>
            </w:pPr>
          </w:p>
        </w:tc>
      </w:tr>
      <w:tr>
        <w:trPr>
          <w:trHeight w:val="31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Ashland Global Holdings Inc. Deferred Compensation Plan for Non-Employee Directors (Amended and Restated as of May 22,</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2019) (filed as Exhibit 10.2 to Ashland’s Form 10-Q for the quarter ended June 30, 2019 (SEC File No. 333-21179),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incorporated herein by reference).</w:t>
              </w:r>
            </w:hyperlink>
          </w:p>
        </w:tc>
        <w:tc>
          <w:tcPr>
            <w:tcW w:w="6840" w:type="dxa"/>
            <w:vAlign w:val="bottom"/>
            <w:gridSpan w:val="9"/>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0000EE"/>
                </w:rPr>
                <w:t>Ashland Supplemental Defined Contribution Plan for Certain Employees (filed as Exhibit 10.3 to Ashland’s Form 10-Q for the</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quarter ended March 31, 2011 (SEC File No. 001-32532), and incorporated herein by reference) (Frozen).</w:t>
              </w:r>
            </w:hyperlink>
          </w:p>
        </w:tc>
      </w:tr>
      <w:tr>
        <w:trPr>
          <w:trHeight w:val="29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0000EE"/>
                </w:rPr>
                <w:t>Form of Chief Executive Officer Change in Control Agreement (filed as Exhibit 10.1 to Ashland’s Form 8-K filed on October 9,</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2015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0000EE"/>
                </w:rPr>
                <w:t>Form of Executive Officer Change in Control Agreement (filed as Exhibit 10.2 to Ashland’s Form 8-K filed on October 9, 2015</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(SEC File No. 001-32532), and incorporated herein by reference).</w:t>
              </w:r>
            </w:hyperlink>
          </w:p>
        </w:tc>
        <w:tc>
          <w:tcPr>
            <w:tcW w:w="4560" w:type="dxa"/>
            <w:vAlign w:val="bottom"/>
            <w:tcBorders>
              <w:top w:val="single" w:sz="8" w:color="0000EE"/>
            </w:tcBorders>
            <w:gridSpan w:val="5"/>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0000EE"/>
                </w:rPr>
                <w:t>Amended and Restated Ashland Inc. Incentive Plan (filed as Exhibit 10.17 to Ashland’s Form 10-K for the fiscal year ended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September 30, 2009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0000EE"/>
                </w:rPr>
                <w:t>2006 Ashland Inc. Incentive Plan (filed as Exhibit 10 to Ashland’s Form 10-Q for the quarter ended December 31, 2005 (SEC</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0000EE"/>
                </w:rPr>
                <w:t>Amended and Restated 2011 Ashland Inc. Incentive Plan (filed as Exhibit 10.2 to Ashland’s Form 8-K filed on February 1, 2013</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(SEC File No. 001-32532), and incorporated herein by reference).</w:t>
              </w:r>
            </w:hyperlink>
          </w:p>
        </w:tc>
        <w:tc>
          <w:tcPr>
            <w:tcW w:w="45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0000EE"/>
                </w:rPr>
                <w:t>Amended and Restated 2015 Ashland Global Holdings Inc. Incentive Plan (filed as Exhibit 10.21 to Ashland’s Form 10-K for</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the fiscal year ended September 30, 2016 (SEC File No. 333-211719), and incorporated by reference herein).</w:t>
              </w:r>
            </w:hyperlink>
          </w:p>
        </w:tc>
      </w:tr>
      <w:tr>
        <w:trPr>
          <w:trHeight w:val="29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0000EE"/>
                </w:rPr>
                <w:t>Form of Stock Appreciation Rights Award Agreement under the Amended and Restated 2011 Ashland Inc. Incentive Plan (filed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as Exhibit 10.16 to Ashland’s Form 10-K for the fiscal year ended September 30, 2014 (SEC File No. 001-32532),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10"/>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5040" w:type="dxa"/>
            <w:vAlign w:val="bottom"/>
            <w:gridSpan w:val="8"/>
          </w:tcPr>
          <w:p>
            <w:pPr>
              <w:ind w:left="434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0000EE"/>
                </w:rPr>
                <w:t>Form of Restricted Stock Award Agreement under the Amended and Restated 2011 Ashland Inc. Incentive Plan (filed as Exhibit</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Ashland’s Form 10-K for the fiscal year ended September 30, 2014 (SEC File No. 001-32532), and incorporated herein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1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0000EE"/>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(filed as Exhibit 10.5 to Ashland’s Form 10-Q for the quarter ended March 31, 2015 (SEC File No. 001-32532), and incorporated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herein by reference).</w:t>
              </w:r>
            </w:hyperlink>
          </w:p>
        </w:tc>
        <w:tc>
          <w:tcPr>
            <w:tcW w:w="7820" w:type="dxa"/>
            <w:vAlign w:val="bottom"/>
            <w:gridSpan w:val="11"/>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0000EE"/>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Incentive Plan (filed as Exhibit 10.7 to Ashland’s Form 10-Q for the quarter ended March 31, 2015 (SEC File No. 001-32532),</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and incorporated herein by reference).</w:t>
              </w:r>
            </w:hyperlink>
          </w:p>
        </w:tc>
        <w:tc>
          <w:tcPr>
            <w:tcW w:w="6560" w:type="dxa"/>
            <w:vAlign w:val="bottom"/>
            <w:gridSpan w:val="9"/>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0000EE"/>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(Double-Trigger Form) (filed as Exhibit 10.2 to Ashland’s Form 8-K filed on July 20, 2015 (SEC File No. 001-32532),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10"/>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0000EE"/>
                </w:rPr>
                <w:t>Form of Performance-Based Restricted Stock Award Agreement (filed as Exhibit 10.3 to Ashland’s Form 8-K filed on October</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9, 2015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0000EE"/>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(Double-Trigger Form) (filed as Exhibit 10.37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No. 333-211719), and incorporated by reference herein).</w:t>
              </w:r>
            </w:hyperlink>
          </w:p>
        </w:tc>
        <w:tc>
          <w:tcPr>
            <w:tcW w:w="5240" w:type="dxa"/>
            <w:vAlign w:val="bottom"/>
            <w:gridSpan w:val="8"/>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0000EE"/>
                </w:rPr>
                <w:t>Form of Restricted Stock Unit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Plan (Double-Trigger Form) (filed as Exhibit 10.38 to Ashland’s Form 10-K for the fiscal year ended September 30, 2016 (SEC</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1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0000EE"/>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Incentive Plan (Double-Trigger Form) (filed as Exhibit 10.39 to Ashland’s Form 10-K for the fiscal year ended September 30, 2016</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gridSpan w:val="7"/>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0000EE"/>
                </w:rPr>
                <w:t>Form of Performance Unit (LTIP)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Incentive Plan (Double-Trigger Form) (filed as Exhibit 10.40 to Ashland’s Form 10-K for the fiscal year ended September 30, 2016</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1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gridSpan w:val="7"/>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EE"/>
                </w:rPr>
                <w:t>Form of Indemnification Agreement between Ashland and members of its Board of Directors (filed as Exhibit 10.2 to Ashland’s</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Form 8-K filed on September 20, 2016 (SEC File No. 333-211719), and incorporated herein by reference).</w:t>
              </w:r>
            </w:hyperlink>
          </w:p>
        </w:tc>
      </w:tr>
      <w:tr>
        <w:trPr>
          <w:trHeight w:val="29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0000EE"/>
                </w:rPr>
                <w:t>Ashland Severance Pay Plan effective as of January 1, 2017 (filed as Exhibit 10.49 to Ashland’s Form 10-K for the fiscal year</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ended September 30, 2016 (SEC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2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0000EE"/>
                </w:rPr>
                <w:t>Form of Cash-Settled Performance Unit (LTIP) Award Agreement under the Amended and Restated 2015 Ashland Global</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Holdings Inc. Incentive Plan (Double-Trigger Form) (filed as Exhibit 10.59 to Ashland’s Form 10-K for the fiscal year ended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1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September 30, 2016 (SEC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2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0000EE"/>
                </w:rPr>
                <w:t>Amended and Restated Hercules Deferred Compensation Plan effective January 1, 2008 (filed as Exhibit 10.8 to Ashland’s Form</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10-K for the fiscal year ended on September 30, 2010 (SEC File No. 001-32532), and incorporated herein by reference).</w:t>
              </w:r>
            </w:hyperlink>
          </w:p>
        </w:tc>
      </w:tr>
      <w:tr>
        <w:trPr>
          <w:trHeight w:val="29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0000EE"/>
                </w:rPr>
                <w:t>Amendment to the Amended and Restated Hercules Deferred Compensation Plan dated September 30, 2016 (annuity cash-out)</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20" w:type="dxa"/>
            <w:vAlign w:val="bottom"/>
            <w:gridSpan w:val="9"/>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(filed as Exhibit 10.61 to Ashland’s Form 10-K for the fiscal year ended September 30, 2016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incorporated by reference herein).</w:t>
              </w:r>
            </w:hyperlink>
          </w:p>
        </w:tc>
        <w:tc>
          <w:tcPr>
            <w:tcW w:w="6860" w:type="dxa"/>
            <w:vAlign w:val="bottom"/>
            <w:gridSpan w:val="10"/>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0000EE"/>
                </w:rPr>
                <w:t>Ashland Global Holdings Inc. 2018 Omnibus Incentive Compensation Plan (filed as Exhibit 10.1 to Ashland’s Form 8-K filed on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January 26, 2018 (SEC File No. 333-211719), and incorporated herein by reference).</w:t>
              </w:r>
            </w:hyperlink>
          </w:p>
        </w:tc>
        <w:tc>
          <w:tcPr>
            <w:tcW w:w="3200" w:type="dxa"/>
            <w:vAlign w:val="bottom"/>
            <w:tcBorders>
              <w:top w:val="single" w:sz="8" w:color="0000EE"/>
            </w:tcBorders>
            <w:gridSpan w:val="4"/>
          </w:tcPr>
          <w:p>
            <w:pPr>
              <w:spacing w:after="0"/>
              <w:rPr>
                <w:sz w:val="17"/>
                <w:szCs w:val="17"/>
                <w:color w:val="auto"/>
              </w:rPr>
            </w:pPr>
          </w:p>
        </w:tc>
      </w:tr>
      <w:tr>
        <w:trPr>
          <w:trHeight w:val="574"/>
        </w:trPr>
        <w:tc>
          <w:tcPr>
            <w:tcW w:w="1200" w:type="dxa"/>
            <w:vAlign w:val="bottom"/>
          </w:tcPr>
          <w:p>
            <w:pPr>
              <w:spacing w:after="0"/>
              <w:rPr>
                <w:sz w:val="24"/>
                <w:szCs w:val="24"/>
                <w:color w:val="auto"/>
              </w:rPr>
            </w:pPr>
          </w:p>
        </w:tc>
        <w:tc>
          <w:tcPr>
            <w:tcW w:w="4800" w:type="dxa"/>
            <w:vAlign w:val="bottom"/>
            <w:gridSpan w:val="6"/>
          </w:tcPr>
          <w:p>
            <w:pPr>
              <w:ind w:left="434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10.33</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0000EE"/>
                </w:rPr>
                <w:t>Form of Stock-Settled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Compensation Plan (filed as Exhibit 10.2 to Ashland’s Form 8-K filed on January 26, 2018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5"/>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10.34</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EE"/>
                </w:rPr>
                <w:t>Form of Restricted Stock Award Agreement under the Ashland Global Holdings Inc. 2018 Omnibus Incentive Compensation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Plan (filed as Exhibit 10.3 to Ashland’s Form 8-K filed on January 26, 2018 (SEC File No. 333-211719), and incorporated herein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10.35</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0000EE"/>
                </w:rPr>
                <w:t>Form of Stock Appreciation Rights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Compensation Plan (filed as Exhibit 10.4 to Ashland’s Form 8-K filed on January 26, 2018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herein by reference).</w:t>
              </w:r>
            </w:hyperlink>
          </w:p>
        </w:tc>
        <w:tc>
          <w:tcPr>
            <w:tcW w:w="6840" w:type="dxa"/>
            <w:vAlign w:val="bottom"/>
            <w:gridSpan w:val="4"/>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10.36</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0000EE"/>
                </w:rPr>
                <w:t>Form of Performance Unit Award Agreement under the Ashland Global Holdings Inc. 2018 Omnibus Incentive Compensation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Plan (filed as Exhibit 10.5 to Ashland’s Form 8-K filed on January 26, 2018 (SEC File No. 333-211719), and incorporated herein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10.37</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color w:val="0000EE"/>
                </w:rPr>
                <w:t>Form of Cash-Settled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Compensation Plan (filed as Exhibit 10.6 to Ashland’s Form 8-K filed on January 26, 2018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herein by reference).</w:t>
              </w:r>
            </w:hyperlink>
          </w:p>
        </w:tc>
        <w:tc>
          <w:tcPr>
            <w:tcW w:w="6840" w:type="dxa"/>
            <w:vAlign w:val="bottom"/>
            <w:gridSpan w:val="4"/>
          </w:tcPr>
          <w:p>
            <w:pPr>
              <w:spacing w:after="0"/>
              <w:rPr>
                <w:sz w:val="17"/>
                <w:szCs w:val="17"/>
                <w:color w:val="auto"/>
              </w:rPr>
            </w:pPr>
          </w:p>
        </w:tc>
      </w:tr>
      <w:tr>
        <w:trPr>
          <w:trHeight w:val="31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10.38</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color w:val="0000EE"/>
                </w:rPr>
                <w:t>Ashland Global Holdings Inc. NonQualified Defined Contribution Plan (Amended and Restated as of May 22, 2019) (filed as</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Exhibit 10.3 to Ashland’s Form 10-Q for the quarter ended June 30, 2019 (SEC File No. 333-211719), and incorporated herein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10.39</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color w:val="0000EE"/>
                </w:rPr>
                <w:t>Ashland Global Holdings Inc. Supplemental Defined Contribution Plan for Certain Employees (Amended and Restated as of</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May 22, 2019) (filed as Exhibit 10.39 to Ashland’s Form 10-K filed on November 25, 2019 (SEC File No. 333-211719) and</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herein by reference).</w:t>
              </w:r>
            </w:hyperlink>
          </w:p>
        </w:tc>
        <w:tc>
          <w:tcPr>
            <w:tcW w:w="68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10.40</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color w:val="0000EE"/>
                </w:rPr>
                <w:t>Form of Restricted Stock Award Agreement under the Ashland Global Holdings Inc. 2018 Omnibus Incentive Compensation</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Plan (with pro-rata vesting upon death, disability and retirement) (filed as Exhibit 10.5 to Ashland’s Form 10-Q for the quarter</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ended June 30, 2019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6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31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10.41</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color w:val="0000EE"/>
                </w:rPr>
                <w:t>Form of Stock Appreciation Rights Award Agreement (Stock Settled) under the Ashland Global Holdings Inc. 2018 Omnibus</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Incentive Compensation Plan (with pro-rata vesting upon death, disability and retirement) (filed as Exhibit 10.6 to Ashland’s</w:t>
              </w:r>
            </w:hyperlink>
          </w:p>
        </w:tc>
      </w:tr>
      <w:tr>
        <w:trPr>
          <w:trHeight w:val="237"/>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gridSpan w:val="7"/>
          </w:tcPr>
          <w:p>
            <w:pPr>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Form 10-Q for the quarter ended June 30, 2019 (SEC File No. 333-211719), and incorporated herein by reference).</w:t>
              </w:r>
            </w:hyperlink>
          </w:p>
        </w:tc>
      </w:tr>
      <w:tr>
        <w:trPr>
          <w:trHeight w:val="29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10.42</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color w:val="0000EE"/>
                </w:rPr>
                <w:t>Form of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Compensation Plan (with pro-rata vesting upon death, disability and retirement) (filed as Exhibit 10.7 to Ashland’s Form 10-Q</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 the quarter ended June 30, 2019 (SEC File No. 333-211719), and incorporated herein by reference).</w:t>
              </w:r>
            </w:hyperlink>
          </w:p>
        </w:tc>
        <w:tc>
          <w:tcPr>
            <w:tcW w:w="188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10.43</w:t>
            </w:r>
          </w:p>
        </w:tc>
        <w:tc>
          <w:tcPr>
            <w:tcW w:w="10040" w:type="dxa"/>
            <w:vAlign w:val="bottom"/>
            <w:gridSpan w:val="8"/>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0000EE"/>
                </w:rPr>
                <w:t>Form of Stock-Settled Performance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Compensation Plan (with pro-rata vesting upon death, disability and retirement) (filed as Exhibit 10.8 to Ashland’s Form 10-Q</w:t>
              </w:r>
            </w:hyperlink>
          </w:p>
        </w:tc>
      </w:tr>
      <w:tr>
        <w:trPr>
          <w:trHeight w:val="196"/>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 the quarter ended June 30, 2019 (SEC File No. 333-211719), and incorporated herein by reference).</w:t>
              </w:r>
            </w:hyperlink>
          </w:p>
        </w:tc>
        <w:tc>
          <w:tcPr>
            <w:tcW w:w="1880" w:type="dxa"/>
            <w:vAlign w:val="bottom"/>
            <w:gridSpan w:val="2"/>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7080" w:type="dxa"/>
            <w:vAlign w:val="bottom"/>
            <w:gridSpan w:val="5"/>
          </w:tcPr>
          <w:p>
            <w:pPr>
              <w:ind w:left="434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10.44</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EE"/>
                </w:rPr>
                <w:t>Offer Letter dated as of October 8, 2019, entered into by Guillermo Novo and Ashland Global Holdings Inc. (filed as Exhibit</w:t>
              </w:r>
            </w:hyperlink>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tcBorders>
              <w:top w:val="single" w:sz="8" w:color="0000EE"/>
            </w:tcBorders>
            <w:gridSpan w:val="5"/>
          </w:tcPr>
          <w:p>
            <w:pPr>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10.1 to Ashland’s Form 8-K filed on October 8, 2019 (SEC File No. 333-211719) and incorporated herein by reference).</w:t>
              </w:r>
            </w:hyperlink>
          </w:p>
        </w:tc>
        <w:tc>
          <w:tcPr>
            <w:tcW w:w="20" w:type="dxa"/>
            <w:vAlign w:val="bottom"/>
          </w:tcPr>
          <w:p>
            <w:pPr>
              <w:spacing w:after="0"/>
              <w:rPr>
                <w:sz w:val="20"/>
                <w:szCs w:val="20"/>
                <w:color w:val="auto"/>
              </w:rPr>
            </w:pPr>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10.45</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EE"/>
                </w:rPr>
                <w:t>Letter Agreement dated as of October 8, 2019, entered into by William A. Wulfsohn and Ashland Global Holdings Inc. (filed as</w:t>
              </w:r>
            </w:hyperlink>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00" w:type="dxa"/>
            <w:vAlign w:val="bottom"/>
            <w:tcBorders>
              <w:top w:val="single" w:sz="8" w:color="0000EE"/>
            </w:tcBorders>
            <w:gridSpan w:val="5"/>
          </w:tcPr>
          <w:p>
            <w:pPr>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Exhibit 10.2 to Ashland’s Form 8-K filed on October 8, 2019 (SEC File No. 333-211719) and incorporated herein by reference).</w:t>
              </w:r>
            </w:hyperlink>
          </w:p>
        </w:tc>
        <w:tc>
          <w:tcPr>
            <w:tcW w:w="20" w:type="dxa"/>
            <w:vAlign w:val="bottom"/>
          </w:tcPr>
          <w:p>
            <w:pPr>
              <w:spacing w:after="0"/>
              <w:rPr>
                <w:sz w:val="20"/>
                <w:szCs w:val="20"/>
                <w:color w:val="auto"/>
              </w:rPr>
            </w:pPr>
          </w:p>
        </w:tc>
      </w:tr>
      <w:tr>
        <w:trPr>
          <w:trHeight w:val="391"/>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10.46</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0000EE"/>
                </w:rPr>
                <w:t>Separation Agreement and General Release between Jack William Heitman, Jr. A and Ashland LLC, effective as of December</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31, 2019 (filed as Exhibit 10.2 to Ashland’s Form 10-Q filed on January 29, 2020 (SEC File No: 333-211719) and incorporated</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herein by reference).</w:t>
              </w:r>
            </w:hyperlink>
          </w:p>
        </w:tc>
        <w:tc>
          <w:tcPr>
            <w:tcW w:w="7820" w:type="dxa"/>
            <w:vAlign w:val="bottom"/>
            <w:gridSpan w:val="4"/>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10.47</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EE"/>
                </w:rPr>
                <w:t>Separation Agreement and General Release between William A. Wulfsohn and Ashland LLC, effective as of December 31, 2019</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(filed as Exhibit 10.3 to Ashland’s Form 10-Q filed on January 29, 2020 (SEC File No: 333-211719) and incorporated herein by</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reference).</w:t>
              </w:r>
            </w:hyperlink>
          </w:p>
        </w:tc>
        <w:tc>
          <w:tcPr>
            <w:tcW w:w="8540" w:type="dxa"/>
            <w:vAlign w:val="bottom"/>
            <w:gridSpan w:val="5"/>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10.48</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EE"/>
                </w:rPr>
                <w:t>Form of Chief Executive Officer Change in Control Agreement (filed as Exhibit 10.4 to Ashland’s Form 10-Q filed on January</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29, 2020 (SEC File No. 333-211719) and incorporated herein by reference).</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10.49</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EE"/>
                </w:rPr>
                <w:t>Amendment to Ashland’s Severance Pay Plan dated January 29, 2020 (filed as Exhibit 10.1 to Ashland’s Form 10-Q filed on</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May 6, 2020 (SEC File No: 333-211719) and incorporated herein by reference).</w:t>
              </w:r>
            </w:hyperlink>
          </w:p>
        </w:tc>
        <w:tc>
          <w:tcPr>
            <w:tcW w:w="3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10.50</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EE"/>
                </w:rPr>
                <w:t>Letter Agreement by and between Ashland Global Holdings Inc. and Peter J. Ganz, dated May 19, 2020 (filed as Exhibit 10.1 to</w:t>
              </w:r>
            </w:hyperlink>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Ashland’s Form 8-K filed on May 22, 2020, (SEC File No. 333-211719) and incorporated herein by reference).</w:t>
              </w:r>
            </w:hyperlink>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10.51</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EE"/>
                </w:rPr>
                <w:t>Consulting Agreement by and between Ashland Global Holdings Inc. and Peter J. Ganz, dated May 19, 2020 (filed as Exhibit</w:t>
              </w:r>
            </w:hyperlink>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10.2 to Ashland’s Form 8-K filed on May 22, 2020, (SEC File No. 333-211719) and incorporated herein by reference).</w:t>
              </w:r>
            </w:hyperlink>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10.52</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EE"/>
                </w:rPr>
                <w:t>Amendment No. 1 dated as of May 19, 2017, among Ashland LLC, as Borrower (the “Borrower”), certain subsidiaries of the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Borrower, The Bank of Nova Scotia, as Administrative Agent (the “Administrative Agent”), and Citibank, N.A., as the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Incremental Revolving Credit Lender, to the Credit Agreement dated as of May 17, 2017, among the Borrower, the</w:t>
              </w:r>
            </w:hyperlink>
          </w:p>
        </w:tc>
      </w:tr>
      <w:tr>
        <w:trPr>
          <w:trHeight w:val="218"/>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Administrative Agent, each lender and letter of credit issuer party thereto and the other agents party thereto (filed as Exhibit 10.1</w:t>
              </w:r>
            </w:hyperlink>
          </w:p>
        </w:tc>
      </w:tr>
      <w:tr>
        <w:trPr>
          <w:trHeight w:val="234"/>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to Ashland’s Form 8-K filed on May 22, 2017 (SEC File No. 333-211719) and incorporated herein by reference).</w:t>
              </w:r>
            </w:hyperlink>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10.53</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EE"/>
                </w:rPr>
                <w:t>Amendment No. 2 dated as of June 14, 2017, among Ashland LLC, as Borrower (the “Borrower”), certain subsidiaries of the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Borrower, The Bank of Nova Scotia, as Administrative Agent (the “Administrative Agent”), and Citibank, N.A., as the Term B</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Lender, to the Credit Agreement dated as of May 17, 2017, among the Borrower, the Administrative Agent, each lender and</w:t>
              </w:r>
            </w:hyperlink>
          </w:p>
        </w:tc>
      </w:tr>
      <w:tr>
        <w:trPr>
          <w:trHeight w:val="218"/>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letter of credit issuer party thereto and the other agents party thereto (filed as Exhibit 10.1 to Ashland’s Form 8-K filed on June</w:t>
              </w:r>
            </w:hyperlink>
          </w:p>
        </w:tc>
      </w:tr>
      <w:tr>
        <w:trPr>
          <w:trHeight w:val="234"/>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14, 2017 (SEC File No. 333-211719) and incorporated herein by reference).</w:t>
              </w:r>
            </w:hyperlink>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10.54</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EE"/>
                </w:rPr>
                <w:t>Amendment No. 3 to the Credit Agreement dated as of May 17, 2017, dated as of May 22, 2018, among Ashland LLC, as</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Borrower, the Lenders from time to time party thereto, The Bank of Nova Scotia, as Administrative Agent, Swing Line Lender</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and an L/C Issuer, each other L/C Issuer from time to time party thereto and Citibank, N.A., as Syndication Agent, and the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various other parties thereto (as amended by Amendment No. 1 to the Credit Agreement, dated as of May 19, 2017, as further</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amended by Amendment No. 2 to the Credit Agreement, dated as of June 14, 2017, and as further amended, restated, modified</w:t>
              </w:r>
            </w:hyperlink>
          </w:p>
        </w:tc>
      </w:tr>
      <w:tr>
        <w:trPr>
          <w:trHeight w:val="218"/>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and supplemented from time to time) (filed as Exhibit 10.1 to Ashland’s Form 8-K filed on May 23, 2018 (SEC File No. 333-</w:t>
              </w:r>
            </w:hyperlink>
          </w:p>
        </w:tc>
      </w:tr>
      <w:tr>
        <w:trPr>
          <w:trHeight w:val="234"/>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gridSpan w:val="6"/>
          </w:tcPr>
          <w:p>
            <w:pPr>
              <w:spacing w:after="0"/>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211719), and incorporated herein by reference).</w:t>
              </w:r>
            </w:hyperlink>
          </w:p>
        </w:tc>
      </w:tr>
      <w:tr>
        <w:trPr>
          <w:trHeight w:val="29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10.55</w:t>
            </w:r>
          </w:p>
        </w:tc>
        <w:tc>
          <w:tcPr>
            <w:tcW w:w="10040" w:type="dxa"/>
            <w:vAlign w:val="bottom"/>
            <w:gridSpan w:val="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EE"/>
                </w:rPr>
                <w:t>Amendment No. 4 to the Credit Agreement dated as of May 17, 2017, dated as of June 29, 2018, among Ashland LLC, as</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Borrower, The Lenders from time to time party thereto, The Bank of Nova Scotia, as Administrative Agent (the “Administrative</w:t>
              </w:r>
            </w:hyperlink>
          </w:p>
        </w:tc>
      </w:tr>
    </w:tbl>
    <w:p>
      <w:pPr>
        <w:spacing w:after="0" w:line="9" w:lineRule="exact"/>
        <w:rPr>
          <w:sz w:val="20"/>
          <w:szCs w:val="20"/>
          <w:color w:val="auto"/>
        </w:rPr>
      </w:pPr>
    </w:p>
    <w:p>
      <w:pPr>
        <w:jc w:val="both"/>
        <w:ind w:left="1580"/>
        <w:spacing w:after="0" w:line="256" w:lineRule="auto"/>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Agent”), Swing Line Lender and an L/C Issuer, each other L/C Issuer from time to time party thereto and Citibank, N.A., as</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Syndication Agent, and the various other parties thereto (as amended by Amendment No. 1 to the Credit Agreement, dated as of</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May 19, 2017, as further amended by Amendment No. 2 to the Credit Agreement, dated as of June 14, 2017 and Amendment</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No. 3 to the Credit Agreement, dated as of May 22, 2018, and as further amended, restated, modified and supplemented from</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time to time) (filed as Exhibit 10.1 to Ashland’s Form 8-K filed on July 2, 2018 (SEC File No. 333-211719), and incorporated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herein by reference).</w:t>
        </w:r>
      </w:hyperlink>
    </w:p>
    <w:p>
      <w:pPr>
        <w:spacing w:after="0" w:line="309" w:lineRule="exact"/>
        <w:rPr>
          <w:rFonts w:ascii="Times New Roman" w:cs="Times New Roman" w:eastAsia="Times New Roman" w:hAnsi="Times New Roman"/>
          <w:sz w:val="18"/>
          <w:szCs w:val="18"/>
          <w:u w:val="single" w:color="auto"/>
          <w:color w:val="0000EE"/>
        </w:rPr>
      </w:pPr>
    </w:p>
    <w:p>
      <w:pPr>
        <w:jc w:val="center"/>
        <w:ind w:right="3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44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10.56</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EE"/>
                </w:rPr>
                <w:t>Credit Agreement dated as of January 10, 2020, among Ashland Global Holdings Inc., Ashland Chemco Inc., Ashland LLC,</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Ashland Services B.V., each lender from time to time party thereto, the Bank of Nova Scotia, as administrative agent, swing line</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lender and a letter of credit issuer, each other letter of credit issuer from time to time party thereto and Citibank, N.A., as</w:t>
              </w:r>
            </w:hyperlink>
          </w:p>
        </w:tc>
      </w:tr>
      <w:tr>
        <w:trPr>
          <w:trHeight w:val="218"/>
        </w:trPr>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20" w:type="dxa"/>
            <w:vAlign w:val="bottom"/>
            <w:gridSpan w:val="10"/>
          </w:tcPr>
          <w:p>
            <w:pPr>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syndication agent (filed as Exhibit 10.1 to Ashland’s Form 8-K filed on January 10, 2020 (SEC File No. 333-211719) and</w:t>
              </w:r>
            </w:hyperlink>
          </w:p>
        </w:tc>
      </w:tr>
      <w:tr>
        <w:trPr>
          <w:trHeight w:val="234"/>
        </w:trPr>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gridSpan w:val="10"/>
          </w:tcPr>
          <w:p>
            <w:pPr>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incorporated herein by reference).</w:t>
              </w:r>
            </w:hyperlink>
          </w:p>
        </w:tc>
      </w:tr>
      <w:tr>
        <w:trPr>
          <w:trHeight w:val="297"/>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10.57</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EE"/>
                </w:rPr>
                <w:t>Assumption Agreement dated September 20, 2016, by and between Ashland Global Holdings Inc. and Ashland Inc. (filed as</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Exhibit 10.1 to Ashland’s Form 8-K filed on September 20, 2016 (SEC File No. 333-211719), and incorporated herein by</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reference).</w:t>
              </w:r>
            </w:hyperlink>
          </w:p>
        </w:tc>
        <w:tc>
          <w:tcPr>
            <w:tcW w:w="85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10.58</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EE"/>
                </w:rPr>
                <w:t>Separation Agreement dated as of September 22, 2016, between and among Ashland Global Holdings Inc. and Valvoline Inc.</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(filed as Exhibit 10.1 to Ashland’s Form 8-K filed on September 28, 2016 (SEC File No. 333-211719), and incorporated herein</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by reference).</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10.59</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EE"/>
                </w:rPr>
                <w:t>Tax Matters Agreement dated as of September 22, 2016, between and among Ashland Global Holdings Inc. and Valvoline Inc.</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(filed as Exhibit 10.4 to Ashland’s Form 8-K filed on September 28, 2016 (SEC File No. 333-211719), and incorporated herein</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by reference).</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10.60</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EE"/>
                </w:rPr>
                <w:t>Employee Matters Agreement dated as of September 22, 2016, between and among Ashland Global Holdings Inc. and Valvoline</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 (filed as Exhibit 10.5 to Ashland’s Form 8-K filed on September 28, 2016 (SEC File No. 333-211719), and incorporated</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herein by reference).</w:t>
              </w:r>
            </w:hyperlink>
          </w:p>
        </w:tc>
        <w:tc>
          <w:tcPr>
            <w:tcW w:w="78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10.61</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0000EE"/>
                </w:rPr>
                <w:t>Stock Purchase Agreement, dated April 14, 2017, by and among Ashland LLC, Pharmachem Laboratories, Inc., the holders of</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common stock of Pharmachem Laboratories, Inc., Dr. David Peele, and Photon SH Representative LLC, solely as the</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shareholders’ representative (filed as Exhibit 2.1 to Ashland’s Form 8-K filed on May 18, 2017 (SEC File No. 333-211719) and</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incorporated herein by reference).</w:t>
              </w:r>
            </w:hyperlink>
          </w:p>
        </w:tc>
        <w:tc>
          <w:tcPr>
            <w:tcW w:w="6860" w:type="dxa"/>
            <w:vAlign w:val="bottom"/>
            <w:gridSpan w:val="4"/>
          </w:tcPr>
          <w:p>
            <w:pPr>
              <w:spacing w:after="0"/>
              <w:rPr>
                <w:sz w:val="17"/>
                <w:szCs w:val="17"/>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10.62</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No. 1 to the Stock Purchase Agreement, dated May 16, 2017, by and among Ashland LLC, Pharmachem</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Laboratories, Inc., the holders of common stock of Pharmachem Laboratories, Inc., Dr. David Peele, and Photon SH</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Representative LLC, solely as the shareholders’ representative (filed as Exhibit 2.2 to Ashland’s Form 8-K filed on May 18,</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2017 (SEC File No. 333-211719) and incorporated herein by reference).</w:t>
              </w:r>
            </w:hyperlink>
          </w:p>
        </w:tc>
        <w:tc>
          <w:tcPr>
            <w:tcW w:w="4120" w:type="dxa"/>
            <w:vAlign w:val="bottom"/>
            <w:gridSpan w:val="3"/>
          </w:tcPr>
          <w:p>
            <w:pPr>
              <w:spacing w:after="0"/>
              <w:rPr>
                <w:sz w:val="17"/>
                <w:szCs w:val="17"/>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10.63</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0000EE"/>
                </w:rPr>
                <w:t>Amendment No. 2 to the Stock Purchase Agreement, dated August 23, 2017, by and among Ashland LLC, Pharmachem</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Laboratories, Inc., the holders of common stock of Pharmachem Laboratories, Inc., Dr. David Peele, and Photon SH</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Representative LLC, solely as the shareholders’ representative (filed as Exhibit 10.84 to Ashland’s Form 10-K for the fiscal year</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ended September 30, 2017 (SEC File No. 333-211719), and incorporated by reference herein).</w:t>
              </w:r>
            </w:hyperlink>
          </w:p>
        </w:tc>
      </w:tr>
      <w:tr>
        <w:trPr>
          <w:trHeight w:val="20"/>
        </w:trPr>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318"/>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10.64</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color w:val="0000EE"/>
                </w:rPr>
                <w:t>Agreement, dated January 22, 2019, by and amount Ashland Global Holdings Inc., Cruiser Capital Advisors, LLC, Keith M.</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Rosenbloom, Cruiser Capital Master Fund LP, Metamorphosis IV LLC, William H. Joyce, Metamorphosis Master Fund LP,</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Cruiser Capital Metamorphosis Advisors, LLC, Cruiser Capital, LLC, Cruiser Capital, Ltd., the William H. Joyce Revocable</w:t>
              </w:r>
            </w:hyperlink>
          </w:p>
        </w:tc>
      </w:tr>
      <w:tr>
        <w:trPr>
          <w:trHeight w:val="218"/>
        </w:trPr>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20" w:type="dxa"/>
            <w:vAlign w:val="bottom"/>
            <w:gridSpan w:val="10"/>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Trust and the Joyce Family Irrevocable Trust (filed as Exhibit 10.1 to Ashland’s Form 8-K filed on January 22, 2019 (SEC File</w:t>
              </w:r>
            </w:hyperlink>
          </w:p>
        </w:tc>
      </w:tr>
      <w:tr>
        <w:trPr>
          <w:trHeight w:val="234"/>
        </w:trPr>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20" w:type="dxa"/>
            <w:vAlign w:val="bottom"/>
            <w:gridSpan w:val="10"/>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No. 333-211719), and incorporated herein by reference.)</w:t>
              </w:r>
            </w:hyperlink>
          </w:p>
        </w:tc>
      </w:tr>
      <w:tr>
        <w:trPr>
          <w:trHeight w:val="297"/>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10.65</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color w:val="0000EE"/>
                </w:rPr>
                <w:t>Master Confirmation – Uncollared Accelerated Share Repurchase, dated May 6, 2019, between Ashland Global Holdings Inc.</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and Goldman Sachs (filed as Exhibit 10.1 to Ashland’s Form 8-K filed on May 7, 2019 (SEC File No. 333-211719) and</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herein by reference)</w:t>
              </w:r>
              <w:r>
                <w:rPr>
                  <w:rFonts w:ascii="Times New Roman" w:cs="Times New Roman" w:eastAsia="Times New Roman" w:hAnsi="Times New Roman"/>
                  <w:sz w:val="18"/>
                  <w:szCs w:val="18"/>
                  <w:color w:val="0563C1"/>
                </w:rPr>
                <w:t>.</w:t>
              </w:r>
            </w:hyperlink>
          </w:p>
        </w:tc>
        <w:tc>
          <w:tcPr>
            <w:tcW w:w="20" w:type="dxa"/>
            <w:vAlign w:val="bottom"/>
          </w:tcPr>
          <w:p>
            <w:pPr>
              <w:spacing w:after="0"/>
              <w:rPr>
                <w:sz w:val="17"/>
                <w:szCs w:val="17"/>
                <w:color w:val="auto"/>
              </w:rPr>
            </w:pPr>
          </w:p>
        </w:tc>
      </w:tr>
      <w:tr>
        <w:trPr>
          <w:trHeight w:val="453"/>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0000EE"/>
            </w:tcBorders>
            <w:gridSpan w:val="5"/>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List of Subsidiaries.</w:t>
              </w:r>
            </w:hyperlink>
          </w:p>
        </w:tc>
        <w:tc>
          <w:tcPr>
            <w:tcW w:w="6920" w:type="dxa"/>
            <w:vAlign w:val="bottom"/>
            <w:gridSpan w:val="5"/>
          </w:tcPr>
          <w:p>
            <w:pPr>
              <w:spacing w:after="0"/>
              <w:rPr>
                <w:sz w:val="24"/>
                <w:szCs w:val="24"/>
                <w:color w:val="auto"/>
              </w:rPr>
            </w:pPr>
          </w:p>
        </w:tc>
      </w:tr>
      <w:tr>
        <w:trPr>
          <w:trHeight w:val="432"/>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52">
              <w:r>
                <w:rPr>
                  <w:rFonts w:ascii="Times New Roman" w:cs="Times New Roman" w:eastAsia="Times New Roman" w:hAnsi="Times New Roman"/>
                  <w:sz w:val="18"/>
                  <w:szCs w:val="18"/>
                  <w:u w:val="single" w:color="auto"/>
                  <w:color w:val="0000EE"/>
                </w:rPr>
                <w:t>Consent of Ernst &amp; Young LLP.</w:t>
              </w:r>
            </w:hyperlink>
          </w:p>
        </w:tc>
      </w:tr>
      <w:tr>
        <w:trPr>
          <w:trHeight w:val="432"/>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23.2**</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53">
              <w:r>
                <w:rPr>
                  <w:rFonts w:ascii="Times New Roman" w:cs="Times New Roman" w:eastAsia="Times New Roman" w:hAnsi="Times New Roman"/>
                  <w:sz w:val="18"/>
                  <w:szCs w:val="18"/>
                  <w:u w:val="single" w:color="auto"/>
                  <w:color w:val="0000EE"/>
                </w:rPr>
                <w:t>Consent of Nathan Associates, Inc.</w:t>
              </w:r>
            </w:hyperlink>
          </w:p>
        </w:tc>
      </w:tr>
      <w:tr>
        <w:trPr>
          <w:trHeight w:val="432"/>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gridSpan w:val="10"/>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Power of Attorney.</w:t>
              </w:r>
            </w:hyperlink>
          </w:p>
        </w:tc>
      </w:tr>
      <w:tr>
        <w:trPr>
          <w:trHeight w:val="392"/>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11"/>
          </w:tcPr>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55">
              <w:r>
                <w:rPr>
                  <w:rFonts w:ascii="Times New Roman" w:cs="Times New Roman" w:eastAsia="Times New Roman" w:hAnsi="Times New Roman"/>
                  <w:sz w:val="18"/>
                  <w:szCs w:val="18"/>
                  <w:color w:val="0000EE"/>
                </w:rPr>
                <w:t>Certification of Guillermo Novo, Chief Executive Officer of Ashland, pursuant to Section 302 of the Sarbanes-Oxley Act of</w:t>
              </w:r>
            </w:hyperlink>
          </w:p>
        </w:tc>
      </w:tr>
      <w:tr>
        <w:trPr>
          <w:trHeight w:val="196"/>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2002.</w:t>
              </w:r>
            </w:hyperlink>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668"/>
        </w:trPr>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800" w:type="dxa"/>
            <w:vAlign w:val="bottom"/>
            <w:gridSpan w:val="6"/>
          </w:tcPr>
          <w:p>
            <w:pPr>
              <w:jc w:val="right"/>
              <w:ind w:right="1400"/>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tbl>
      <w:tblPr>
        <w:tblLayout w:type="fixed"/>
        <w:tblInd w:w="3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gridSpan w:val="3"/>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56">
              <w:r>
                <w:rPr>
                  <w:rFonts w:ascii="Times New Roman" w:cs="Times New Roman" w:eastAsia="Times New Roman" w:hAnsi="Times New Roman"/>
                  <w:sz w:val="18"/>
                  <w:szCs w:val="18"/>
                  <w:u w:val="single" w:color="auto"/>
                  <w:color w:val="0000EE"/>
                </w:rPr>
                <w:t>Certification of J. Kevin Willis, Chief Financial Officer of Ashland, pursuant to Section 302 of the Sarbanes-Oxley Act of 2002.</w:t>
              </w:r>
            </w:hyperlink>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gridSpan w:val="3"/>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57">
              <w:r>
                <w:rPr>
                  <w:rFonts w:ascii="Times New Roman" w:cs="Times New Roman" w:eastAsia="Times New Roman" w:hAnsi="Times New Roman"/>
                  <w:sz w:val="18"/>
                  <w:szCs w:val="18"/>
                  <w:color w:val="0000EE"/>
                </w:rPr>
                <w:t>Certification of Guillermo Novo, Chief Executive Officer of Ashland, and J. Kevin Willis, Chief Financial Officer of Ashland,</w:t>
              </w:r>
            </w:hyperlink>
          </w:p>
        </w:tc>
      </w:tr>
      <w:tr>
        <w:trPr>
          <w:trHeight w:val="196"/>
        </w:trPr>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57">
              <w:r>
                <w:rPr>
                  <w:rFonts w:ascii="Times New Roman" w:cs="Times New Roman" w:eastAsia="Times New Roman" w:hAnsi="Times New Roman"/>
                  <w:sz w:val="18"/>
                  <w:szCs w:val="18"/>
                  <w:color w:val="0000EE"/>
                  <w:w w:val="99"/>
                </w:rPr>
                <w:t>pursuant to Section 906 of the Sarbanes-Oxley Act of 2002.</w:t>
              </w:r>
            </w:hyperlink>
          </w:p>
        </w:tc>
        <w:tc>
          <w:tcPr>
            <w:tcW w:w="5000" w:type="dxa"/>
            <w:vAlign w:val="bottom"/>
            <w:tcBorders>
              <w:top w:val="single" w:sz="8" w:color="0000EE"/>
            </w:tcBorders>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00" w:hanging="292"/>
        <w:spacing w:after="0" w:line="255"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documents formatted in XBRL (Extensible Business Reporting Language): (i) Statements of Consolidated Comprehensive Income (Loss) for years ended September 30, 2020, 2019 and 2018; (ii) Consolidated Balance Sheets at September 30, 2020 and 2019; (iii) Statements of Consolidated Equity at September 30, 2020, 2019 and 2018; (iv) Statements of Consolidated Cash Flows for years ended September 30, 2020, 2019 and 2018; and (v) Notes to Consolidated Financial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xml:space="preserve">SM </w:t>
      </w:r>
      <w:r>
        <w:rPr>
          <w:rFonts w:ascii="Times New Roman" w:cs="Times New Roman" w:eastAsia="Times New Roman" w:hAnsi="Times New Roman"/>
          <w:sz w:val="17"/>
          <w:szCs w:val="17"/>
          <w:color w:val="auto"/>
        </w:rPr>
        <w:t>Service mark, Ashland or its subsidiaries, registered in various countries.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Trademark, Ashland or its subsidiaries, registered in various countries.</w:t>
      </w:r>
    </w:p>
    <w:p>
      <w:pPr>
        <w:spacing w:after="0" w:line="117" w:lineRule="exact"/>
        <w:rPr>
          <w:sz w:val="20"/>
          <w:szCs w:val="20"/>
          <w:color w:val="auto"/>
        </w:rPr>
      </w:pPr>
    </w:p>
    <w:p>
      <w:pPr>
        <w:ind w:left="520" w:hanging="118"/>
        <w:spacing w:after="0"/>
        <w:tabs>
          <w:tab w:leader="none" w:pos="5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Trademark owned by a third party.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Upon written or oral request, a copy of the above exhibits will be furnished at cost.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ASHLAND GLOBAL HOLDINGS INC.</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 Kevin Willis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158"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on November 23,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2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Guillermo Novo</w:t>
            </w: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Chairman of the Board, Chief Executive Officer and 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Guillermo Novo</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 Kevin Willis</w:t>
            </w: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 Kevin Willis</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Eric N. Boni</w:t>
            </w: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President, Finance and Principal Accounting Officer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Eric N. Boni</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Brendan M. Cummins</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G. Dempsey</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Jay V. Ihlenfeld</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Susan L. Main</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Jerome A. Peribere</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Craig A. Rogerson</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Ricky C. Sandler</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Janice J. Teal</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Peter J. Ganz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34290</wp:posOffset>
            </wp:positionV>
            <wp:extent cx="1654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Ganz</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23,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accompanying Notes to Consolidated Financial Statements for the years ended September 30, 2020, 2019 and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profile</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is a premier global leader in providing specialty materials to customers in a wide range of consumer and industrial markets, including adhesives, architectural coatings, construction, energy, food and beverage, nutraceuticals, personal care and pharmaceutical. With approximately 4,500 employees worldwide, Ashland serves customers in more than 100 countries.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Ashland’s sales generated outside of North America were 60% in 2020, 2019 and 2018. Sales by region expressed as a percentage of total consolidated sales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by Geography</w:t>
            </w: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14"/>
                <w:szCs w:val="14"/>
                <w:color w:val="auto"/>
              </w:rPr>
              <w:t>(a)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5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6"/>
        </w:trPr>
        <w:tc>
          <w:tcPr>
            <w:tcW w:w="65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pacing w:after="0" w:line="5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Ashland includes only U.S. and Canada in its North American designation.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 and long-term performance. Ashland has realigned its segment reporting structure commensurate with this organizational change. The reportable segments are consistent with how the segments report to and are managed by Ashland’s Chief Executive Officer (the chief operating decision maker). As a result, Ashland’s reportable segments include Life Sciences, Personal Care &amp; Household, Specialty Additives, Performance Adhesives and Intermediates and Solvents. Unallocated and Other includes corporate governance activities and certain legacy matters. The historical segment information has been recast to conform to the current segment structure. Ashland has also provided subtotals by its consumer and industrial businesses to reflect the end markets served by each reportable segment. The contribution to sales by each reportable segment expressed as a percentage of total consolidated sales for the year ended September 30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Specialties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Industrial Specialties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5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5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Results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Ashland’s net loss was $508 million ($491 million loss from continuing operations and $17 million loss from discontinued operations) in 2020 compared to income of $505 million ($24 million income from continuing operations and $481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income from discontinued operations) in 2019. Results for Ashland’s continuing operations were adversely impacted by a non-cash goodwill impairment charge of $530 million, lower industrial demand across the globe reflecting the impact of the COVID-19 pandemic, debt restructuring costs of $67 million and inventory control measures costs of $51 million, which includes a $47 million charge in the fourth quarter. These costs were partially offset by improved product mix, lower raw-material costs and lower selling, general and administrative expense. Discontinued operations were primarily driven by the change in results of the Composites business and Marl facility between periods, including associated gains as a result of these businesses’ dispositions. Ashland’s Adjusted EBITDA is $528 million for the current year compared to $532 million in the prior year (see U.S. GAAP reconciliation under consolidated review). The $4 million decrease in Adjusted EBITDA was primarily due to lower industrial demand across the globe reflecting the impact of the COVID-19 pandemic, partially offset by improved product mix, lower raw materials and lower selling, general and administrative expenses as a result of cost reduction programs.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relating to the COVID-19 pandemic</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80"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continues to successfully navigate the uncertain environment associated with the COVID-19 pandemic. This includes the execution of shelter in place, social distancing and deep cleaning process requirements. Through the balance of fiscal year 2020, Ashland has not experienced any additional major operating surprises beyond the initial impact of the COVID-19 pandemic, maintained a robust supply chain in a challenging environment, had strong safety performance in the face of unprecedented pressures and improved operating discipline across each of its businesses. The consumer specialties businesses showed resiliency in the face of difficult economic circumstances. The industrial specialties businesses and the Intermediates and Solvents business experienced downward pressure on demand as a result of the COVID-19 pandemic’s impact on those businesses end markets. However, Ashland’s overall liquidity remains strong and Ashland is more than able to meet its operating cash needs and other investing and financing cash requirements at this time, including those necessary to grow the business as economic conditions improve.</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this report, which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announced or executed during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business model changes and restructurings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 previously noted above, during the second quarter of fiscal year 2020, Ashland changed the manner in which it manages the business moving from a functionally led to a business led organization. This new business-centric operational model required redesign of core operating systems and processes leading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is currently targeting the following savings:</w:t>
      </w:r>
    </w:p>
    <w:p>
      <w:pPr>
        <w:spacing w:after="0" w:line="75" w:lineRule="exact"/>
        <w:rPr>
          <w:sz w:val="20"/>
          <w:szCs w:val="20"/>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incremental SARD cost savings</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incremental COGS productivity savings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currently expects to achieve the run-rate SARD cost savings by the end of calendar 2020 and the run-rate COGS productivity savings by the end of fiscal year 2021. Ashland has captured roughly $41 million in annualized run-rate savings under these initiatives as of September 30,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Ashland’s maleic anhydride business (Maleic business)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On September 30, 2020, Ashland completed the sale of its Maleic business to AOC Materials LLC (AOC). This business was part of the Composites and Marl facility disposal group included in discontinued operations. Proceeds from the sale were $98 million. Ashland recognized a $29 million after-tax gain with the Statement of Consolidated Comprehensive Income (Loss) with the income from discontinued operations caption for the twelve months ended September 30,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Ashland’s net income (loss) is primarily affected by results within operating income, net interest and other financing expense, net income (loss) on acquisitions and divestitures, income taxes, discontinued operations and other significant events or transactions that are unusual or nonrecurring.</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Key financial results for 2020, 2019 and 2018 included the following:</w:t>
      </w:r>
    </w:p>
    <w:p>
      <w:pPr>
        <w:spacing w:after="0" w:line="117" w:lineRule="exact"/>
        <w:rPr>
          <w:sz w:val="20"/>
          <w:szCs w:val="20"/>
          <w:color w:val="auto"/>
        </w:rPr>
      </w:pPr>
    </w:p>
    <w:p>
      <w:pPr>
        <w:ind w:left="80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Ashland’s net income/loss amounted to a loss of $508 million in 2020, income of $505 million in 2019 and $114 million in 2018, or a loss of $8.39, and income of $8.03 and $1.79 diluted earnings per share, respectively.</w:t>
      </w:r>
    </w:p>
    <w:p>
      <w:pPr>
        <w:spacing w:after="0" w:line="53"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which are reported net of taxes, resulted in a loss of $17 million during 2020 and income of $481 million and $95 million during 2019 and 2018, respectively.</w:t>
      </w:r>
    </w:p>
    <w:p>
      <w:pPr>
        <w:spacing w:after="0" w:line="5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continuing operations, which excludes results from discontinued operations, amounted to a loss of $491 million in 2020 and income of $24 million and $19 million in 2019 and 2018, respectively. Fiscal 2020 includes a non-cash goodwill impairment charge of $530 million.</w:t>
      </w:r>
    </w:p>
    <w:p>
      <w:pPr>
        <w:spacing w:after="0" w:line="6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benefit rate of 2% for 2020, income tax expense rate of 66% for 2019, and income tax benefit rate of 73% for 2018, were significantly impacted by certain tax specific key items and tax discrete items.</w:t>
      </w:r>
    </w:p>
    <w:p>
      <w:pPr>
        <w:spacing w:after="0" w:line="5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Ashland incurred pretax net interest and other expense of $119 million, $99 million and $102 million during 2020, 2019 and 2018, respectively. This includes charges for $59 million and $8 million for debt refinancing costs and accelerated debt issuance costs, respectively, during 2020, as well as gains of $20 million, $7 million and zero on restricted investments during 2020, 2019 and 2018, respectively.</w:t>
      </w:r>
    </w:p>
    <w:p>
      <w:pPr>
        <w:spacing w:after="0" w:line="6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periodic benefit income totaled $2 million, $5 million and $15 million during 2020, 2019 and 2018, respectively.</w:t>
      </w:r>
    </w:p>
    <w:p>
      <w:pPr>
        <w:spacing w:after="0" w:line="11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income/loss on divestitures totaled income of $2 million during 2020 and a loss of $2 million and $4 million during 2019 and 2018, respectively.</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income/loss amounted to a loss of $388 million in 2020 compared to income of $166 million and $102 million in 2019 and 2018, respectively. Fiscal 2020 included a non-cash goodwill impairment charge of $530 million.</w:t>
      </w:r>
    </w:p>
    <w:p>
      <w:pPr>
        <w:spacing w:after="0" w:line="54" w:lineRule="exact"/>
        <w:rPr>
          <w:sz w:val="20"/>
          <w:szCs w:val="20"/>
          <w:color w:val="auto"/>
        </w:rPr>
      </w:pPr>
    </w:p>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For further information on the items reported above, see the discussion in the comparative Statements of Consolidated Comprehensive Income (Loss) caption review analysis.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Operating income/loss was a loss of $388 million in 2020 compared to income of $166 million and $102 million in 2019, 2018, respectively. The current and prior years’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68" w:lineRule="exact"/>
        <w:rPr>
          <w:sz w:val="20"/>
          <w:szCs w:val="20"/>
          <w:color w:val="auto"/>
        </w:rPr>
      </w:pPr>
    </w:p>
    <w:p>
      <w:pPr>
        <w:jc w:val="both"/>
        <w:ind w:left="800" w:hanging="401"/>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 During 2020,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$530 million non-cash goodwill impairment charge in 2020. See note H and Critical Accounting Policies for additional information.</w:t>
      </w:r>
    </w:p>
    <w:p>
      <w:pPr>
        <w:spacing w:after="0" w:line="71"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separation and other costs - Ashland periodically implements company-wide restructuring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Notes C, D and E in the Notes to Consolidated Financial Statements for further information.</w:t>
      </w:r>
    </w:p>
    <w:p>
      <w:pPr>
        <w:spacing w:after="0" w:line="71"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control measures – During 2020, Ashland incurred charges associated with a program to reduce overall inventory levels as part of a working capital efficiency program. While successful in managing inventory levels, these actions resulted in increased expense primarily related to abnormal production variances due to plant shutdowns.</w:t>
      </w:r>
    </w:p>
    <w:p>
      <w:pPr>
        <w:spacing w:after="0" w:line="67"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liabilities and receivables related to previously divested businesses or non-operational sites. See Note N of the Notes to Consolidated Financial Statements for more information.</w:t>
      </w:r>
    </w:p>
    <w:p>
      <w:pPr>
        <w:spacing w:after="0" w:line="71"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 As a result of various restructuring activities at certain office facilities and manufacturing plants, Ashland recorded accelerated depreciation due to changes in the expected useful life of certain property, plant and equipment during 2019 and 2018. See Note G of the Notes to Consolidated Financial Statements for more information.</w:t>
      </w:r>
    </w:p>
    <w:p>
      <w:pPr>
        <w:spacing w:after="0" w:line="6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costs – Ashland incurred significant consulting and other costs associated with the 2019 Annual Meeting of Stockholders and agreement with the Cruiser Group (as defined in the agreement) during 2019.</w:t>
      </w:r>
    </w:p>
    <w:p>
      <w:pPr>
        <w:spacing w:after="0" w:line="5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 Ashland recognized impairment charges to certain assets during 2019 and 2018. The charges during 2018 primarily related to the impairment of an office facility as a result of a company-wide restructuring program. See Note E of the Notes to Consolidated Financial Statements for more information.</w:t>
      </w:r>
    </w:p>
    <w:p>
      <w:pPr>
        <w:spacing w:after="0" w:line="6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indemnity expense – During 2019 and 2018, Ashland recorded an adjustment to a tax indemnity receivable that was associated with the acquisition of Pharmachem.</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plant shutdowns – During 2019, Ashland incurred costs related to temporary shutdowns for the Specialty Additives Parlin facility as a result of force majeure contract issues.</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settlement/reserve – During 2018, Ashland recorded adjustments related to settlements and/or reserves for certain legal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1" w:name="page42"/>
    <w:bookmarkEnd w:id="41"/>
    <w:p>
      <w:pPr>
        <w:ind w:firstLine="394"/>
        <w:spacing w:after="0" w:line="282" w:lineRule="auto"/>
        <w:rPr>
          <w:sz w:val="20"/>
          <w:szCs w:val="20"/>
          <w:color w:val="auto"/>
        </w:rPr>
      </w:pPr>
      <w:r>
        <w:rPr>
          <w:rFonts w:ascii="Times New Roman" w:cs="Times New Roman" w:eastAsia="Times New Roman" w:hAnsi="Times New Roman"/>
          <w:sz w:val="18"/>
          <w:szCs w:val="18"/>
          <w:color w:val="auto"/>
        </w:rPr>
        <w:t>Operating income/loss for 2020, 2019 and 2018 included depreciation and amortization of $247 million, $289 million and $277 million, respectively (which includes accelerated depreciation of zero, $39 million, and $14 million, respectively, for each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key items affecting EBITDA</w:t>
      </w:r>
    </w:p>
    <w:p>
      <w:pPr>
        <w:spacing w:after="0" w:line="119"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During the current and prior years, there were certain key items that were not included in operating income but were excluded to arrive at Adjusted EBITDA. These non-operating key items for the applicable periods are summarized as follows:</w:t>
      </w:r>
    </w:p>
    <w:p>
      <w:pPr>
        <w:spacing w:after="0" w:line="54" w:lineRule="exact"/>
        <w:rPr>
          <w:sz w:val="20"/>
          <w:szCs w:val="20"/>
          <w:color w:val="auto"/>
        </w:rPr>
      </w:pPr>
    </w:p>
    <w:p>
      <w:pPr>
        <w:ind w:left="800" w:right="20" w:hanging="401"/>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on divestitures – Ashland recorded a loss on certain divestitures during 2019 and 2018. See Note C of the Notes to Consolidated Financial Statements for more information on these divestitures.</w:t>
      </w:r>
    </w:p>
    <w:p>
      <w:pPr>
        <w:spacing w:after="0" w:line="5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M of the Notes to Consolidated Financial Statements for more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Consolidated Comprehensive Income (Loss) – caption review</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 comparative analysis of the Statements of Consolidated Comprehensive Income (Loss) by caption is provided as follows for the years ended September 30, 2020, 2019 and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 in sales between fiscal years 2020 and 2019 and between fiscal years 2019 and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 change</w:t>
            </w:r>
          </w:p>
        </w:tc>
        <w:tc>
          <w:tcPr>
            <w:tcW w:w="1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 change</w:t>
            </w:r>
          </w:p>
        </w:tc>
      </w:tr>
      <w:tr>
        <w:trPr>
          <w:trHeight w:val="22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35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Pricing</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exchange</w:t>
            </w:r>
          </w:p>
        </w:tc>
        <w:tc>
          <w:tcPr>
            <w:tcW w:w="3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Plant realignment</w:t>
            </w:r>
          </w:p>
        </w:tc>
        <w:tc>
          <w:tcPr>
            <w:tcW w:w="3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sales</w:t>
            </w:r>
          </w:p>
        </w:tc>
        <w:tc>
          <w:tcPr>
            <w:tcW w:w="3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Sales for 2020 decreased $167 million, or 7%, compared to 2019. Unfavorable volume, due primarily to lower industrial demand reflecting the impact of the COVID-19 pandemic, product pricing, foreign currency exchange and plant realignment decreased sales by $116 million, $24 million, $10 million and $17 million, respectively.</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Sales for 2019 decreased $96 million, or 4%, compared to 2018. Unfavorable volume, foreign currency exchange and plant realignment decreased sales by $58 million, $45 million and $11 million, respectively. These decreases were partially offset by product pricing which increased sales by $18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1,619</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1,726</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1,726</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1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8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Fluctuations in cost of sales are driven primarily by lower industrial demand across the globe reflecting the impact of the COVID-19 pandemic, raw material prices, volume and changes in product mix, currency exchange, acquisitions and divestitures and other certain charges incurred as a result of changes or events within the businesses or restructuring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cost of sales between fiscal years 2020 and 2019 and between fiscal years 2019 and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2020 change</w:t>
            </w: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 change</w:t>
            </w: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31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Plant realignment/closure costs</w:t>
            </w:r>
          </w:p>
        </w:tc>
        <w:tc>
          <w:tcPr>
            <w:tcW w:w="2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Price/mix</w:t>
            </w:r>
          </w:p>
        </w:tc>
        <w:tc>
          <w:tcPr>
            <w:tcW w:w="2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Currency exchange</w:t>
            </w:r>
          </w:p>
        </w:tc>
        <w:tc>
          <w:tcPr>
            <w:tcW w:w="2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7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in cost of sales</w:t>
            </w:r>
          </w:p>
        </w:tc>
        <w:tc>
          <w:tcPr>
            <w:tcW w:w="276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Cost of sales for 2020 decreased $107 million compared to 2019. Volume, due primarily to lower industrial demand reflecting the impact of the COVID-19 pandemic, plant realignment/closure costs, price/mix and foreign currency exchange decreased cost of sales by $72 million, $67 million, $68 million and $6 million, respectively. Those decreases were partially offset by higher operating costs which increased cost of sales by $106 million primarily as a result of inventory control measures taken during the fourth quarter of fiscal 2020.</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Cost of sales for 2019 was flat compared to 2018. Volume and foreign currency exchange decreased cost of sales by $38 million and $23 million, respectively. Those decreases were partially offset by plant realignment/closure costs, price/mix and higher operating costs, which increased cost of sales by $31 million, $14 million and $16 million,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599</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 for 2020 decreased $29 million compared to 2019, with expenses as a percent of sales remaining constant.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drivers of the fluctuation in selling, general and administrative expense compared to 2019 were:</w:t>
      </w:r>
    </w:p>
    <w:p>
      <w:pPr>
        <w:spacing w:after="0" w:line="99" w:lineRule="exact"/>
        <w:rPr>
          <w:sz w:val="20"/>
          <w:szCs w:val="20"/>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and $27 million in net environmental-related expenses during 2020 and 2019, respectively (see Note N for more information);</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and $43 million of key items for restructuring, separation and other costs during 2020 and 2019, respectively;</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consulting and other costs associated with the proxy contest during 2019;</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currency exchange of $6 million; and</w:t>
      </w:r>
    </w:p>
    <w:p>
      <w:pPr>
        <w:spacing w:after="0" w:line="11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cost savings during 2020 from restructuring programs initiated in 2020 and 2019, which represents a substantial portion of the 2020 decline from 2019.</w:t>
      </w:r>
    </w:p>
    <w:p>
      <w:pPr>
        <w:spacing w:after="0" w:line="54"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2019 decreased $146 million compared to 2018, while expenses as a percent of sales decreased 4.9 percentage points. Key drivers of the fluctuation in selling, general and administrative expense compared to 2018 were:</w:t>
      </w:r>
    </w:p>
    <w:p>
      <w:pPr>
        <w:spacing w:after="0" w:line="54" w:lineRule="exact"/>
        <w:rPr>
          <w:sz w:val="20"/>
          <w:szCs w:val="20"/>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and $83 million of restructuring, separation and other costs during 2019 and 2018, respectively;</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and $60 million in net environmental-related expenses during 2019 and 2018, respectively;</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asset impairment charges during 2018;</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consulting and other costs associated with the proxy contest during 2019;</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variable compensation of $21 million during 2019; and</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currency exchange of $9 million as well as achieved cost savings during 2019 from restructuring programs initiated in 2019 and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39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1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9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$2 million in 2020 compared to 2019 as a result of achieved cost savings and other costs compared to the prior year. In 2019, the $7 million decreased compared to 2018 was primarily due to the overall company-wide cost reduction program.</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17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90"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Amortization expense remained relatively consistent in 2020 compared to 2019. Amortization expense decreased by $7 million in 2019 compared to 2018 primarily due to the impact of fully amortized acquisition related intangible assets.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income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04"/>
        </w:trPr>
        <w:tc>
          <w:tcPr>
            <w:tcW w:w="10020" w:type="dxa"/>
            <w:vAlign w:val="bottom"/>
            <w:gridSpan w:val="12"/>
          </w:tcPr>
          <w:p>
            <w:pPr>
              <w:jc w:val="right"/>
              <w:ind w:right="510"/>
              <w:spacing w:after="0"/>
              <w:rPr>
                <w:sz w:val="20"/>
                <w:szCs w:val="20"/>
                <w:color w:val="auto"/>
              </w:rPr>
            </w:pPr>
            <w:r>
              <w:rPr>
                <w:rFonts w:ascii="Times New Roman" w:cs="Times New Roman" w:eastAsia="Times New Roman" w:hAnsi="Times New Roman"/>
                <w:sz w:val="18"/>
                <w:szCs w:val="18"/>
                <w:color w:val="auto"/>
              </w:rPr>
              <w:t>Equity and other income increased during 2020 compared to 2019 and 2018 primarily due to a liquidation gain of $3 million.</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8"/>
        </w:trPr>
        <w:tc>
          <w:tcPr>
            <w:tcW w:w="5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218"/>
        </w:trPr>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 recorded an impairment charge of $530 million in 2020. See note H Goodwill and Other Intangibles for additional information.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financing costs</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Net interest and other expense increased by $20 million in 2020 compared to 2019. Interest expense decreased by $26 million due to lower average debt levels and lower cost of debt related to the debt restructuring activity during 2020. The decreases were partially offset by $8 million of accelerated debt issuance costs and original issuance discount costs in 2020. Ashland incurred $59 million of debt refinancing costs during 2020. See Note I for more information on the refinancing activity. The investment securities income of $30 million in 2020 compared to $17 million in 2019 represents investment income related to restricted investments discussed in Note F of the Notes to the Consolidated Financial Statements.</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Net interest and other expense decreased $3 million in 2019 compared to 2018. The decrease in interest expense was primarily due to lower debt levels during 2019 compared to 2018. This decrease was partially offset by $6 million of accelerated debt issuance costs related to the early repayments of term loans. The investment securities income of $17 million in 2019 compared to $14 million in 2018 represents investment income related to restricted investments discussed in Note F of the Notes to Consolidated Financial Statements. Interest income and other financing costs were relatively consistent.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39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income</w:t>
            </w:r>
          </w:p>
        </w:tc>
        <w:tc>
          <w:tcPr>
            <w:tcW w:w="16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net periodic benefit income during 2020 primarily included interest cost of $9 million, offset by expected return on plan assets of $11 million.</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Other net periodic benefit income during 2019 primarily included an $11 million loss on pension and other postretirement plan remeasurements, offset by a curtailment gain of $18 million due to the settlement of a non-U.S. pension plan in 2019. Other net periodic benefit income during 2019 also included an $12 million charge for interest cost, partially offset by a $10 million expected return on plan assets.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Other net periodic benefit income during 2018 primarily included a gain on pension and other postretirement plan remeasurements of $14 million and an expected return on plan assets of $12 million, offset by interest cost of $11 million.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on divestitures</w:t>
            </w:r>
          </w:p>
        </w:tc>
        <w:tc>
          <w:tcPr>
            <w:tcW w:w="17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income (loss) on divestitures during 2020 primarily related to the sale of corporate assets and post-closing adjustments for certain divestitures.</w:t>
      </w:r>
    </w:p>
    <w:p>
      <w:pPr>
        <w:spacing w:after="0" w:line="117"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Net income (loss) on divestitures during 2019 primarily included a loss of $2 million related to the impairment of an investment offset by a gain on sale of a manufacturing facility, along with post-closing adjustments related to other previous divestitures.</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Net income (loss) on divestitures during 2018 primarily included a loss of $2 million related to the sale of a manufacturing facility, along with post-closing adjustments related to other previous divestitures.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7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8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2020 effective tax rate was impacted by nondeductible goodwill impairment of $527 million as well as $15 million favorable tax discrete items primarily from the tax benefit related to the Swiss Tax Reform enacted in the first quarter.</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2019 effective tax rate was impacted by jurisdictional income mix, restructuring activities, and the U.S. tax reform.</w:t>
      </w:r>
    </w:p>
    <w:p>
      <w:pPr>
        <w:spacing w:after="0" w:line="117"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2018 effective tax rate was impacted by jurisdictional income mix and restructuring activities, while the impact of U.S. tax reform and other items netted together to have an insignificant impact.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income tax expense (benefit)</w:t>
      </w:r>
    </w:p>
    <w:p>
      <w:pPr>
        <w:spacing w:after="0" w:line="11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color w:val="auto"/>
        </w:rPr>
        <w:t>The effective tax rates during 2020, 2019 and 2018 were significantly impacted by the following tax specific key items:</w:t>
      </w:r>
    </w:p>
    <w:p>
      <w:pPr>
        <w:spacing w:after="0" w:line="117" w:lineRule="exact"/>
        <w:rPr>
          <w:sz w:val="20"/>
          <w:szCs w:val="20"/>
          <w:color w:val="auto"/>
        </w:rPr>
      </w:pPr>
    </w:p>
    <w:p>
      <w:pPr>
        <w:ind w:left="800" w:hanging="401"/>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transition tax - Includes the one-time transition tax resulting from the enactment of the Tax Act;</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 Includes the impact from the settlement of uncertain tax positions with various tax authorities;</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separation activity - Includes the impact from company-wide cost reduction programs; and</w:t>
      </w:r>
    </w:p>
    <w:p>
      <w:pPr>
        <w:spacing w:after="0" w:line="117"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tax reform - Includes the impact from other items related to the Tax Act and other tax law changes including Swiss Tax Reform. The Swiss Tax Reform benefit is an estimate based on ten-year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calculation of the effective tax rate, excluding the impact of these key items: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2018</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before income taxes</w:t>
            </w:r>
          </w:p>
        </w:tc>
        <w:tc>
          <w:tcPr>
            <w:tcW w:w="1800" w:type="dxa"/>
            <w:vAlign w:val="bottom"/>
            <w:gridSpan w:val="2"/>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(503)</w:t>
            </w:r>
          </w:p>
        </w:tc>
        <w:tc>
          <w:tcPr>
            <w:tcW w:w="140" w:type="dxa"/>
            <w:vAlign w:val="bottom"/>
          </w:tcPr>
          <w:p>
            <w:pPr>
              <w:spacing w:after="0"/>
              <w:rPr>
                <w:sz w:val="18"/>
                <w:szCs w:val="18"/>
                <w:color w:val="auto"/>
              </w:rPr>
            </w:pP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70</w:t>
            </w:r>
          </w:p>
        </w:tc>
        <w:tc>
          <w:tcPr>
            <w:tcW w:w="64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 xml:space="preserve">Key items (pre-tax) </w:t>
            </w:r>
            <w:r>
              <w:rPr>
                <w:rFonts w:ascii="Times New Roman" w:cs="Times New Roman" w:eastAsia="Times New Roman" w:hAnsi="Times New Roman"/>
                <w:sz w:val="14"/>
                <w:szCs w:val="14"/>
                <w:color w:val="auto"/>
              </w:rPr>
              <w:t>(a)</w:t>
            </w:r>
          </w:p>
        </w:tc>
        <w:tc>
          <w:tcPr>
            <w:tcW w:w="12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712</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140</w:t>
            </w:r>
          </w:p>
        </w:tc>
      </w:tr>
      <w:tr>
        <w:trPr>
          <w:trHeight w:val="208"/>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income from continuing operations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180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182</w:t>
            </w:r>
          </w:p>
        </w:tc>
        <w:tc>
          <w:tcPr>
            <w:tcW w:w="64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r>
      <w:tr>
        <w:trPr>
          <w:trHeight w:val="208"/>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Income tax rate adjustments: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 xml:space="preserve">Tax effect of key items </w:t>
            </w:r>
            <w:r>
              <w:rPr>
                <w:rFonts w:ascii="Times New Roman" w:cs="Times New Roman" w:eastAsia="Times New Roman" w:hAnsi="Times New Roman"/>
                <w:sz w:val="14"/>
                <w:szCs w:val="14"/>
                <w:color w:val="auto"/>
              </w:rPr>
              <w:t>(b)</w:t>
            </w: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30</w:t>
            </w: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Tax specific key items: </w:t>
            </w:r>
            <w:r>
              <w:rPr>
                <w:rFonts w:ascii="Times New Roman" w:cs="Times New Roman" w:eastAsia="Times New Roman" w:hAnsi="Times New Roman"/>
                <w:sz w:val="14"/>
                <w:szCs w:val="14"/>
                <w:color w:val="auto"/>
              </w:rPr>
              <w:t>(c)</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tax rate changes</w:t>
            </w: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139</w:t>
            </w: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One-time transition tax</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w:t>
            </w:r>
          </w:p>
        </w:tc>
      </w:tr>
      <w:tr>
        <w:trPr>
          <w:trHeight w:val="216"/>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Uncertain tax positions</w:t>
            </w: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26</w:t>
            </w: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Restructuring and separation activity</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w:t>
            </w:r>
          </w:p>
        </w:tc>
      </w:tr>
      <w:tr>
        <w:trPr>
          <w:trHeight w:val="216"/>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tax reform related activity</w:t>
            </w:r>
          </w:p>
        </w:tc>
        <w:tc>
          <w:tcPr>
            <w:tcW w:w="12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income tax rate adjustments</w:t>
            </w:r>
          </w:p>
        </w:tc>
        <w:tc>
          <w:tcPr>
            <w:tcW w:w="1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Adjusted income tax expense (benefit)</w:t>
            </w:r>
          </w:p>
        </w:tc>
        <w:tc>
          <w:tcPr>
            <w:tcW w:w="1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5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 xml:space="preserve">Effective tax rate, excluding key items (Non-GAAP) </w:t>
            </w:r>
            <w:r>
              <w:rPr>
                <w:rFonts w:ascii="Times New Roman" w:cs="Times New Roman" w:eastAsia="Times New Roman" w:hAnsi="Times New Roman"/>
                <w:sz w:val="14"/>
                <w:szCs w:val="14"/>
                <w:color w:val="auto"/>
              </w:rPr>
              <w:t>(d)</w:t>
            </w: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below in this Management, Discussion and Analysis for a summary of the key items, before tax.</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ind w:left="300" w:hanging="292"/>
        <w:spacing w:after="0" w:line="221" w:lineRule="auto"/>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below in this Management Discussion and Analysis.</w:t>
      </w: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tax specific key items within the statutory federal income tax with the provision for income taxes summary disclosed in Note L of the Notes to Consolidated Financial Statements.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Tax effect of key items computed at applicable statutory rate </w:t>
            </w:r>
            <w:r>
              <w:rPr>
                <w:rFonts w:ascii="Times New Roman" w:cs="Times New Roman" w:eastAsia="Times New Roman" w:hAnsi="Times New Roman"/>
                <w:sz w:val="14"/>
                <w:szCs w:val="14"/>
                <w:color w:val="auto"/>
              </w:rPr>
              <w:t>(a)</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reform</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Deemed inclusions, foreign dividends and other restructuring</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6"/>
        </w:trPr>
        <w:tc>
          <w:tcPr>
            <w:tcW w:w="5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19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  Includes impact of $527 million of non-deductible goodwill.</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48"/>
        </w:trPr>
        <w:tc>
          <w:tcPr>
            <w:tcW w:w="5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8"/>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taxes)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Composites and Marl Facility</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Water Technologies</w:t>
            </w:r>
          </w:p>
        </w:tc>
        <w:tc>
          <w:tcPr>
            <w:tcW w:w="3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Valvoline</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 on disposal of discontinued operations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5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 a result of the divestiture of the Composites segment (including the Maleic business) and Marl facility, the related operating results have been reflected as discontinued operations (net of tax) within the Statements of Consolidated Comprehensive Income (Loss). See Note C for more information on this divestiture. In 2020, the sales and pre-tax operating income included in discontinued operations were $51 million and $9 million, respectively. In 2019, the sales and pre-tax operating income included in discontinued operations were $1,012 million and $145 million, respectively. In 2018, the sales and pre-tax operating income included in discontinued operations were $1,154 million and $125 million, respectively. In 2020, a $29 million gain on disposal was recorded in the fourth quarter associated with the September 30, 2020 closing of the sale of the Maleic business. In 2019, a $372 million gain on disposal was recorded in the fourth quarter associated with the August 30, 2019 closing of the Composites business (excluding the Maleic business) and the Marl facility with INEOS.</w:t>
      </w:r>
    </w:p>
    <w:p>
      <w:pPr>
        <w:spacing w:after="0" w:line="8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Asbestos-related activity during 2020, 2019 and 2018 included after-tax net adjustments to the asbestos reserves and receivables of $18 million of expense, zero and $13 million of income, respectively, including the adjustments for the annual update.</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activity for Water Technologies and Distribution during 2019 and 2018 was related to post-closing adjustments.</w:t>
      </w:r>
    </w:p>
    <w:p>
      <w:pPr>
        <w:spacing w:after="0" w:line="117"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Valvoline activity within 2020 and 2018 primarily represents subsequent adjustments that were made in conjunction with the Tax Matters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comparative analysis of the components of other comprehensive income (loss) is provided below for the last three fiscal years ended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3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0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other comprehensive income (loss), net of tax, increased $112 million in 2020 as compared to 2019 as a result of the following components.</w:t>
      </w:r>
    </w:p>
    <w:p>
      <w:pPr>
        <w:spacing w:after="0" w:line="117" w:lineRule="exact"/>
        <w:rPr>
          <w:sz w:val="20"/>
          <w:szCs w:val="20"/>
          <w:color w:val="auto"/>
        </w:rPr>
      </w:pPr>
    </w:p>
    <w:p>
      <w:pPr>
        <w:jc w:val="both"/>
        <w:ind w:left="800" w:hanging="401"/>
        <w:spacing w:after="0" w:line="266"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change in unrealized gain (loss) from foreign currency translation adjustments resulted in a gain of $27 million, compared to a loss of $80 million during 2019. The fluctuations in unrealized translation gains and losses were primarily due to translating foreign subsidiary financial statements from local currencies to U.S. Dollars.</w:t>
      </w:r>
    </w:p>
    <w:p>
      <w:pPr>
        <w:spacing w:after="0" w:line="67"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and postretirement obligation adjustment was zero during 2020 compared to $5 million during 2019. The adjustments relate to amortization of unrecognized prior services credits for pension and other postretirement benefit plans, net of tax, and were reclassified into net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other comprehensive income (loss), net of tax, decreased $16 million in 2019 as compared to 2018 as a result of the following components.</w:t>
      </w:r>
    </w:p>
    <w:p>
      <w:pPr>
        <w:spacing w:after="0" w:line="117" w:lineRule="exact"/>
        <w:rPr>
          <w:sz w:val="20"/>
          <w:szCs w:val="20"/>
          <w:color w:val="auto"/>
        </w:rPr>
      </w:pPr>
    </w:p>
    <w:p>
      <w:pPr>
        <w:jc w:val="both"/>
        <w:ind w:left="800" w:hanging="401"/>
        <w:spacing w:after="0" w:line="266"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change in unrealized gain (loss) from foreign currency translation adjustments resulted in a loss of $80 million, compared to a loss of $82 million during 2018. The fluctuations in unrealized translation gains and losses are primarily due to translating foreign subsidiary financial statements from local currencies to U.S. Dollars.</w:t>
      </w:r>
    </w:p>
    <w:p>
      <w:pPr>
        <w:spacing w:after="0" w:line="67"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and postretirement obligation adjustment was $5 million during 2019 compared to zero during 2018. The adjustment during 2019 related to amortization of unrecognized prior services credits for pension and other postretirement benefit plans, net of tax, and were classified into net income.</w:t>
      </w:r>
    </w:p>
    <w:p>
      <w:pPr>
        <w:spacing w:after="0" w:line="67"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adoption of new accounting guidance in 2019, unrealized gains and losses on Ashland’s equity securities are now recognized in net income rather than AOCI. See Notes A and F for more information. A $13 million gain on investment securities, net of tax, related to restricted investments, were recognized within other comprehensive income (loss) during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measures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8" w:lineRule="exact"/>
        <w:rPr>
          <w:sz w:val="20"/>
          <w:szCs w:val="20"/>
          <w:color w:val="auto"/>
        </w:rPr>
      </w:pPr>
    </w:p>
    <w:p>
      <w:pPr>
        <w:ind w:left="800" w:hanging="40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 net income (loss), plus income tax expense (benefit), net interest and other financing expenses, and depreciation and amortization.</w:t>
      </w:r>
    </w:p>
    <w:p>
      <w:pPr>
        <w:spacing w:after="0" w:line="11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EBITDA adjusted for discontinued operations, net gain (loss) on acquisitions and divestitures, other income and (expense) and key items (including the remeasurement gains and losses related to pension and other postretirement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8" w:name="page49"/>
    <w:bookmarkEnd w:id="48"/>
    <w:p>
      <w:pPr>
        <w:ind w:left="800" w:hanging="40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 Adjusted EBITDA, which can include pro forma adjustments, divided by sales.</w:t>
      </w:r>
    </w:p>
    <w:p>
      <w:pPr>
        <w:spacing w:after="0" w:line="117"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(EPS) - income (loss) from continuing operations, adjusted for key items, net of tax, divided by the average outstanding diluted shares for the applicable period.</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 operating cash flows less capital expenditures and certain other adjustments as applicable.</w:t>
      </w:r>
    </w:p>
    <w:p>
      <w:pPr>
        <w:spacing w:after="0" w:line="117"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86"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8"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7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items that impact comparability between periods. In addition, certain financial covenants related to Ashland’s 2020 Credit Agreement are based on similar non-GAAP measures and are defined further in the sections that reference this metric.</w:t>
      </w:r>
    </w:p>
    <w:p>
      <w:pPr>
        <w:spacing w:after="0" w:line="5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M of the Notes to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EBITDA totaled a loss of $154 million, income of $900 million and income of $471 million for 2020, 2019 and 2018,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66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interest and other financing expense</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Restructuring, separation and other costs </w:t>
            </w:r>
            <w:r>
              <w:rPr>
                <w:rFonts w:ascii="Times New Roman" w:cs="Times New Roman" w:eastAsia="Times New Roman" w:hAnsi="Times New Roman"/>
                <w:sz w:val="14"/>
                <w:szCs w:val="14"/>
                <w:color w:val="auto"/>
              </w:rPr>
              <w:t>(b)</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depreciation</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Proxy costs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indemnity expense</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Unplanned plant shutdowns</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Legal settlement/reserve</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Net loss on acquisitions and divestitures </w:t>
            </w:r>
            <w:r>
              <w:rPr>
                <w:rFonts w:ascii="Times New Roman" w:cs="Times New Roman" w:eastAsia="Times New Roman" w:hAnsi="Times New Roman"/>
                <w:sz w:val="14"/>
                <w:szCs w:val="14"/>
                <w:color w:val="auto"/>
              </w:rPr>
              <w:t>(c)</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(d)</w:t>
            </w: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6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6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66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Debt refinancing costs </w:t>
            </w:r>
            <w:r>
              <w:rPr>
                <w:rFonts w:ascii="Times New Roman" w:cs="Times New Roman" w:eastAsia="Times New Roman" w:hAnsi="Times New Roman"/>
                <w:sz w:val="14"/>
                <w:szCs w:val="14"/>
                <w:color w:val="auto"/>
              </w:rPr>
              <w:t>(e)</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Unrealized gain on securities </w:t>
            </w:r>
            <w:r>
              <w:rPr>
                <w:rFonts w:ascii="Times New Roman" w:cs="Times New Roman" w:eastAsia="Times New Roman" w:hAnsi="Times New Roman"/>
                <w:sz w:val="14"/>
                <w:szCs w:val="14"/>
                <w:color w:val="auto"/>
              </w:rPr>
              <w:t>(f)</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5"/>
        </w:trPr>
        <w:tc>
          <w:tcPr>
            <w:tcW w:w="6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zero, $39 million and $14 million of accelerated depreciation during 2020, 2019 and 2018, respectively.</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impairments of $8 million during 2019.</w:t>
      </w:r>
    </w:p>
    <w:p>
      <w:pPr>
        <w:ind w:left="300" w:hanging="292"/>
        <w:spacing w:after="0" w:line="221" w:lineRule="auto"/>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expense of zero, $3 million and $2 million during 2020, 2019 and 2018, respectively, related to ongoing adjustments of previous divestiture transactions.</w:t>
      </w:r>
    </w:p>
    <w:p>
      <w:pPr>
        <w:jc w:val="both"/>
        <w:ind w:left="300" w:hanging="292"/>
        <w:spacing w:after="0" w:line="221" w:lineRule="auto"/>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 million, $9 million and $8 million during 2020, 2019 and 2018, respectively, of net periodic pension and other postretirement costs (income) recognized ratably through the fiscal year. These costs (income) are comprised of service cost, interest cost, expected return on plan assets, and amortization of prior service credit and are disclosed in further detail in Note M of the Notes to Consolidated Financial Statements.</w:t>
      </w:r>
    </w:p>
    <w:p>
      <w:pPr>
        <w:jc w:val="both"/>
        <w:ind w:left="300" w:hanging="292"/>
        <w:spacing w:after="0" w:line="221" w:lineRule="auto"/>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refinancing costs during 2020 included $59 million loss on early retirement of debt. Debt refinancing costs during 2019 included a $6 million debt issuance costs amortization charge for the early repayment of term loans A and B. Debt refinancing costs during 2018 primarily included a $1 million charge for new debt issuance costs incurred with the re-pricing of the term loan B facility. All debt refinancing costs were recorded within the net interest and other financing expense caption on the Statements of Consolidated Comprehensive Income (Loss). See Note I of the Notes to Consolidated Financial Statements for more information.</w:t>
      </w:r>
    </w:p>
    <w:p>
      <w:pPr>
        <w:spacing w:after="0" w:line="1" w:lineRule="exact"/>
        <w:rPr>
          <w:rFonts w:ascii="Times New Roman" w:cs="Times New Roman" w:eastAsia="Times New Roman" w:hAnsi="Times New Roman"/>
          <w:sz w:val="14"/>
          <w:szCs w:val="14"/>
          <w:color w:val="auto"/>
        </w:rPr>
      </w:pPr>
    </w:p>
    <w:p>
      <w:pPr>
        <w:ind w:left="300" w:hanging="292"/>
        <w:spacing w:after="0" w:line="239" w:lineRule="auto"/>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adoption of new accounting guidance in 2019, the unrealized (gains) losses on certain investment securities directly impact earnings and are recorded within the net interest and other expense caption on the Statements of Consolidated Comprehensive Income (Loss). See Note A of the Notes to Consolidated Financial Statements for more information.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Diluted EPS and Adjusted Diluted EPS</w:t>
      </w:r>
    </w:p>
    <w:p>
      <w:pPr>
        <w:spacing w:after="0" w:line="119"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92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separation and other costs (including accelerated depreciation)</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0.68</w:t>
            </w: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Proxy costs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indemnity expense</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Unplanned plant shutdowns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Legal settlement/reserve</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on acquisitions and divestitures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Debt refinancing costs</w:t>
            </w:r>
          </w:p>
        </w:tc>
        <w:tc>
          <w:tcPr>
            <w:tcW w:w="4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Tax effect of key items </w:t>
            </w:r>
            <w:r>
              <w:rPr>
                <w:rFonts w:ascii="Times New Roman" w:cs="Times New Roman" w:eastAsia="Times New Roman" w:hAnsi="Times New Roman"/>
                <w:sz w:val="14"/>
                <w:szCs w:val="14"/>
                <w:color w:val="auto"/>
              </w:rPr>
              <w:t>(a)</w:t>
            </w:r>
          </w:p>
        </w:tc>
        <w:tc>
          <w:tcPr>
            <w:tcW w:w="4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rate changes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One-time transition tax</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Uncertain tax positions</w:t>
            </w: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tax reform related activity</w:t>
            </w:r>
          </w:p>
        </w:tc>
        <w:tc>
          <w:tcPr>
            <w:tcW w:w="4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r>
      <w:tr>
        <w:trPr>
          <w:trHeight w:val="223"/>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4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4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r>
      <w:tr>
        <w:trPr>
          <w:trHeight w:val="263"/>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4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Amortization expense adjustment (net of tax) </w:t>
            </w:r>
            <w:r>
              <w:rPr>
                <w:rFonts w:ascii="Times New Roman" w:cs="Times New Roman" w:eastAsia="Times New Roman" w:hAnsi="Times New Roman"/>
                <w:sz w:val="14"/>
                <w:szCs w:val="14"/>
                <w:color w:val="auto"/>
              </w:rPr>
              <w:t>(c)</w:t>
            </w:r>
          </w:p>
        </w:tc>
        <w:tc>
          <w:tcPr>
            <w:tcW w:w="4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r>
        <w:trPr>
          <w:trHeight w:val="205"/>
        </w:trPr>
        <w:tc>
          <w:tcPr>
            <w:tcW w:w="6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excluding intangibles amortization expense</w:t>
            </w:r>
          </w:p>
        </w:tc>
        <w:tc>
          <w:tcPr>
            <w:tcW w:w="92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6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previously identified above.</w:t>
      </w:r>
    </w:p>
    <w:p>
      <w:pPr>
        <w:spacing w:after="0" w:line="3" w:lineRule="exact"/>
        <w:rPr>
          <w:rFonts w:ascii="Times New Roman" w:cs="Times New Roman" w:eastAsia="Times New Roman" w:hAnsi="Times New Roman"/>
          <w:sz w:val="14"/>
          <w:szCs w:val="14"/>
          <w:color w:val="auto"/>
        </w:rPr>
      </w:pPr>
    </w:p>
    <w:p>
      <w:pPr>
        <w:ind w:left="300" w:right="20" w:hanging="292"/>
        <w:spacing w:after="0" w:line="221" w:lineRule="auto"/>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21.0%, 23.0% and 23.5% for the years ended 2020, 2019 and 2018,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RESULTS OF OPERATIONS – REPORTABLE SEGMENT REVIEW</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 and long-term performance. Ashland has realigned its segment reporting structure commensurate with this organizational change. As a result, 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 The historical segment information has been recast to conform to the current segment structure.</w:t>
      </w:r>
    </w:p>
    <w:p>
      <w:pPr>
        <w:spacing w:after="0" w:line="8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certain corporate governance costs, which were previously allocated. These costs are now reflected in Unallocated and Other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3" w:name="page54"/>
    <w:bookmarkEnd w:id="53"/>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shows sales, operating income, depreciation and amortization and EBITDA by reportable segment for each of the last three years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2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1,433</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r>
      <w:tr>
        <w:trPr>
          <w:trHeight w:val="22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i w:val="1"/>
                <w:iCs w:val="1"/>
                <w:color w:val="auto"/>
              </w:rPr>
              <w:t>(a)</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3860" w:type="dxa"/>
            <w:vAlign w:val="bottom"/>
            <w:tcBorders>
              <w:bottom w:val="single" w:sz="8" w:color="CFF0FC"/>
            </w:tcBorders>
          </w:tcPr>
          <w:p>
            <w:pPr>
              <w:spacing w:after="0"/>
              <w:rPr>
                <w:sz w:val="22"/>
                <w:szCs w:val="22"/>
                <w:color w:val="auto"/>
              </w:rPr>
            </w:pPr>
          </w:p>
        </w:tc>
        <w:tc>
          <w:tcPr>
            <w:tcW w:w="28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2,589</w:t>
            </w: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29"/>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2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63"/>
        </w:trPr>
        <w:tc>
          <w:tcPr>
            <w:tcW w:w="3860" w:type="dxa"/>
            <w:vAlign w:val="bottom"/>
            <w:tcBorders>
              <w:bottom w:val="single" w:sz="8" w:color="CFF0FC"/>
            </w:tcBorders>
          </w:tcPr>
          <w:p>
            <w:pPr>
              <w:spacing w:after="0"/>
              <w:rPr>
                <w:sz w:val="22"/>
                <w:szCs w:val="22"/>
                <w:color w:val="auto"/>
              </w:rPr>
            </w:pPr>
          </w:p>
        </w:tc>
        <w:tc>
          <w:tcPr>
            <w:tcW w:w="28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2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2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3860" w:type="dxa"/>
            <w:vAlign w:val="bottom"/>
            <w:tcBorders>
              <w:bottom w:val="single" w:sz="8" w:color="CFF0FC"/>
            </w:tcBorders>
          </w:tcPr>
          <w:p>
            <w:pPr>
              <w:spacing w:after="0"/>
              <w:rPr>
                <w:sz w:val="22"/>
                <w:szCs w:val="22"/>
                <w:color w:val="auto"/>
              </w:rPr>
            </w:pPr>
          </w:p>
        </w:tc>
        <w:tc>
          <w:tcPr>
            <w:tcW w:w="284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Amortization expense </w:t>
            </w:r>
            <w:r>
              <w:rPr>
                <w:rFonts w:ascii="Times New Roman" w:cs="Times New Roman" w:eastAsia="Times New Roman" w:hAnsi="Times New Roman"/>
                <w:sz w:val="14"/>
                <w:szCs w:val="14"/>
                <w:b w:val="1"/>
                <w:bCs w:val="1"/>
                <w:color w:val="auto"/>
              </w:rPr>
              <w:t>(b)</w:t>
            </w:r>
          </w:p>
        </w:tc>
        <w:tc>
          <w:tcPr>
            <w:tcW w:w="2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2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4"/>
        </w:trPr>
        <w:tc>
          <w:tcPr>
            <w:tcW w:w="3860" w:type="dxa"/>
            <w:vAlign w:val="bottom"/>
          </w:tcPr>
          <w:p>
            <w:pPr>
              <w:spacing w:after="0"/>
              <w:rPr>
                <w:sz w:val="24"/>
                <w:szCs w:val="24"/>
                <w:color w:val="auto"/>
              </w:rPr>
            </w:pPr>
          </w:p>
        </w:tc>
        <w:tc>
          <w:tcPr>
            <w:tcW w:w="3320" w:type="dxa"/>
            <w:vAlign w:val="bottom"/>
            <w:gridSpan w:val="2"/>
          </w:tcPr>
          <w:p>
            <w:pPr>
              <w:jc w:val="right"/>
              <w:ind w:right="1276"/>
              <w:spacing w:after="0"/>
              <w:rPr>
                <w:sz w:val="20"/>
                <w:szCs w:val="20"/>
                <w:color w:val="auto"/>
              </w:rPr>
            </w:pPr>
            <w:r>
              <w:rPr>
                <w:rFonts w:ascii="Times New Roman" w:cs="Times New Roman" w:eastAsia="Times New Roman" w:hAnsi="Times New Roman"/>
                <w:sz w:val="18"/>
                <w:szCs w:val="18"/>
                <w:color w:val="auto"/>
              </w:rPr>
              <w:t>M-17</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3"/>
        </w:trPr>
        <w:tc>
          <w:tcPr>
            <w:tcW w:w="4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b w:val="1"/>
                <w:bCs w:val="1"/>
                <w:color w:val="auto"/>
              </w:rPr>
              <w:t>(c) (d)</w:t>
            </w:r>
          </w:p>
        </w:tc>
        <w:tc>
          <w:tcPr>
            <w:tcW w:w="2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7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45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5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4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4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45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right="2940" w:hanging="284"/>
        <w:spacing w:after="0" w:line="233" w:lineRule="auto"/>
        <w:tabs>
          <w:tab w:leader="none" w:pos="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and Solvents are accounted for at prices that approximate fair value. All other intersegment sales are accounted for at cost.</w:t>
      </w:r>
    </w:p>
    <w:p>
      <w:pPr>
        <w:ind w:left="300" w:hanging="284"/>
        <w:spacing w:after="0" w:line="221" w:lineRule="auto"/>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zero, $4 million and $1 million related to land-use-rights associated with other non-current assets.</w:t>
      </w:r>
    </w:p>
    <w:p>
      <w:pPr>
        <w:ind w:left="300" w:right="2680" w:hanging="284"/>
        <w:spacing w:after="0" w:line="221" w:lineRule="auto"/>
        <w:tabs>
          <w:tab w:leader="none" w:pos="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zero, $39 million and $14 million of accelerated depreciation for the years ended September 30, 2020, 2019 and 2018.</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Consumer Specialties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Consumer Specialties business is comprised of the following reportable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Sciences</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Personal Care &amp; Household is comprised of biofunctionals, preservatives, skin care, sun care, oral care, hair care and household. These businesses have a broad range of nature-based, biodegradable, and 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Consumer Specialties’ sales for the current year decreased $60 million to $1,323 million compared to 2019. Personal Care &amp; Household and Life Sciences represented $36 million and $24 million of the decrease, respectively. Lower volume, unfavorable currency exchange, plant restructuring and lower pricing decreased sales by $32 million, $8 million, $11 million and $9 million, respectively. During 2020, the Consumer Specialties businesses showed resiliency in the face of difficult economic circumstances brought on by the COVID-19 pandemic.</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Operating income/loss for the current year decreased $372 million to a loss of $173 million compared to 2019. Personal Care &amp; Household recorded a $296 million loss, mostly due to a goodwill impairment, while Life Sciences recorded $123 million operating income, up $9 million from the prior year. Goodwill impairments, inventory control measures, lower volume and unfavorable costs decreased operating income by $356 million, $24 million, $10 million and $16 million, respectively. Those decreases were partially offset favorable price/mix which increased operating income/loss by $34 million.</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EBITDA for the current year decreased $375 million to a loss of $36 million compared to 2019, a $219 million loss in Personal Care &amp; Household and $183 million income in Life Sciences, while Adjusted EBITDA increased $6 million to $345 million, of which $195 million and $150 million originated from Life Sciences and Personal Care &amp; Household, respectively. Adjusted EBITDA margin increased 1.6 percentage points in 2020 to 26.1%.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Consumer Specialties’ sales for 2019 decreased $50 million to $1,383 million compared to 2018. This decrease occurred in the Personal Care &amp; Household while Life Sciences 2019 sales were essentially flat compared to 2018. Lower volume, unfavorable currency exchange and plant restructuring decreased sales by $30 million, $27 million, $8 million, respectively. Those decreases were partially offset by favorable price/mix which increased sales by $15 million.</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Operating income/loss for 2019 decreased $23 million to income of $199 million compared to 2018. Personal Care &amp; Household and Life Sciences recorded $85 million and $114 million in operating income, respectively. Lower volume, unfavorable price/mix, unfavorable foreign exchange and unfavorable costs decreased operating income by $11 million, $1 million, $13 million and $3 million, respectively. Those decreases were partially offset plant restructuring and prior year intangible asset write-off which increased operating income by $3 million and $2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EBITDA for 2019 decreased $27 million to income of $339 million compared to 2018, $164 million income in Personal Care &amp; Household and $175 million income in Life Sciences, while Adjusted EBITDA decreased $32 million to $339 million, of which $175 million and $164 million originated from Life Sciences and Personal Care &amp; Household, respectively. Adjusted EBITDA margin decreased 1.4 percentage points in 2019 to 24.5%.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8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EBITDA presentation for the years ended September 30, 2020, 2019 and 2018 is provided as a means to enhance the understanding of financial measurements that Ashland has internally determined to be relevant measures of comparison for the results of Consumer Specialties.</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key items during year ended September 30, 2020 related to a goodwill impairment of $356 million for Personal Care &amp; Household, $1 million in restructuring costs for Life Sciences and $11 million and $13 million in inventory control measures for Life Sciences and Personal Care &amp; Household, respectively.</w:t>
      </w:r>
    </w:p>
    <w:p>
      <w:pPr>
        <w:spacing w:after="0" w:line="68"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key items during year ended September 30, 2018 related to $3 million of costs related to restructuring activity at certain manufacturing plants and $2 million of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Life Sciences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Personal Care &amp; Household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Consumer Specialties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Specialties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Industrial Specialties business is comprised of the following reportable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Additives</w:t>
      </w:r>
    </w:p>
    <w:p>
      <w:pPr>
        <w:spacing w:after="0" w:line="11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strength, binding power, film formation, deposition and suspension and emulsification. Customers include global paint manufacturers, electronics and automotive manufacturers, textile mills, the construction industry, and welders.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Adhesives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Industrial Specialties’ sales for the current year decreased $100 million to $899 million compared to 2019. Specialty Additives and Performance Adhesives represented $65 million and $35 million of the decrease, respectively. Lower volume, due primarily to lower industrial demand reflecting the impact of the COVID-19 pandemic, unfavorable currency exchange, plant restructuring and lower pricing decreased sales by $83 million, $2 million, $6 million and $9 million, respectively.</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Operating income/loss for the current year decreased $152 million to a loss of $76 million compared to 2019. Specialty Additives recorded a $132 million loss, mostly due to a goodwill impairment, while Performance Adhesives recorded $56 million operating income, down $2 million from the prior year period. Goodwill impairment, inventory control measures, lower volume and increased production costs decreased operating income by $174 million, $18 million, $25 million and $5 million, respectively. Those decreases were partially offset by prior year plant restructuring/shutdown costs and favorable price/mix of $50 million and $20 million, respectively.</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EBITDA for the current year decreased $151 to income of $20 million compared to 2019, a $51 million loss in Specialty Additives and $71 million income in Performance Adhesives, while Adjusted EBITDA decreased $8 million to $214 million, of which $143 million and $71 million originated from Specialty Additives and Performance Adhesives, respectively. Adjusted EBITDA margin increased 1.6 percentage points in 2020 to 23.8%.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Industrial Specialties’ sales for 2019 decreased $38 million to $999 million compared to 2018. Specialty Additives and Performance Adhesives represented $32 million and $6 million of the decrease, respectively. Lower volume, unfavorable currency exchange and plant restructuring decreased sales by $19 million, $17 million and $3 million, respectively. Those decreases were partially offset by favorable price/mix of $1 million.</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Operating income/loss for 2019 decreased $40 million to income of $76 million compared to 2018. Specialty Additives and Performance Adhesives recorded $18 million and $58 million operating income, respectively. Lower volume, unfavorable price/mix and restructuring costs decreased operating income by $5 million, $6 million and $43 million, respectively. Those decreases were partially offset by lower costs which increased operating income by $14 million.</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EBITDA for 2019 decreased $47 million to income of $171 million compared to 2018, $99 million income in Specialty Additives and $72 million income in Performance Adhesives, while Adjusted EBITDA decreased $4 million to $222 million, of which $150 million and $72 million originated from Specialty Additives and Performance Adhesives, respectively. Adjusted EBITDA margin increased 0.4 percentage points in 2019 to 22.2%.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following EBITDA and Adjusted EBITDA presentation (as defined and described in the section above) for the years ended September 30, 2020, 2019 and 2018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key items during 2020 included $174 million related to Goodwill impairment, $18 million for inventory control measures and $2 million of environmental reserve adjustments for Specialty Additives.</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key items during 2019 included $38 million of accelerated depreciation related to a planned facility closure, $10 million of costs related to restructuring activity at certain manufacturing plants, $2 million for an unplanned plant shutdown and $1 million of environmental reserve adjustments for Specialty Additives.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key items during 2018 included $6 million of accelerated depreciation related to the termination of a contract at a manufacturing facility, $2 million of restructuring charges and $1 million of environmental reserve adjustments for Specialty Additives.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Specialty Additives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Performance Adhesives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Industrial Specialties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Accelerated depreciation</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Unplanned plant shutdown</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$38 million and $6 million for the years ended September 30, 2019 and 2018,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Intermediates and Solvents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Intermediates and Solvents’ sales for 2020 decreased $31 million to $129 million compared to 2019. Lower volume and lower pricing decreased sales by $19 million and $12 million, respectively.</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Operating income/loss for 2020 decreased $38 million to a loss of $10 million compared to 2019. Inventory control measures, lower volume and unfavorable costs decreased operating income by $9 million, $10 million and $19 million, respectively.</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EBITDA for 2020 decreased $37 million to $4 million compared to 2019, while Adjusted EBITDA decreased $28 million to $13 million. Adjusted EBITDA margin decreased 15.5 percentage points in 2020 to 10.1%.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Intermediates and Solvents sales for 2019 increased $5 million to $160 million compared to 2018. Higher volume increased sales by $6 million. This increase was partially offset by unfavorable foreign currency exchange which decreased sales by $1 million.</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Operating income 2019 increased $3 million to $28 million compared to 2018. Higher volume and price/mix increased operating income by $1 million and $5 million, respectively. Those increases were partially offset by unfavorable foreign currency exchange and higher costs which decreased operating income by $1 million and $2 million, respectively.</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increased $2 million to $41 million in 2019. EBITDA margin increased 0.4 percentage points in 2019 to 25.6%.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2020, 2019 and 2018 is provided as a means to enhance the understanding of financial measurements that Ashland has internally determined to be relevant measures of comparison for the results of Intermediates and Solvents.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Key items for 2020 included inventory control measures of $9 million. There were no unusual or key items that affected comparability for EBITDA during 2019 or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Intermediates &amp; Solvents</w:t>
            </w:r>
          </w:p>
        </w:tc>
        <w:tc>
          <w:tcPr>
            <w:tcW w:w="980" w:type="dxa"/>
            <w:vAlign w:val="bottom"/>
            <w:tcBorders>
              <w:top w:val="single" w:sz="8" w:color="auto"/>
              <w:bottom w:val="single" w:sz="8" w:color="auto"/>
            </w:tcBorders>
          </w:tcPr>
          <w:p>
            <w:pPr>
              <w:spacing w:after="0"/>
              <w:rPr>
                <w:sz w:val="21"/>
                <w:szCs w:val="21"/>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and other</w:t>
      </w:r>
    </w:p>
    <w:p>
      <w:pPr>
        <w:spacing w:after="0" w:line="121"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components of the Unallocated and other segment’s operating income (loss) for each of the last three years ended September 30.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Unallocated and other</w:t>
            </w: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520" w:type="dxa"/>
            <w:vAlign w:val="bottom"/>
            <w:gridSpan w:val="2"/>
            <w:shd w:val="clear" w:color="auto" w:fill="CFF0FC"/>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settlement/reserve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indemnity expense</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Proxy costs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Unallocated and other recorded expense of $129 million, $137 million and $261 million for 2020, 2019, and 2018, respectively. The charges for restructuring activities of $58 million, $87 million and $139 million during 2019, 2018 and 2017, respectively, were primarily comprised of the following items:</w:t>
      </w:r>
    </w:p>
    <w:p>
      <w:pPr>
        <w:spacing w:after="0" w:line="68" w:lineRule="exact"/>
        <w:rPr>
          <w:sz w:val="20"/>
          <w:szCs w:val="20"/>
          <w:color w:val="auto"/>
        </w:rPr>
      </w:pPr>
    </w:p>
    <w:p>
      <w:pPr>
        <w:ind w:left="800" w:hanging="401"/>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$42 million and $49 million of severance, lease abandonment and other restructuring costs related to company-wide cost reduction programs during 2020, 2019 and 2018, respectively;</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impairment related to the planned sale of an office building during 2019;</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and $59 million of stranded divestiture costs during 2019 and 2018, respectively;</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costs related to the separation of Valvoline during 2018;</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accelerated depreciation related to the closure of an office building during 2018; and</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integration costs related to the acquisition of Pharmachem during 2018.</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remaining items in 2020 also included $33 million for environmental expenses and $2 million for legal settlement reserves.</w:t>
      </w:r>
    </w:p>
    <w:p>
      <w:pPr>
        <w:spacing w:after="0" w:line="117" w:lineRule="exact"/>
        <w:rPr>
          <w:sz w:val="20"/>
          <w:szCs w:val="20"/>
          <w:color w:val="auto"/>
        </w:rPr>
      </w:pPr>
    </w:p>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The remaining items in 2019 primarily included $25 million for environmental expenses, $6 million for tax indemnity costs and $4 million in proxy defense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0" w:name="page61"/>
    <w:bookmarkEnd w:id="60"/>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remaining items in 2018 primarily included $58 million for environmental expenses, $50 million in governance and legacy costs, $14 million in asset impairment charges, $5 million income related to legal settlements and $5 million for tax indemnity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had $454 million in cash and cash equivalents as of September 30, 2020, of which $315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Tax Act enacted in 2018, Ashland may reassess this position as it pertains to future earnings.</w:t>
      </w:r>
    </w:p>
    <w:p>
      <w:pPr>
        <w:spacing w:after="0" w:line="7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has taken actions and may continue to take actions intended to increase its cash position and preserve financial flexibility in light of current uncertainty in global markets. In January 2020, Ashland renewed and extended its Revolving Credit Agreement through 2025 and issued new 2.00% senior notes in Europe for €500 million which mature in 2028. During the fiscal 2020, Ashland elected to access $80 million on its Revolving Credit Facility, with these amounts on deposit as cash and cash equivalents. As of September 30, 2020, Ashland has total remaining borrowing capacity of $500 million, comprised of amounts remaining available under the Revolving Credit Facility. Ashland has no significant maturities related to our term loans, revolving credit facilities or bonds until August 2022.</w:t>
      </w:r>
    </w:p>
    <w:p>
      <w:pPr>
        <w:spacing w:after="0" w:line="7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its liquidity and capital resources, please see Item 1A. Risk Factors in this report.</w:t>
      </w:r>
    </w:p>
    <w:p>
      <w:pPr>
        <w:spacing w:after="0" w:line="7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Ashland’s cash flows from operating, investing and financing activities, as reflected in the Statements of Consolidated Cash Flows,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17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211"/>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currency exchange rate changes on cash and</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3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126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5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paid income taxes of $91 million during 2020 compared to $67 million in 2019 and $77 million in 2018. Cash receipts for interest income were $1 million in 2020, $3 million in 2019 and $4 million in 2018, while cash payments for interest expense amounted to $77 million in 2020, $124 million in 2019 and $126 million in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operating activities for 2020, 2019 and 2018,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01"/>
        </w:trPr>
        <w:tc>
          <w:tcPr>
            <w:tcW w:w="586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flows provided (used) by operating activities from</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38"/>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1"/>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Original issue discount and debt issuance cost amortization</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Distributions from equity affiliates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 based compensation expense - Note P</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Excess tax benefits on stock based compensation</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from restricted investments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loss on acquisitions and divestitures - Notes B and C</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Pension contributions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pension and other postretirement plan remeasurements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 xml:space="preserve">Change in operating assets and liabilities </w:t>
            </w:r>
            <w:r>
              <w:rPr>
                <w:rFonts w:ascii="Times New Roman" w:cs="Times New Roman" w:eastAsia="Times New Roman" w:hAnsi="Times New Roman"/>
                <w:sz w:val="14"/>
                <w:szCs w:val="14"/>
                <w:color w:val="auto"/>
              </w:rPr>
              <w:t>(a)</w:t>
            </w:r>
          </w:p>
        </w:tc>
        <w:tc>
          <w:tcPr>
            <w:tcW w:w="8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05"/>
        </w:trPr>
        <w:tc>
          <w:tcPr>
            <w:tcW w:w="5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cash flows provided by operating activities from</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5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8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10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from continuing operations, a major source of Ashland’s liquidity, amounted to $313 million in 2020, $228 million in 2019 and $241 million in 2018.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Operating Assets and Liabilities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cash results during each year were primarily driven by net income, excluding discontinued operation results, adjusted for certain non-cash items including depreciation and amortization (including debt issuance cost amortization), losses on acquisitions and divestitures as well as changes in working capital, which are fluctuations within accounts receivable, inventory, trade payables and accrued expenses. Ashland continues to emphasize working capital management as a high priority and focus.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details certain changes in key operating assets and liabilities for 2020, 2019 and 2018,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from assets and liabilities </w:t>
            </w:r>
            <w:r>
              <w:rPr>
                <w:rFonts w:ascii="Times New Roman" w:cs="Times New Roman" w:eastAsia="Times New Roman" w:hAnsi="Times New Roman"/>
                <w:sz w:val="14"/>
                <w:szCs w:val="14"/>
                <w:b w:val="1"/>
                <w:bCs w:val="1"/>
                <w:color w:val="auto"/>
              </w:rPr>
              <w:t>(a)</w:t>
            </w:r>
          </w:p>
        </w:tc>
        <w:tc>
          <w:tcPr>
            <w:tcW w:w="1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7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w:t>
            </w:r>
          </w:p>
        </w:tc>
        <w:tc>
          <w:tcPr>
            <w:tcW w:w="176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2" w:name="page63"/>
    <w:bookmarkEnd w:id="62"/>
    <w:p>
      <w:pPr>
        <w:ind w:firstLine="394"/>
        <w:spacing w:after="0" w:line="282" w:lineRule="auto"/>
        <w:rPr>
          <w:sz w:val="20"/>
          <w:szCs w:val="20"/>
          <w:color w:val="auto"/>
        </w:rPr>
      </w:pPr>
      <w:r>
        <w:rPr>
          <w:rFonts w:ascii="Times New Roman" w:cs="Times New Roman" w:eastAsia="Times New Roman" w:hAnsi="Times New Roman"/>
          <w:sz w:val="18"/>
          <w:szCs w:val="18"/>
          <w:color w:val="auto"/>
        </w:rPr>
        <w:t>Changes in net working capital accounted for inflows of $22 million in 2020, compared to outflows of $45 million in 2019 and $18 million in 2018, and were driven by the following:</w:t>
      </w:r>
    </w:p>
    <w:p>
      <w:pPr>
        <w:spacing w:after="0" w:line="54" w:lineRule="exact"/>
        <w:rPr>
          <w:sz w:val="20"/>
          <w:szCs w:val="20"/>
          <w:color w:val="auto"/>
        </w:rPr>
      </w:pPr>
    </w:p>
    <w:p>
      <w:pPr>
        <w:ind w:left="800" w:hanging="401"/>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 Changes in accounts receivable resulted in inflows of $7 million and $38 million in 2020 and 2019, respectively, compared to cash outflows of $42 million in 2018, and were primarily related to sales volumes in each period.</w:t>
      </w:r>
    </w:p>
    <w:p>
      <w:pPr>
        <w:spacing w:after="0" w:line="5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 Changes in inventory resulted in cash inflows of $65 million in 2020 compared to cash outflows of $4 million in 2019 and $24 million in 2018 and were primarily driven by inventory management activities, including significant plant shut-downs in the fourth quarter of 2020.</w:t>
      </w:r>
    </w:p>
    <w:p>
      <w:pPr>
        <w:spacing w:after="0" w:line="67"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 Changes in trade and other payables resulted in cash outflows of $50 million and $79 million in 2020 and 2019, respectively, compared to cash inflows of $48 million in 2018, and primarily related to the timing of certain payments.</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remaining cash outflows of $3 million and $84 million for 2020 and 2019, respectively, and inflows of $43 million during 2018, were primarily due to income taxes paid or income tax refunds, interest paid, and adjustments to certain accruals and other long-term assets and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Summary</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Operating cash flows for 2020 included loss from continuing operations of $491 million, non-cash adjustments of $530 million for a goodwill impairment charge, $247 million for depreciation and amortization, $59 million loss on early retirement of debt, $15 million original issue discounts and debt issuance cost amortization and $43 million for deferred income taxes. Operating cash flows for 2020 also included non-cash adjustments of $14 million related for stock-based compensation expense and $30 million income from restricted investments.</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Operating cash flows for 2019 included income from continuing operations of $24 million, non-cash adjustments of $289 million for depreciation and amortization and $20 million for deferred income taxes. The adjustment for deferred income taxes during 2019 included the final adjustment related to the enactment of the Tax Act during 2018. Operating cash flows for 2019 also included non-cash adjustments of $8 million related to asset impairment charges, $7 million of net gains on pension and other postretirement plan remeasurements and $13 million for debt issuance cost amortization.</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Operating cash flows for 2018 included income from continuing operations of $19 million, non-cash adjustments of $277 million for depreciation and amortization and $100 million for deferred income taxes. The adjustment for deferred income taxes during 2018 was significantly higher compared to prior years due to the impact from the enactment of the Tax Act during 2018. Operating cash flows for 2018 also included non-cash adjustments of $16 million related to asset impairment charges, $14 million of net gains on pension and other postretirement plan remeasurements and $8 million for debt issuance cost amortization.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investing activities for 2020, 2019 and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01"/>
        </w:trPr>
        <w:tc>
          <w:tcPr>
            <w:tcW w:w="598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flows provided (used) by investing activities from</w:t>
            </w: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38"/>
        </w:trPr>
        <w:tc>
          <w:tcPr>
            <w:tcW w:w="5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7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2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operations - net of cash acquired</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or restructuring of operations</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settlement of Company-owned life insurance contracts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Company-owned life insurance payments</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purchases of funds restricted for specific transactions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Reimbursement from restricted investments</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securities</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settlement of derivative instruments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for the settlement of derivative instruments</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flows used by investing activities from continuing operations</w:t>
            </w:r>
          </w:p>
        </w:tc>
        <w:tc>
          <w:tcPr>
            <w:tcW w:w="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5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was $90 million in 2020 compared to $118 million and $174 million in 2019 and 2018, respectively. The significant cash investing activities for the current year primarily related to cash outflows of $138 million for capital expenditures. Additionally, there were reimbursements of $35 million from the restricted renewable annual asbestos trust and $9 million of proceeds from the sale of a manufacturing facility as well as post-closing adjustments.</w:t>
      </w:r>
    </w:p>
    <w:p>
      <w:pPr>
        <w:spacing w:after="0" w:line="72"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2019 year included cash outflows of $154 million for capital expenditures. Additionally, there were reimbursements of $32 million from the restricted renewable annual asbestos trust.</w:t>
      </w:r>
    </w:p>
    <w:p>
      <w:pPr>
        <w:spacing w:after="0" w:line="54"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The 2018 year included cash outflows of $157 million for capital expenditures, $39 million related to payments for a corporate-owned life insurance policy loan and $11 million for the purchase of Vornia Limited. Additionally, there were reimbursements of $33 million from the restricted renewable annual asbestos trust.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financing activities for 2020, 2019 and 2018,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01"/>
        </w:trPr>
        <w:tc>
          <w:tcPr>
            <w:tcW w:w="632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flows provided (used) by financing activities from</w:t>
            </w: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4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 on long-term debt repayment</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(repayment of) short-term debt</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based compensation employee withholding taxes paid in cash</w:t>
            </w:r>
          </w:p>
        </w:tc>
        <w:tc>
          <w:tcPr>
            <w:tcW w:w="3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cash flows provided (used) by financing activities from continuing operations</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M-27</w:t>
            </w: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4" w:name="page65"/>
    <w:bookmarkEnd w:id="64"/>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Cash provided (used) by financing activities was $9 million for 2020, $(1,149) million for 2019, and $(368) million for 2018. Significant cash financing activities for 2020 included proceeds from issuance of long-term debt, repayment of long-term debt, premiums paid on retirement of long-term debt, and debt issuance costs paid of $804 million, $767 million, $59 million and $11 million, respectively, all related to debt refinancing activity. See note I for additional information. 2020 also included short-term cash inflows of $115 million, primarily related to draws on the 2020 Revolving Credit Facility and cash dividends paid of $1.10 per share, for a total of $66 million.</w:t>
      </w:r>
    </w:p>
    <w:p>
      <w:pPr>
        <w:spacing w:after="0" w:line="7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Significant cash financing activities for 2019 included a cash outflow of $797 million for repayments of long-term debt, including $593 million for the full repayment of the term loan B facility, $195 million for the full repayment of the five-year term loan A facility, $5 million for repayments of the Series B – 9.35% Medium Term Notes, $3 million for repayments of the 4.75% Senior Notes due 2022, and $1 million for the 6.875% Senior Notes due 2043. 2019 also included short-term debt net repayments of $78 million related to the revolving credit facility, the accounts receivable securitization facilities and a short-term loan facility. The revolving credit facility and the outstanding balance of the three-year term loan A facility were repaid primarily using cash from repatriations. 2019 included cash dividends paid of $1.05 per share, for a total of $64 million.</w:t>
      </w:r>
    </w:p>
    <w:p>
      <w:pPr>
        <w:spacing w:after="0" w:line="7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Significant cash financing activities for 2018 included a cash outflow of $311 million for repayments of long-term debt, including $250 million for the full repayment of the three-year term loan A facility, $55 million for early repayments of the five-year term loan A facility and $6 million for repayments of the term loan B facility. Financing activities for 2018 also included short-term debt net proceeds of $15 million related to the revolving credit facility, the accounts receivable securitization facilities and a short-term loan facility. The revolving credit facility and the outstanding balance of the three-year term loan A facility were repaid primarily using cash from repatriations. 2018 included cash dividends paid of $0.95 per share, for a total of $60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(used) by discontinued operations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discontinued operations for 2020, 2019 and 2018,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 discontinued operations</w:t>
            </w:r>
          </w:p>
        </w:tc>
        <w:tc>
          <w:tcPr>
            <w:tcW w:w="1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w:t>
            </w:r>
          </w:p>
        </w:tc>
        <w:tc>
          <w:tcPr>
            <w:tcW w:w="19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cash flows</w:t>
            </w:r>
          </w:p>
        </w:tc>
        <w:tc>
          <w:tcPr>
            <w:tcW w:w="14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provided (used) by discontinued operations</w:t>
            </w:r>
          </w:p>
        </w:tc>
        <w:tc>
          <w:tcPr>
            <w:tcW w:w="1400" w:type="dxa"/>
            <w:vAlign w:val="bottom"/>
          </w:tcPr>
          <w:p>
            <w:pPr>
              <w:spacing w:after="0"/>
              <w:rPr>
                <w:sz w:val="19"/>
                <w:szCs w:val="19"/>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Cash flows for discontinued operations in 2020, 2019 and 2018 primarily related to net cash inflows of $98 million related to the sale of the Maleic business and $59 million cash outflows for tax payments associated with the sale of the Composites business and Marl facility in 2020 and $1 billion (which includes net proceeds from the completed sale of the Composites business (excluding the Maleic business) and Marl facility of $972 million) and $74 million related to the divestiture of the Composites business (including the Maleic business) and Marl facility in 2019 and 2018, respectively. The remaining cash flows for discontinued operations for these years related to other previously divested businesses, including net payments of asbestos and environmental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Free cash flow and other liquidity information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following represents Ashland’s calculation of free cash flow for the disclosed periods and reconciles free cash flow to cash flows provided by operating activities from continuing operations. Free cash flow does not reflect adjustments for certain non-discretionary cash flows such as mandatory debt repayments. See “Results of Operations - Consolidated Review - Use of non-GAAP measures” for additional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 from continuing operations</w:t>
            </w:r>
          </w:p>
        </w:tc>
        <w:tc>
          <w:tcPr>
            <w:tcW w:w="126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Free cash flows </w:t>
            </w:r>
            <w:r>
              <w:rPr>
                <w:rFonts w:ascii="Times New Roman" w:cs="Times New Roman" w:eastAsia="Times New Roman" w:hAnsi="Times New Roman"/>
                <w:sz w:val="14"/>
                <w:szCs w:val="14"/>
                <w:color w:val="auto"/>
              </w:rPr>
              <w:t>(a)</w:t>
            </w:r>
          </w:p>
        </w:tc>
        <w:tc>
          <w:tcPr>
            <w:tcW w:w="74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
        </w:trPr>
        <w:tc>
          <w:tcPr>
            <w:tcW w:w="5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$30 million, $61 million and $39 million of restructuring-related and separation payments during 2020, 2019 and 2018, respectively.</w:t>
      </w:r>
    </w:p>
    <w:p>
      <w:pPr>
        <w:spacing w:after="0" w:line="10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working capital (current assets minus current liabilities, excluding long-term debt due within one year) amounted to $734 million, compared to $676 million at the end of 2019. Liquid assets (cash, cash equivalents and accounts receivable) amounted to 114% of current liabilities at September 30, 2020 and 94% at September 30, 2019.</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summary reflects Ashland’s cash, investment securities and unused borrowing capacity as of September 30, 2020, 2019 and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5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w:t>
            </w:r>
          </w:p>
        </w:tc>
        <w:tc>
          <w:tcPr>
            <w:tcW w:w="2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2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r>
    </w:tbl>
    <w:p>
      <w:pPr>
        <w:spacing w:after="0" w:line="9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the current year, Ashland entered into a new revolving credit facility. The borrowing capacity remaining under the new $600 million revolving credit facility was $500 million due to an outstanding balance of $80 million and a reduction of $20 million for letters of credit outstanding at September 30, 2020. In total, Ashland’s available liquidity position, which includes cash, the revolving credit facilities and accounts receivable securitization facilities, was $954 million at September 30, 2020 as compared to $1,032 million at September 30, 2019 and $1,048 million at September 30, 2018. For further information, see Note I within the Notes to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summary reflects Ashland’s debt as of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top w:val="single" w:sz="8" w:color="auto"/>
              <w:bottom w:val="single" w:sz="8" w:color="auto"/>
            </w:tcBorders>
          </w:tcPr>
          <w:p>
            <w:pPr>
              <w:spacing w:after="0"/>
              <w:rPr>
                <w:sz w:val="21"/>
                <w:szCs w:val="21"/>
                <w:color w:val="auto"/>
              </w:rPr>
            </w:pPr>
          </w:p>
        </w:tc>
      </w:tr>
      <w:tr>
        <w:trPr>
          <w:trHeight w:val="22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18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and debt issuance cost discounts) </w:t>
            </w:r>
            <w:r>
              <w:rPr>
                <w:rFonts w:ascii="Times New Roman" w:cs="Times New Roman" w:eastAsia="Times New Roman" w:hAnsi="Times New Roman"/>
                <w:sz w:val="14"/>
                <w:szCs w:val="14"/>
                <w:color w:val="auto"/>
              </w:rPr>
              <w:t>(a)</w:t>
            </w:r>
          </w:p>
        </w:tc>
        <w:tc>
          <w:tcPr>
            <w:tcW w:w="1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6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1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6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Includes $15 million and $12 million of debt issuance cost discounts as of September 30, 2020 and 2019, respectively.</w:t>
      </w:r>
    </w:p>
    <w:p>
      <w:pPr>
        <w:spacing w:after="0" w:line="10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the current year, Ashland entered into a new credit facility, the 2020 Credit Agreement, which was comprised of a $600 million, 5-year credit facility and a $250 million 5-year term loan. Additionally, Ashland issued new 8-year Senior notes in Europe, for approximately $554 million. The proceeds of these debt issuances were primarily used to tender for $767 million of Senior notes. See Note I for more information.</w:t>
      </w:r>
    </w:p>
    <w:p>
      <w:pPr>
        <w:spacing w:after="0" w:line="68"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was zero at September 30, 2020. Debt as a percent of capital employed was 38% at September 30, 2020 and 32% at September 30, 2019. At September 30, 2020, Ashland’s total debt had an outstanding principal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balance of $1,910 million, discounts of $42 million and debt issuance costs of $15 million. The scheduled aggregate maturities of long-term debt for the next five fiscal years (including the current portion and excluding debt issuance costs) are as follows: zero in 2021, $421 million in 2022, $22 million in 2023, $44 million in 2024 and $175 million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During January 2020, Ashland LLC and Ashland Services B.V., indirect and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2020 Revolving Credit Facility) and (ii) a $250 million unsecured five-year term loan facility (the 2020 Term Loan Facility). The 2020 Credit Agreement is guaranteed by Ashland Global Holdings Inc. and Ashland Chemco Inc., and the obligations of Ashland Services B.V. under the 2020 Revolving Credit Facility are guaranteed by Ashland LLC. Proceeds of borrowings under the 2020 Revolving Credit Facility were used to refinance the Ashland’s existing 2017 Credit Agreement, to provide ongoing working capital and for other general corporate purposes. The proceeds under the 2020 Term Loan Facility were used to refinance a portion of Ashland’s outstanding 4.750% Senior Notes due 2022, 6.875% Senior Notes due 2043 and Hercules LLC’s 6.500% junior subordinated debentures.</w:t>
      </w:r>
    </w:p>
    <w:p>
      <w:pPr>
        <w:spacing w:after="0" w:line="8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At Ashland’s option, loans issued under the 2020 Credit Agreement bear interest at either LIBOR or an alternate base rate, in each case plus the applicable interest rate margin. Loans initially bear interest at LIBOR plus 1.375% per annum, in the case of LIBOR borrowings, or at the alternate base rate plus 0.375%, in the alternative, through and including the date of delivery of a quarterly compliance certificate and thereafter the interest rate will fluctuate between LIBOR plus 1.250% per annum and LIBOR plus 1.750% per annum (or between the alternate base rate plus 0.250% per annum and the alternate base rate plus 0.750% annum), based upon the consolidated net leverage ratio (as defined in the 2020 Credit Agreement) at such time. In addition, Ashland is initially required to pay fees of 0.20% per annum on the daily unused amount of the 2020 Revolving Facility through and including the date of delivery of a compliance certificate, and thereafter the fee rate will fluctuate between 0.15% and 0.30% per annum, based upon the consolidated net leverage ratio. The Credit Facilities may be prepaid at any time without premium. The term loan A (TLA) Facility will not amortize in each of the first and second years and will amortize at a rate of 5.0% per annum, 10% per annum and 20% per annum in the third, fourth and fifth years, respectively (payable in equal quarterly installments), with the outstanding balance of the TLA Facility to be paid on January 10, 2025.</w:t>
      </w:r>
    </w:p>
    <w:p>
      <w:pPr>
        <w:spacing w:after="0" w:line="86"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72"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either the effective interest method or straight-line method.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related to the 2017 Credit Agreement</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expense caption of the Statements of Consolidated Comprehensive Income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expense caption of the Statements of Consolidated Comprehensive Income (Loss).</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January 2020, Ashland entered into the 2020 Credit Agreement, replacing the 2017 Credit Agreement. As a result of the termination of the 2017 Credit Agreement, Ashland recognized a $1 million charge for accelerated amortization of previously capitalized debt issuance costs during 2020, which is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Issuance and existing notes tender</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w:t>
      </w:r>
    </w:p>
    <w:p>
      <w:pPr>
        <w:spacing w:after="0" w:line="75"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incurred $8 million of new debt issuance costs in connection with the 2028 Notes, which is amortized using the effective interest method over the Notes’ term.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2020 and 2019, Ashland repatriated approximately $576 million (including the proceeds of the 2020 senior notes due 2028) and $900 million, respectively, in cash that was primarily used to repay existing debt, principally portions of the 4.75% senior notes due 2022, the 6.875% senior notes due 2043 and the 6.5% junior notes in 2020 and the TLA Facility and TLB Facility in 2019 (as previously discussed).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4.750% notes due 2022</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4.750% notes due 2022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6.875% notes due 2043</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Tender offers of 6.500% Junior Subordinated Debentures due 2029</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the Term loan A due 2022</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the Term loan B due 2024</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 during 2019, which was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9.35% notes due 2019</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2019, Ashland redeemed all of its outstanding 9.35% medium term notes due 2019, of which approximately $5 million were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was used to pay for the redemption.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 of 4.750% notes due 2022 and 6.875% notes due 2043</w:t>
      </w:r>
    </w:p>
    <w:p>
      <w:pPr>
        <w:spacing w:after="0" w:line="119"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accounts receivable securitization</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2020, the available funding for qualified receivables under the accounts receivable securitization facility decreased from €115 million to €100 million.</w:t>
      </w:r>
    </w:p>
    <w:p>
      <w:pPr>
        <w:spacing w:after="0" w:line="7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9" w:name="page70"/>
    <w:bookmarkEnd w:id="69"/>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and 2019, the outstanding amount of accounts receivable transferred by Ashland to the Purchaser was $131 million and $133 million, respectively, and there were $93 million and $94 million, respectively, of borrowings (denominated in multiple currencies) under the facility. The weighted-average interest rate for this instrument was 1.2% for both 2020 and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accounts receivable securitization</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7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84"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During March 2020, the termination date of the accounts receivable securitization was extended from March 2020 to March 2021. The available funding for qualified receivables under the accounts receivable securitization facility increased from $100 million to $115 million, however this was decreased back to $100 million on August 30, 2019 in conjunction with the Composites and Marl facility divestiture. No other changes to the agreement are expected to have a significant impact to Ashland's results of operations and financial position.</w:t>
      </w:r>
    </w:p>
    <w:p>
      <w:pPr>
        <w:spacing w:after="0" w:line="8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and 2019, the outstanding amount of accounts receivable transferred by Ashland to CVG was $151 million and $147 million, respectively. There were $84 million of borrowings under the facility as of September 30, 2020, while Ashland had $50 million of borrowings under the facility as of September 30, 2019. The weighted-average interest rate for this instrument was 1.8% for 2020 and 3.3% for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At September 30, 2020 and 2019, Ashland held other debt totaling $81 million for each period, respectively, comprised primarily of a European short-term loan facility,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debt covenants restrictions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2020, Ashland was in compliance with all debt agreement covenant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Ashland’s most recent credit agreement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M-13. In general, consolidated indebtedness includes debt plus all purchase money indebtedness, banker’s acceptances and bank guaranties, deferred purchase price of property or services, attributable indebtedness and guarantees. At September 30, 2020, Ashland’s calculation of the consolidated net leverage ratio was 2.7.</w:t>
      </w:r>
    </w:p>
    <w:p>
      <w:pPr>
        <w:spacing w:after="0" w:line="86"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September 30, 2020, Ashland’s calculation of the consolidated interest coverage ratio was 7.6.</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Any change in Covenant Adjusted EBITDA of $100 million would have an approximate 0.4x effect on the consolidated net leverage ratio and a 1.5x effect on the consolidated interest coverage ratio. Any change in consolidated indebtedness of $100 million would affect the consolidated net leverage ratio by approximately 0.2x.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credit ratings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Ashland’s corporate credit ratings remained unchanged at BB+ by Standard &amp; Poor’s and Ba1 by Moody’s Investor Services. As of September 30, 2020, Moody’s Investor Services outlook remained at stable, while Standard &amp; Poor’s outlook remained at negative. Subsequent changes to these ratings or outlook may have an effect on Ashland’s borrowing rate or ability to access capital markets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cash projection</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Risk Factors in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Equity</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Total equity was $3,036 million and $3,571 million at September 30, 2020 and September 30, 2019, respectively. During 2020, there were increases of $27 million for deferred translation gains and $13 million for common shares issued under stock incentive plans. These increases were offset by decreases of $508 million from net loss and $67 million for dividends paid during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September 30, 2020, $800 million remained available for repurchase under this authorization.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Stock repurchase program agreements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dividends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 paid dividends per common share of $1.10, $1.05 and $0.95 during 2020, 2019 and 2018, respectively.</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and fourth quarters of fiscal 2019 and each quarter of fiscal 2020.</w:t>
      </w:r>
    </w:p>
    <w:p>
      <w:pPr>
        <w:spacing w:after="0" w:line="68"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and fourth quarters of fiscal 2018 and the first and second quarters of fiscal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Capital expenditures were $138 million for 2020 and averaged $150 million during the last three years. A summary of capital expenditures by reportable segment during 2020, 2019 and 2018 follow.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80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Specialties</w:t>
            </w:r>
          </w:p>
        </w:tc>
        <w:tc>
          <w:tcPr>
            <w:tcW w:w="2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Industrial Specialties</w:t>
            </w:r>
          </w:p>
        </w:tc>
        <w:tc>
          <w:tcPr>
            <w:tcW w:w="2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2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2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4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 summary of the capital employed in Ashland’s current operations, which is calculated by adding equity to capital investment, as of the end of the last two years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employed </w:t>
            </w:r>
            <w:r>
              <w:rPr>
                <w:rFonts w:ascii="Times New Roman" w:cs="Times New Roman" w:eastAsia="Times New Roman" w:hAnsi="Times New Roman"/>
                <w:sz w:val="14"/>
                <w:szCs w:val="14"/>
                <w:b w:val="1"/>
                <w:bCs w:val="1"/>
                <w:color w:val="auto"/>
              </w:rPr>
              <w:t>(a)</w:t>
            </w:r>
          </w:p>
        </w:tc>
        <w:tc>
          <w:tcPr>
            <w:tcW w:w="27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4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78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w:t>
            </w: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7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r>
      <w:tr>
        <w:trPr>
          <w:trHeight w:val="223"/>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7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3,152</w:t>
            </w:r>
          </w:p>
        </w:tc>
      </w:tr>
      <w:tr>
        <w:trPr>
          <w:trHeight w:val="223"/>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7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30"/>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7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7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2,257</w:t>
            </w:r>
          </w:p>
        </w:tc>
      </w:tr>
      <w:tr>
        <w:trPr>
          <w:trHeight w:val="228"/>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2740" w:type="dxa"/>
            <w:vAlign w:val="bottom"/>
          </w:tcPr>
          <w:p>
            <w:pPr>
              <w:spacing w:after="0"/>
              <w:rPr>
                <w:sz w:val="19"/>
                <w:szCs w:val="19"/>
                <w:color w:val="auto"/>
              </w:rPr>
            </w:pP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ind w:left="300" w:hanging="292"/>
        <w:spacing w:after="0" w:line="241" w:lineRule="auto"/>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assets and liabilities classified within unallocated and other which primarily includes debt and other long-term liabilities such as asbestos and pension. The net liability in unallocated and other was $1,945 million and $2,055 million as of September 30, 2020 and 2019, respectively. Additionally, net assets held for sale were $6 million and $52 million as of September 30, 2020 and 2019,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other commitments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aggregates Ashland’s obligations and commitments to make future payments under existing contracts at September 30,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for which the ultimate settlement of quantities or prices are not fixed and determinable have been excluded.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Less than</w:t>
            </w: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year</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 and service contract purchase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obligations </w:t>
            </w:r>
            <w:r>
              <w:rPr>
                <w:rFonts w:ascii="Times New Roman" w:cs="Times New Roman" w:eastAsia="Times New Roman" w:hAnsi="Times New Roman"/>
                <w:sz w:val="14"/>
                <w:szCs w:val="14"/>
                <w:color w:val="auto"/>
              </w:rPr>
              <w:t>(a)</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Employee benefit obligations </w:t>
            </w:r>
            <w:r>
              <w:rPr>
                <w:rFonts w:ascii="Times New Roman" w:cs="Times New Roman" w:eastAsia="Times New Roman" w:hAnsi="Times New Roman"/>
                <w:sz w:val="14"/>
                <w:szCs w:val="14"/>
                <w:color w:val="auto"/>
              </w:rPr>
              <w:t>(b)</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4"/>
                <w:szCs w:val="14"/>
                <w:color w:val="auto"/>
              </w:rPr>
              <w:t>(c)</w:t>
            </w: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14"/>
                <w:szCs w:val="14"/>
                <w:color w:val="auto"/>
              </w:rPr>
              <w:t>(d)</w:t>
            </w: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14"/>
                <w:szCs w:val="14"/>
                <w:color w:val="auto"/>
              </w:rPr>
              <w:t>(e)</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One-time transition tax </w:t>
            </w:r>
            <w:r>
              <w:rPr>
                <w:rFonts w:ascii="Times New Roman" w:cs="Times New Roman" w:eastAsia="Times New Roman" w:hAnsi="Times New Roman"/>
                <w:sz w:val="14"/>
                <w:szCs w:val="14"/>
                <w:color w:val="auto"/>
              </w:rPr>
              <w:t>(f)</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commitments</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Letters of credit </w:t>
            </w:r>
            <w:r>
              <w:rPr>
                <w:rFonts w:ascii="Times New Roman" w:cs="Times New Roman" w:eastAsia="Times New Roman" w:hAnsi="Times New Roman"/>
                <w:sz w:val="14"/>
                <w:szCs w:val="14"/>
                <w:color w:val="auto"/>
              </w:rPr>
              <w:t>(g)</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raw material and service contracts where minimal committed quantities and prices are fixed.</w:t>
      </w:r>
    </w:p>
    <w:p>
      <w:pPr>
        <w:spacing w:after="0" w:line="3" w:lineRule="exact"/>
        <w:rPr>
          <w:rFonts w:ascii="Times New Roman" w:cs="Times New Roman" w:eastAsia="Times New Roman" w:hAnsi="Times New Roman"/>
          <w:sz w:val="14"/>
          <w:szCs w:val="14"/>
          <w:color w:val="auto"/>
        </w:rPr>
      </w:pPr>
    </w:p>
    <w:p>
      <w:pPr>
        <w:ind w:left="300" w:right="20" w:hanging="292"/>
        <w:spacing w:after="0" w:line="221" w:lineRule="auto"/>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funding of Ashland’s qualified U.S. and non-U.S. pension plans for 2020 as well as projected benefit payments through 2029 under Ashland’s unfunded pension and other postretirement benefit plans. Excludes the benefit payments from the pension plan trust funds. See Note M of the Notes to Consolidated Financial Statements for additional information.</w:t>
      </w:r>
    </w:p>
    <w:p>
      <w:pPr>
        <w:ind w:left="300" w:hanging="292"/>
        <w:spacing w:after="0" w:line="221" w:lineRule="auto"/>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leases for office buildings, transportation equipment, warehouses and storage facilities and other equipment. For further information, see Note K of the Notes to Consolidated Financial Statements.</w:t>
      </w:r>
    </w:p>
    <w:p>
      <w:pPr>
        <w:ind w:left="300" w:hanging="292"/>
        <w:spacing w:after="0" w:line="221" w:lineRule="auto"/>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on both variable and fixed rate debt assuming no prepayments. Variable interest rates have been assumed to remain constant through the end of the term at rates that existed as of September 30, 2020.</w:t>
      </w:r>
    </w:p>
    <w:p>
      <w:pPr>
        <w:ind w:left="300" w:hanging="292"/>
        <w:spacing w:after="0" w:line="221" w:lineRule="auto"/>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5 years” column.</w:t>
      </w:r>
    </w:p>
    <w:p>
      <w:pPr>
        <w:ind w:left="300" w:hanging="292"/>
        <w:spacing w:after="0" w:line="221" w:lineRule="auto"/>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Tax Act enacted during fiscal year 2018, Ashland has currently recorded a $55 million liability for the one-time transition tax. This liability will be payable over six years.</w:t>
      </w:r>
    </w:p>
    <w:p>
      <w:pPr>
        <w:ind w:left="300" w:hanging="292"/>
        <w:spacing w:after="0"/>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issues various types of letters of credit as part of its normal course of business. For further information, see Note I of the Notes to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Ashland has reserved the approximate fair value of these guarantees in accordance with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For a discussion and analysis of recently issued accounting pronouncements and its impact on Ashland, see Note A of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long-lived assets (including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2020, such locations included 81 waste treatment or disposal sites where Ashland has been identified as a potentially responsible party under Superfund or similar state laws, 113 current and former operating facilities and about 1,225 service station properties, of which 25 are being actively remediated. See Note N of the Notes to Consolidated Financial Statements for additional information.</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$200 million at September 30, 2020 compared to $186 million at September 30, 2019 of which $150 million at September 30, 2020 and $143 million at September 30, 2019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2020 and 2019, Ashland’s recorded receivable for these probable insurance recoveries was $15 million and $13 million, respectively, of which $12 million, respectively, were classified in other noncurrent assets in the Consolidated Balance Sheets.</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2020, 2019 and 2018, Ashland recognized $48 million, $30 million and $60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$475 million. The largest reserve for any site is 14% of the remediation reserve.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has retained third party actuarial experts Nathan Associates, Inc. (Nathan). The methodology used by Nathan to project future asbestos costs is based largely on recent experience, including claim-filing and settlement rates, disease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18"/>
          <w:szCs w:val="18"/>
          <w:color w:val="auto"/>
        </w:rPr>
        <w:t>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N of the Notes to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2"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2020, it was determined that the liability for Ashland asbestos-related claims should be increased by $13 million. Total reserves for asbestos claims were $335 million at September 30, 2020 compared to $352 million at September 30,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At September 30, 2020, Ashland’s receivable for recoveries of litigation defense and claim settlement costs from insurers amounted to $103 million (excluding the Hercules receivable for asbestos claims). Receivables from insurers amounted to $123 million at September 30, 2019. During 2020, the annual update of the model used for purposes of valuing the asbestos reserve and its impact on valuation of future recoveries from insurers, was completed. This model update resulted in a $1 million increase in the receivable for probable insurance recoveries.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2020, it was determined that the liability for Hercules asbestos-related claims should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360"/>
        <w:spacing w:after="0" w:line="375" w:lineRule="auto"/>
        <w:rPr>
          <w:sz w:val="20"/>
          <w:szCs w:val="20"/>
          <w:color w:val="auto"/>
        </w:rPr>
      </w:pPr>
      <w:r>
        <w:rPr>
          <w:rFonts w:ascii="Times New Roman" w:cs="Times New Roman" w:eastAsia="Times New Roman" w:hAnsi="Times New Roman"/>
          <w:sz w:val="18"/>
          <w:szCs w:val="18"/>
          <w:color w:val="auto"/>
        </w:rPr>
        <w:t xml:space="preserve">decreased by $3 million. Total reserves for asbestos claims were $229 million at September 30, 2020 compared to $252 million at September 30, 2019. </w:t>
      </w:r>
      <w:r>
        <w:rPr>
          <w:rFonts w:ascii="Times New Roman" w:cs="Times New Roman" w:eastAsia="Times New Roman" w:hAnsi="Times New Roman"/>
          <w:sz w:val="18"/>
          <w:szCs w:val="18"/>
          <w:i w:val="1"/>
          <w:iCs w:val="1"/>
          <w:color w:val="auto"/>
        </w:rPr>
        <w:t>Hercules asbestos-related receivables</w:t>
      </w:r>
    </w:p>
    <w:p>
      <w:pPr>
        <w:spacing w:after="0" w:line="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 of September 30, 2020 and 2019, the receivables from insurers amounted to $47 million and $49 million, respectively. During 2020, the annual update of the model used for purposes of valuing the asbestos reserve and its impact on valuation of future recoveries from insurers was completed. This model update resulted in a $2 million decrease in the receivable for probable insurance recoveries.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$520 million for the Ashland asbestos-related litigation (current reserve of $335 million) and approximately $350 million for the Hercules asbestos-related litigation (current reserve of $229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assets</w:t>
      </w:r>
    </w:p>
    <w:p>
      <w:pPr>
        <w:spacing w:after="0" w:line="119"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Ashland reviews property, plant and equipment asset groups for impairment whenever events or changes in circumstances indicate the carrying amount of an asset may not be recoverable. Ashland monitors these changes and events on at least a quarterly basis. Examples of events or changes in circumstances could include, but are not limited to, a prolonged economic downturn, current period operating or cash flow losses combined with a history of losses or a forecast of continuing losses associated with the use of an asset group, or a current expectation that an asset group will be sold or disposed of before the end of its previously estimated useful life. Recoverability is based upon projections of anticipated future undiscounted cash flows associated with the use and eventual disposal of the property, plant and equipment asset groups, as well as specific appraisals in certain instances. Reviews occur at the lowest level for which identifiable cash flows are largely independent of cash flows associated with other property, plant and equipment asset groups. If the future undiscounted cash flows result in a value that is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less than the carrying value, then the long-lived asset is considered impaired and a loss is recognized based on the amount by which the carrying amount exceeds the estimated fair value. Various factors that Ashland uses in determining the impact of these assessments include the expected useful lives of long-lived assets and the ability to realize any undiscounted cash flows in excess of the carrying amounts of such asset groups, and are affected primarily by changes in the expected use of the assets, changes in technology or development of alternative assets, changes in economic conditions, changes in operating performance and changes in expected future cash flows. Because judgment is involved in determining the fair value of property, plant and equipment asset groups, there is risk that the carrying value of these assets may require adjustment in future periods.</w:t>
      </w:r>
    </w:p>
    <w:p>
      <w:pPr>
        <w:spacing w:after="0" w:line="7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Total depreciation expense on property, plant and equipment for 2020, 2019 and 2018 was $162 million, $199 million and $183 million, respectively. Depreciation expense for 2020, 2019 and 2018 included zero, $39 million and $14 million, respectively, in accelerated depreciation. Capitalized interest for 2020 was $2 million and zero for 2019 and 2018.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Finite-lived intangible assets principally consist of certain trademarks and trade names, intellectual property, and customer relationships.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w:t>
      </w:r>
    </w:p>
    <w:p>
      <w:pPr>
        <w:spacing w:after="0" w:line="75" w:lineRule="exact"/>
        <w:rPr>
          <w:sz w:val="20"/>
          <w:szCs w:val="20"/>
          <w:color w:val="auto"/>
        </w:rPr>
      </w:pPr>
    </w:p>
    <w:p>
      <w:pPr>
        <w:ind w:right="780" w:firstLine="394"/>
        <w:spacing w:after="0" w:line="375" w:lineRule="auto"/>
        <w:rPr>
          <w:sz w:val="20"/>
          <w:szCs w:val="20"/>
          <w:color w:val="auto"/>
        </w:rPr>
      </w:pPr>
      <w:r>
        <w:rPr>
          <w:rFonts w:ascii="Times New Roman" w:cs="Times New Roman" w:eastAsia="Times New Roman" w:hAnsi="Times New Roman"/>
          <w:sz w:val="18"/>
          <w:szCs w:val="18"/>
          <w:color w:val="auto"/>
        </w:rPr>
        <w:t xml:space="preserve">Amortization expense recognized on finite-lived intangible assets was $85 million for 2020, $86 million for 2019 and $93 million for 2018.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accounts for goodwill and other intangible assets acquired in a business combination in conformity with current accounting guidance which does not allow for goodwill and indefinite-lived intangible assets to be amortized.</w:t>
      </w:r>
    </w:p>
    <w:p>
      <w:pPr>
        <w:spacing w:after="0" w:line="5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 reviews goodwill for impairment annually as of July 1 or when events and circumstances indicate an impairment may have occurred. Ashland tests goodwill for impairment by comparing the estimated fair value of the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the business management. During the second quarter of fiscal 2020, Ashland realigned its operations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Intermediates and Solvents and Unallocated and Other. Prior to the business realignment, the reporting units consisted of Ashland Specialty Ingredients, Intermediates and Solvents and Unallocated and Other. The Ashland Specialty Ingredients reporting unit contained all of Ashland’s reported goodwill at September 30, 2019.</w:t>
      </w:r>
    </w:p>
    <w:p>
      <w:pPr>
        <w:spacing w:after="0" w:line="86"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long-term growth factors and weighted-average cost of capital. Management judgement is involved in estimating these variables, and they include inherent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8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tested goodwill for impairment for each reporting unit both immediately before and immediately after the business realignment during the second quarter of fiscal 2020. The fair values of the reporting units were determined using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combination of discounted cash flow models and valuations based on earnings multiples for guideline public companies in each reporting unit’s industry peer group.</w:t>
      </w:r>
    </w:p>
    <w:p>
      <w:pPr>
        <w:spacing w:after="0" w:line="5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Life Sciences and Performance Adhesives fair values were in excess of the carrying amounts by more than 10%. The carrying values of the Personal Care &amp; Household reporting unit and the Specialty Additives reporting unit exceeded the respective fair values, resulting in a non-cash goodwill impairment charge of $530 million, which was recorded within the Goodwill impairment caption within the Statement of Consolidated Comprehensive Income (Loss) for the year ended September 30, 2020. The Personal Care &amp; Household goodwill impairment charge was due in large part to lower growth and lower margins since the acquisitions of the Oral Care and Avoca businesses, including the loss of certain customers, which collectively have resulted in reduced cash flow projections. The Specialty Additives goodwill impairment charge was also due in large part to lower growth and lower margins within the global construction and energy end markets, which collectively have resulted in reduced cash flow projections.</w:t>
      </w:r>
    </w:p>
    <w:p>
      <w:pPr>
        <w:spacing w:after="0" w:line="8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 performed its annual goodwill impairment using the quantitative approach as of July 1, 2020 and concluded there was no impairment as of that date. Other than the Specialty Additives reporting unit, each of the Company’s reporting units exceeded business performance expectations as established during the interim goodwill impairment assessment performed in the second quarter of 2020. Specialty Additives results reflected the downward pressure on demand that adversely impacted results as the COVID-19 pandemic continued. The impairment test at July 1, 2020 concluded that the Life Science reporting unit and the Performance Adhesives reporting unit both had fair values significantly in excess of their respective carrying amounts. The Specialty Additives reporting unit fair value exceeded its carrying value by 12%, which reflects the impact of Ashland’s cost reduction initiatives and improved outlook as coatings and construction markets improve. Ashland compared the total fair values of the reporting units to Ashland’s market capitalization at July 1, 2020, including the implied control premium, to determine if the fair values are reasonable compared to external market indicators. Ashland believes its use of significant assumptions within its valuation models are reasonable estimates of likely future events. Subsequent to this annual impairment test, no additional indications of an impairment were identified.</w:t>
      </w:r>
    </w:p>
    <w:p>
      <w:pPr>
        <w:spacing w:after="0" w:line="8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Significant assumptions inherent in the valuation methodologies include estimates of future projected business results (principally revenue and EBITDA), long-term growth rates, and the weighted-average cost of capital. Ashland performed sensitivity analyses by using a range of inputs to confirm the reasonableness of long-term growth rate and weighted average cost of capital estimates. Significant assumptions utilized in the impairment analysis performed during the second quarter of 2020 included the weighted-average cost of capital, ranging between 9.0% and 10.5%, and terminal growth rate, ranging between 2.0% and 4.0% depending on the reporting unit. Significant assumptions utilized in the impairment analysis performed during the fourth quarter of 2020 included the weighted-average cost of capital, ranging between 9.0% and 11.5%, and terminal growth rate, ranging between 2.0% and 4.0% depending on the reporting unit. Specific to the Specialty Additives reporting unit, certain risk factor components within the weighted average cost of capital estimate were adjusted upward to factor business performance risk and continued risk in the future outlook. Based on sensitivity analysis performed on two key assumptions in the discounted cash flow model at July 1, 2020, a 1% decrease in the long-term growth factor assumption or a 1% increase in the weighted average cost of capital assumption across each of Ashland’s reporting units, including Specialty Additives, would not have resulted in a fair value below the respective reporting units carrying value. For further information, see Note H of Notes to the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indefinite-lived intangible assets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 Similar to its annual assessment for goodwill, Ashland performs a quantitative test for impairment.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When a quantitative analysis is performed, Ashland tests these assets using a “relief-from-royalty” valuation method to determine the fair value. Significant assumptions inherent in the valuation methodologies include, but are not limited to, future projected business results, growth rates, the weighted-average cost of capital for a market participant, and royalty and discount rates.</w:t>
      </w:r>
    </w:p>
    <w:p>
      <w:pPr>
        <w:spacing w:after="0" w:line="68"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In conjunction with the July 1 annual assessment of indefinite-lived intangible assets, Ashland’s quantitative approach models did not indicate any impairment, as each indefinite-lived intangible asset’s fair value exceeded their carrying values.</w:t>
      </w:r>
    </w:p>
    <w:p>
      <w:pPr>
        <w:spacing w:after="0" w:line="5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Significant assumptions inherent in the valuation methodologies include, but are not limited to, such estimates as future projected business results, growth rates, the weighted average cost of capital for a market participant, and royalty and discount rates. For further information, see Note H of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w:t>
      </w:r>
    </w:p>
    <w:p>
      <w:pPr>
        <w:spacing w:after="0" w:line="84"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8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EFFECTS OF INFLATION AND CHANGING PRICES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2020, Ashland’s monetary assets exceed its monetary liabilities, leaving it currently more exposed to the effects of future inflation. However, given the recent consistent stability of inflation in the United States in the past decade as well as forward economic outlooks, current inflationary pressures seem moderate.</w:t>
      </w:r>
    </w:p>
    <w:p>
      <w:pPr>
        <w:spacing w:after="0" w:line="7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 uses the LIFO method to value a relatively small portion of its inventories to provide a better matching of revenues with current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LIFO values such inventories below their replacement costs during inflationary periods.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94"/>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this Annual Report Form 10-K.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 of September 30, 2020 and 2019,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transact or have open any significant hedging contracts with respect to commodities or any related raw material requirements as of and for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1018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Management's report on internal control over financial reporting</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70"/>
        </w:trPr>
        <w:tc>
          <w:tcPr>
            <w:tcW w:w="1018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Reports of independent registered public accounting firm</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540"/>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60" w:type="dxa"/>
            <w:vAlign w:val="bottom"/>
          </w:tcPr>
          <w:p>
            <w:pPr>
              <w:spacing w:after="0"/>
              <w:rPr>
                <w:sz w:val="24"/>
                <w:szCs w:val="24"/>
                <w:color w:val="auto"/>
              </w:rPr>
            </w:pPr>
          </w:p>
        </w:tc>
      </w:tr>
      <w:tr>
        <w:trPr>
          <w:trHeight w:val="270"/>
        </w:trPr>
        <w:tc>
          <w:tcPr>
            <w:tcW w:w="10180" w:type="dxa"/>
            <w:vAlign w:val="bottom"/>
          </w:tcPr>
          <w:p>
            <w:pPr>
              <w:ind w:left="104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Statements of Consolidated Comprehensive Income (Loss)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70"/>
        </w:trPr>
        <w:tc>
          <w:tcPr>
            <w:tcW w:w="10180" w:type="dxa"/>
            <w:vAlign w:val="bottom"/>
          </w:tcPr>
          <w:p>
            <w:pPr>
              <w:ind w:left="104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Consolidated Balance Sheets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70"/>
        </w:trPr>
        <w:tc>
          <w:tcPr>
            <w:tcW w:w="10180" w:type="dxa"/>
            <w:vAlign w:val="bottom"/>
          </w:tcPr>
          <w:p>
            <w:pPr>
              <w:ind w:left="1040"/>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Statements of Consolidated Equity</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70"/>
        </w:trPr>
        <w:tc>
          <w:tcPr>
            <w:tcW w:w="10180" w:type="dxa"/>
            <w:vAlign w:val="bottom"/>
          </w:tcPr>
          <w:p>
            <w:pPr>
              <w:ind w:left="104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Statements of Consolidated Cash Flows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270"/>
        </w:trPr>
        <w:tc>
          <w:tcPr>
            <w:tcW w:w="10180" w:type="dxa"/>
            <w:vAlign w:val="bottom"/>
          </w:tcPr>
          <w:p>
            <w:pPr>
              <w:ind w:left="104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Notes to Consolidated Financial Statements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70"/>
        </w:trPr>
        <w:tc>
          <w:tcPr>
            <w:tcW w:w="10180" w:type="dxa"/>
            <w:vAlign w:val="bottom"/>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Quarterly financial information (unaudited)</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F-64</w:t>
            </w:r>
          </w:p>
        </w:tc>
      </w:tr>
      <w:tr>
        <w:trPr>
          <w:trHeight w:val="270"/>
        </w:trPr>
        <w:tc>
          <w:tcPr>
            <w:tcW w:w="10180" w:type="dxa"/>
            <w:vAlign w:val="bottom"/>
          </w:tcPr>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Five-year selected financial information (unaudited)</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75"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6"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2021 Annual Meeting.</w:t>
      </w:r>
    </w:p>
    <w:p>
      <w:pPr>
        <w:spacing w:after="0" w:line="7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Ashland’s internal control over financial reporting as of September 30, 2020. Management conducted its assessment utilizing the framework described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assessment, management believes that Ashland maintained effective internal control over financial reporting as of September 30, 2020.</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and reported on the Consolidated Financial Statements of Ashland Global Holdings Inc. and Consolidated Subsidiaries as of and for the year ended September 30, 2020 and the effectiveness of Ashland’s internal control over financial reporting as of September 30, 2020. The reports of the independent registered public accounting firm are contained in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Guillermo Novo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Guillermo Novo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Kevin Willis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Kevin Willis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3200"/>
        <w:spacing w:after="0" w:line="375"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Ashland Global Holdings Inc. and Consolidated Subsidiaries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Ashland Global Holdings Inc. and Consolidated Subsidiaries’ internal control over financial reporting as of September 30, 2020, based on criteria established in Internal Control—Integrated Framework issued by the Committee of Sponsoring Organizations of the Treadway Commission (2013 framework), (the COSO criteria). In our opinion, Ashland Global Holdings Inc. and Consolidated Subsidiaries (the Company) maintained, in all material respects, effective internal control over financial reporting as of September 30, 2020,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2020 and 2019, the related consolidated statements of comprehensive income (loss), equity and cash flows for each of the three years in the period ended September 30, 2020, and the related notes and our report dated November 23, 2020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left="1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Ashland Global Holdings Inc. and Consolidated Subsidiaries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Ashland Global Holdings Inc. and Consolidated Subsidiaries (the Company) as of September 30, 2020 and 2019, the related consolidated statements of comprehensive income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equity and cash flows for each of the three years in the period ended September 30, 2020, and the related notes (collectively referred to as the “consolidated financial statements”). In our opinion, the consolidated financial statements present fairly, in all material respects, the financial position of the Company at September 30, 2020 and 2019, and the results of its operations and its cash flows for each of the three years in the period ended September 30, 2020,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2020, based on criteria established in Internal Control-Integrated Framework issued by the Committee of Sponsoring Organizations of the Treadway Commission (2013 framework), and our report dated November 23, 2020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Environmental Remediation Reserves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2020, the reserves for environmental remediation amounted to $200 million. As discussed within Note N of the consolidated financial statements, the reserves for environmental remediation reflect Ashland’s estimates of the most likely costs that will be incurred over an extended period to remediate identified conditions for which the costs are reasonably estimable and probable of being incurred, without regard to any third-party recoveries. The Company uses engineering studies, historical experience and other factors to identify and evaluate remediation alternatives and their related costs in determining the estimated reserves for environmental remediation. Ashland regularly adjusts its reserves as environmental remediation continues.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environmental remediation reserve was complex due to inherent uncertainties that affect Ashland’s ability to estimate its share of the probable costs. Such uncertainties involve assumptions regarding the nature and extent of contamination at each site, the nature and extent of</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required cleanup efforts under existing environmental regulations, the duration and effectiveness of the chosen remedial strategy, and changes in environmental regulations.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controls over Ashland’s environmental remediation process. For example, we tested controls over the Company’s annual training process for the setting of reserves, management’s review of the assumptions used in determining the probability and the development of the environmental reserve estimates. We also tested management’s controls over the completeness and accuracy of the underlying data used in the reserve estimates.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environmental reserves, we performed audit procedures that included, among others: assessing the appropriateness of Ashland’s policies and procedures and testing the significant assumptions discussed above and the underlying data used by Ashland in its analysis. We obtained an understanding of the assumptions underlying the reserves through discussions with Ashland’s remediation project managers. We also involved our environmental reserve subject matter specialists to evaluate the reasonableness of management’s estimates, including consideration of information available on regulatory databases in the public domain that was assessed for possible contrary evidence. With the support of our environmental reserve subject matter specialists, we evaluated whether the method, models and assumptions utilized in estimating the reserve balances were appropriate based on testing of engineering studies and historical experience.</w:t>
      </w:r>
    </w:p>
    <w:p>
      <w:pPr>
        <w:spacing w:after="0" w:line="200" w:lineRule="exact"/>
        <w:rPr>
          <w:sz w:val="20"/>
          <w:szCs w:val="20"/>
          <w:color w:val="auto"/>
        </w:rPr>
      </w:pPr>
    </w:p>
    <w:p>
      <w:pPr>
        <w:sectPr>
          <w:pgSz w:w="11900" w:h="16838" w:orient="portrait"/>
          <w:cols w:equalWidth="0" w:num="2">
            <w:col w:w="1400" w:space="100"/>
            <w:col w:w="8880"/>
          </w:cols>
          <w:pgMar w:left="320" w:top="335" w:right="1199" w:bottom="1440" w:gutter="0" w:footer="0" w:header="0"/>
        </w:sectPr>
      </w:pPr>
    </w:p>
    <w:p>
      <w:pPr>
        <w:spacing w:after="0" w:line="31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Asbestos Litigation Reserve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2020, the reserves for asbestos litigation amounted to $564 million. As discussed within Note N of the consolidated financial statements, Ashland has liabilities from claims alleging personal injury caused by exposure to asbestos. Ashland retained third 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enacted legislation, open claims and litigation defense. Further, the claim experience identified is compared to the results of previously conducted third 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the Company’s third party actuarial experts.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Company’s asbestos litigation reserve is complex and highly judgmental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the mortality rates, and the dismissal rates. These assumptions have a significant effect on the asbestos litigation reserve.</w:t>
      </w:r>
    </w:p>
    <w:p>
      <w:pPr>
        <w:spacing w:after="0" w:line="183" w:lineRule="exact"/>
        <w:rPr>
          <w:sz w:val="20"/>
          <w:szCs w:val="20"/>
          <w:color w:val="auto"/>
        </w:rPr>
      </w:pPr>
    </w:p>
    <w:p>
      <w:pPr>
        <w:sectPr>
          <w:pgSz w:w="11900" w:h="16838" w:orient="portrait"/>
          <w:cols w:equalWidth="0" w:num="2">
            <w:col w:w="1300" w:space="200"/>
            <w:col w:w="8880"/>
          </w:cols>
          <w:pgMar w:left="320" w:top="335" w:right="119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335" w:right="1199" w:bottom="1440" w:gutter="0" w:footer="0" w:header="0"/>
          <w:type w:val="continuous"/>
        </w:sectPr>
      </w:pPr>
    </w:p>
    <w:bookmarkStart w:id="86" w:name="page87"/>
    <w:bookmarkEnd w:id="86"/>
    <w:p>
      <w:pPr>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asbestos litigation reserves process. These include controls over management's assessment of the assumptions utilized within the estimate, management’s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oversight of asbestos trends including claims movement and costs incurred, and the completeness and accuracy of the underlying data utilized to project future costs.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evaluate the reasonableness of the reserve for asbestos litigation,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experts as described above to determine the appropriateness of the asbestos litigation reserve, to independently prepare an estimated range of the liability. We then assessed the reasonableness of the Company's recorded reserve against our independently calculated range.</w:t>
      </w:r>
    </w:p>
    <w:p>
      <w:pPr>
        <w:spacing w:after="0" w:line="77" w:lineRule="exact"/>
        <w:rPr>
          <w:sz w:val="20"/>
          <w:szCs w:val="20"/>
          <w:color w:val="auto"/>
        </w:rPr>
      </w:pPr>
    </w:p>
    <w:p>
      <w:pPr>
        <w:sectPr>
          <w:pgSz w:w="11900" w:h="16838" w:orient="portrait"/>
          <w:cols w:equalWidth="0" w:num="2">
            <w:col w:w="1400" w:space="100"/>
            <w:col w:w="8880"/>
          </w:cols>
          <w:pgMar w:left="320" w:top="335" w:right="1199" w:bottom="1440" w:gutter="0" w:footer="0" w:header="0"/>
        </w:sectPr>
      </w:pPr>
    </w:p>
    <w:p>
      <w:pPr>
        <w:spacing w:after="0" w:line="21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Impairment Analyses of Goodwill of the Specialty Additives Reporting Unit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2020, goodwill was $1,758 million, and included $444 million related to the Specialty Additives reporting unit. As disclosed in Notes A and H to the consolidated financial statements, goodwill is tested for impairment annually on July 1 and whenever events or circumstances make it more likely than not that impairment may have occurred. During the second quarter of 2020, in connection with a change in reporting units, the Company recognized a partial impairment of $174 million related to its Specialty Additives reporting unit.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goodwill impairment assessments for the Specialty Additives reporting unit was complex due to the significant estimation required to determine the fair value of the reporting unit. The fair value of each reporting unit is based equally on the market approach using transaction multiples and the income approach using the present value of discounted future cash flows. The fair value estimate was sensitive to significant assumptions, such as revenue growth rates, the terminal growth rate, EBITDA margin, and the weighted average cost of capital, which are affected by expectations about future market or economic conditions.</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For example, we tested controls over management’s review of the significant judgmental assumptions, including revenue growth rates, the terminal growth rate, EBITDA margin, and the weighted average cost of capital.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Company’s goodwill impairment assessment for the Specialty Additives reporting unit, we performed audit procedures that included, among others, evaluating the estimated fair value of the Specialty Additives reporting unit, including evaluating methodologies used. We involved our specialists in the evaluation of the significant assumptions described above. We compared the significant assumptions used by management to current trends, recent historical performance and other factors. We assessed the historical accuracy of management’s estimates and performed sensitivity analyses of significant assumptions to evaluate the changes in the fair value of the reporting unit that would result from changes in the assumptions. We also tested the underlying data used by the Company in its analysis for completeness and accuracy.</w:t>
      </w:r>
    </w:p>
    <w:p>
      <w:pPr>
        <w:spacing w:after="0" w:line="200" w:lineRule="exact"/>
        <w:rPr>
          <w:sz w:val="20"/>
          <w:szCs w:val="20"/>
          <w:color w:val="auto"/>
        </w:rPr>
      </w:pPr>
    </w:p>
    <w:p>
      <w:pPr>
        <w:sectPr>
          <w:pgSz w:w="11900" w:h="16838" w:orient="portrait"/>
          <w:cols w:equalWidth="0" w:num="2">
            <w:col w:w="1400" w:space="100"/>
            <w:col w:w="8880"/>
          </w:cols>
          <w:pgMar w:left="320" w:top="335" w:right="1199" w:bottom="1440" w:gutter="0" w:footer="0" w:header="0"/>
          <w:type w:val="continuous"/>
        </w:sectPr>
      </w:pP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335" w:right="11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9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44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w:t>
            </w:r>
          </w:p>
        </w:tc>
      </w:tr>
      <w:tr>
        <w:trPr>
          <w:trHeight w:val="229"/>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1,619</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5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amortization expense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income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 - Note H</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5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expense - Note I</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 periodic benefit income - Note M</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on acquisitions and divestitures - Notes B and C</w:t>
            </w:r>
          </w:p>
        </w:tc>
        <w:tc>
          <w:tcPr>
            <w:tcW w:w="9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 (benefit) - Note L</w:t>
            </w:r>
          </w:p>
        </w:tc>
        <w:tc>
          <w:tcPr>
            <w:tcW w:w="9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 - Note D</w:t>
            </w:r>
          </w:p>
        </w:tc>
        <w:tc>
          <w:tcPr>
            <w:tcW w:w="9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5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 - NOTE A</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4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5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5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5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4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5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5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1"/>
        </w:trPr>
        <w:tc>
          <w:tcPr>
            <w:tcW w:w="57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(In millions)</w:t>
            </w:r>
          </w:p>
        </w:tc>
        <w:tc>
          <w:tcPr>
            <w:tcW w:w="6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2019</w:t>
            </w:r>
          </w:p>
        </w:tc>
      </w:tr>
      <w:tr>
        <w:trPr>
          <w:trHeight w:val="169"/>
        </w:trPr>
        <w:tc>
          <w:tcPr>
            <w:tcW w:w="776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Assets</w:t>
            </w:r>
          </w:p>
        </w:tc>
        <w:tc>
          <w:tcPr>
            <w:tcW w:w="6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20"/>
        </w:trPr>
        <w:tc>
          <w:tcPr>
            <w:tcW w:w="460" w:type="dxa"/>
            <w:vAlign w:val="bottom"/>
            <w:tcBorders>
              <w:top w:val="single" w:sz="8" w:color="auto"/>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1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2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454</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8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232</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receivable (a)</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481</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Inventories - Note A</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597</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assets held for sale - Note C</w:t>
            </w:r>
          </w:p>
        </w:tc>
        <w:tc>
          <w:tcPr>
            <w:tcW w:w="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w:t>
            </w:r>
          </w:p>
        </w:tc>
      </w:tr>
      <w:tr>
        <w:trPr>
          <w:trHeight w:val="209"/>
        </w:trPr>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current assets</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1,433</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 Note G</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3,265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3,165</w:t>
            </w:r>
          </w:p>
        </w:tc>
      </w:tr>
      <w:tr>
        <w:trPr>
          <w:trHeight w:val="216"/>
        </w:trPr>
        <w:tc>
          <w:tcPr>
            <w:tcW w:w="77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1,700</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1,588</w:t>
            </w:r>
          </w:p>
        </w:tc>
      </w:tr>
      <w:tr>
        <w:trPr>
          <w:trHeight w:val="209"/>
        </w:trPr>
        <w:tc>
          <w:tcPr>
            <w:tcW w:w="7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1,565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1,577</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Goodwill - Note H</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2,253</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Intangibles - Note H</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1,013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1,088</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assets, net - Note K</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investments - Note F</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Asbestos insurance receivable - Note N</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 - Note L</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r>
      <w:tr>
        <w:trPr>
          <w:trHeight w:val="216"/>
        </w:trPr>
        <w:tc>
          <w:tcPr>
            <w:tcW w:w="77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7"/>
                <w:szCs w:val="17"/>
                <w:color w:val="auto"/>
              </w:rPr>
              <w:t>Other assets - Note J</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394</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410</w:t>
            </w:r>
          </w:p>
        </w:tc>
      </w:tr>
      <w:tr>
        <w:trPr>
          <w:trHeight w:val="210"/>
        </w:trPr>
        <w:tc>
          <w:tcPr>
            <w:tcW w:w="7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noncurrent assets</w:t>
            </w:r>
          </w:p>
        </w:tc>
        <w:tc>
          <w:tcPr>
            <w:tcW w:w="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5,818</w:t>
            </w:r>
          </w:p>
        </w:tc>
      </w:tr>
      <w:tr>
        <w:trPr>
          <w:trHeight w:val="249"/>
        </w:trPr>
        <w:tc>
          <w:tcPr>
            <w:tcW w:w="77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6,877</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7,251</w:t>
            </w:r>
          </w:p>
        </w:tc>
      </w:tr>
      <w:tr>
        <w:trPr>
          <w:trHeight w:val="197"/>
        </w:trPr>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75"/>
        </w:trPr>
        <w:tc>
          <w:tcPr>
            <w:tcW w:w="77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Short-term debt - Note I</w:t>
            </w: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280</w:t>
            </w:r>
          </w:p>
        </w:tc>
        <w:tc>
          <w:tcPr>
            <w:tcW w:w="160" w:type="dxa"/>
            <w:vAlign w:val="bottom"/>
          </w:tcPr>
          <w:p>
            <w:pPr>
              <w:spacing w:after="0"/>
              <w:rPr>
                <w:sz w:val="18"/>
                <w:szCs w:val="18"/>
                <w:color w:val="auto"/>
              </w:rPr>
            </w:pPr>
          </w:p>
        </w:tc>
        <w:tc>
          <w:tcPr>
            <w:tcW w:w="620" w:type="dxa"/>
            <w:vAlign w:val="bottom"/>
            <w:gridSpan w:val="2"/>
          </w:tcPr>
          <w:p>
            <w:pPr>
              <w:jc w:val="right"/>
              <w:ind w:right="48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166</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313</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271</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operating lease obligations - Note K</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liabilities held for sale - Note C</w:t>
            </w:r>
          </w:p>
        </w:tc>
        <w:tc>
          <w:tcPr>
            <w:tcW w:w="6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7760" w:type="dxa"/>
            <w:vAlign w:val="bottom"/>
            <w:tcBorders>
              <w:top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813</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757</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debt - Note I</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1,573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1,501</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Asbestos litigation reserve - Note N</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555</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 - Note L</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264</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Employee benefit obligations - Note M</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150</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obligations - Note K</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7"/>
                <w:szCs w:val="17"/>
                <w:color w:val="auto"/>
              </w:rPr>
              <w:t>Other liabilities - Note J</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453</w:t>
            </w:r>
          </w:p>
        </w:tc>
      </w:tr>
      <w:tr>
        <w:trPr>
          <w:trHeight w:val="210"/>
        </w:trPr>
        <w:tc>
          <w:tcPr>
            <w:tcW w:w="7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3,028</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2,923</w:t>
            </w: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Commitments and contingencies - Notes K and N</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color w:val="auto"/>
              </w:rPr>
              <w:t>- Notes O and P</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Common stock, par value $.01 per share, 200 million shares authorized</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7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Issued 61 million and 60 million shares in 2020 and 2019</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Paid-in capital</w:t>
            </w:r>
          </w:p>
        </w:tc>
        <w:tc>
          <w:tcPr>
            <w:tcW w:w="6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756</w:t>
            </w: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2,649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3,224</w:t>
            </w:r>
          </w:p>
        </w:tc>
      </w:tr>
      <w:tr>
        <w:trPr>
          <w:trHeight w:val="216"/>
        </w:trPr>
        <w:tc>
          <w:tcPr>
            <w:tcW w:w="77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09"/>
        </w:trPr>
        <w:tc>
          <w:tcPr>
            <w:tcW w:w="7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equity</w:t>
            </w:r>
          </w:p>
        </w:tc>
        <w:tc>
          <w:tcPr>
            <w:tcW w:w="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3,036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3,571</w:t>
            </w:r>
          </w:p>
        </w:tc>
      </w:tr>
      <w:tr>
        <w:trPr>
          <w:trHeight w:val="209"/>
        </w:trPr>
        <w:tc>
          <w:tcPr>
            <w:tcW w:w="7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6,877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7,251</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Accounts receivable includes an allowance for doubtful accounts of $3 million at both September 30, 2020 and 2019.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Paid-in</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Retained</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comprehensive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income (loss)</w:t>
            </w:r>
          </w:p>
        </w:tc>
        <w:tc>
          <w:tcPr>
            <w:tcW w:w="54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4"/>
                <w:szCs w:val="14"/>
                <w:color w:val="auto"/>
                <w:w w:val="89"/>
              </w:rPr>
              <w:t>(a)</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2017</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540" w:type="dxa"/>
            <w:vAlign w:val="bottom"/>
            <w:gridSpan w:val="3"/>
            <w:shd w:val="clear" w:color="auto" w:fill="CFF0FC"/>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3,406</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$0.95 per common share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under stock incentive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 xml:space="preserve">and other plans </w:t>
            </w:r>
            <w:r>
              <w:rPr>
                <w:rFonts w:ascii="Times New Roman" w:cs="Times New Roman" w:eastAsia="Times New Roman" w:hAnsi="Times New Roman"/>
                <w:sz w:val="14"/>
                <w:szCs w:val="14"/>
                <w:color w:val="auto"/>
              </w:rPr>
              <w:t>(b) (c)</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2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3,406</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Adoption of new accounting pronouncements </w:t>
            </w:r>
            <w:r>
              <w:rPr>
                <w:rFonts w:ascii="Times New Roman" w:cs="Times New Roman" w:eastAsia="Times New Roman" w:hAnsi="Times New Roman"/>
                <w:sz w:val="14"/>
                <w:szCs w:val="14"/>
                <w:color w:val="auto"/>
              </w:rPr>
              <w:t>(d)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$1.05 per common share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under stock incentive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 xml:space="preserve">and other plans </w:t>
            </w:r>
            <w:r>
              <w:rPr>
                <w:rFonts w:ascii="Times New Roman" w:cs="Times New Roman" w:eastAsia="Times New Roman" w:hAnsi="Times New Roman"/>
                <w:sz w:val="14"/>
                <w:szCs w:val="14"/>
                <w:color w:val="auto"/>
              </w:rPr>
              <w:t>(b) (c)</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4"/>
                <w:szCs w:val="14"/>
                <w:color w:val="auto"/>
              </w:rPr>
              <w:t>(e)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3,571</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$1.10 per common share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under stock incentive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 xml:space="preserve">and other plans </w:t>
            </w:r>
            <w:r>
              <w:rPr>
                <w:rFonts w:ascii="Times New Roman" w:cs="Times New Roman" w:eastAsia="Times New Roman" w:hAnsi="Times New Roman"/>
                <w:sz w:val="14"/>
                <w:szCs w:val="14"/>
                <w:color w:val="auto"/>
              </w:rPr>
              <w:t>(b) (c)</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gridSpan w:val="2"/>
          </w:tcPr>
          <w:p>
            <w:pPr>
              <w:spacing w:after="0"/>
              <w:rPr>
                <w:sz w:val="17"/>
                <w:szCs w:val="17"/>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4"/>
        </w:trPr>
        <w:tc>
          <w:tcPr>
            <w:tcW w:w="5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bl>
    <w:p>
      <w:pPr>
        <w:spacing w:after="0" w:line="18" w:lineRule="exact"/>
        <w:rPr>
          <w:sz w:val="20"/>
          <w:szCs w:val="20"/>
          <w:color w:val="auto"/>
        </w:rPr>
      </w:pPr>
    </w:p>
    <w:p>
      <w:pPr>
        <w:ind w:left="300" w:hanging="292"/>
        <w:spacing w:after="0" w:line="233"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2020 and 2019, the accumulated other comprehensive loss of $383 million and $410 million, respectively, was comprised of net unrealized translation losses of $381 million and $408 million, respectively, and unrecognized prior service costs as a result of certain employee benefit plan amendments of $2 million and $2 million, respectively.</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tax expense resulting from the exercise of stock appreciation rights of $1 million each in 2020, 2019 and 2018.</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391,180, 336,188 and 360,468 for 2020, 2019 and 2018, respectively.</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accounting for equity securities and the tax effects of intercompany transfers during fiscal 2019. See note A for more information.</w:t>
      </w:r>
    </w:p>
    <w:p>
      <w:pPr>
        <w:ind w:left="300" w:hanging="292"/>
        <w:spacing w:after="0" w:line="233"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2,637,054 for 2019.</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187" w:lineRule="auto"/>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(In millions)</w:t>
            </w:r>
          </w:p>
        </w:tc>
        <w:tc>
          <w:tcPr>
            <w:tcW w:w="6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2020</w:t>
            </w: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2019</w:t>
            </w: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5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provided (used) by operating activities from continuing operations</w:t>
            </w:r>
          </w:p>
        </w:tc>
        <w:tc>
          <w:tcPr>
            <w:tcW w:w="6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4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tcPr>
          <w:p>
            <w:pPr>
              <w:spacing w:after="0"/>
              <w:rPr>
                <w:sz w:val="14"/>
                <w:szCs w:val="14"/>
                <w:color w:val="auto"/>
              </w:rPr>
            </w:pP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income from continuing operations to cash flows from operating activities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247</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Original issue discount and debt issuance cost amortization</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Distributions from equity affiliates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based compensation expense - Note P</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Excess tax benefits on stock based compensation</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early retirement of debt</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from restricted investments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(Income) loss on acquisitions and divestitures - Notes B and C</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Impairments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530</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Pension contributions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2"/>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on pension and other postretirement plan remeasurements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Change in operating assets and liabilities (a)</w:t>
            </w:r>
          </w:p>
        </w:tc>
        <w:tc>
          <w:tcPr>
            <w:tcW w:w="66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Total cash flows provided by operating activities from continuing operations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313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241</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provided (used) by investing activities from continuing operations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disposal of property, plant and equipment</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Purchase of operations - net of cash acquired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sale or restructuring of operations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settlement of Company-owned life insurance contracts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Company-owned life insurance payments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Net purchases of funds restricted for specific transactions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Reimbursement from restricted investments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securities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 of securities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settlement of derivative instruments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Payments for the settlement of derivative instruments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5"/>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Total cash flows used by investing activities from continuing operations</w:t>
            </w:r>
          </w:p>
        </w:tc>
        <w:tc>
          <w:tcPr>
            <w:tcW w:w="6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provided (used) by financing activities from continuing operations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804</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Premium on long-term debt repayment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(repayment of) short-term debt</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issuance costs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based compensation employee withholding taxes paid in cash</w:t>
            </w:r>
          </w:p>
        </w:tc>
        <w:tc>
          <w:tcPr>
            <w:tcW w:w="66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5"/>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Total cash flows provided (used) by financing activities from continuing operations</w:t>
            </w:r>
          </w:p>
        </w:tc>
        <w:tc>
          <w:tcPr>
            <w:tcW w:w="6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5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provided (used) by continuing operations</w:t>
            </w:r>
          </w:p>
        </w:tc>
        <w:tc>
          <w:tcPr>
            <w:tcW w:w="6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Cash provided (used) by discontinued operations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Operating cash flows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2"/>
        </w:trPr>
        <w:tc>
          <w:tcPr>
            <w:tcW w:w="6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Investing cash flows</w:t>
            </w:r>
          </w:p>
        </w:tc>
        <w:tc>
          <w:tcPr>
            <w:tcW w:w="6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967</w:t>
            </w: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5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cash provided (used) by discontinued operations</w:t>
            </w:r>
          </w:p>
        </w:tc>
        <w:tc>
          <w:tcPr>
            <w:tcW w:w="6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980</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2"/>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Effect of currency exchange rate changes on cash and cash equivalents</w:t>
            </w:r>
          </w:p>
        </w:tc>
        <w:tc>
          <w:tcPr>
            <w:tcW w:w="6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66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222</w:t>
            </w:r>
          </w:p>
        </w:tc>
        <w:tc>
          <w:tcPr>
            <w:tcW w:w="14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55"/>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year</w:t>
            </w:r>
          </w:p>
        </w:tc>
        <w:tc>
          <w:tcPr>
            <w:tcW w:w="6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5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end of year</w:t>
            </w:r>
          </w:p>
        </w:tc>
        <w:tc>
          <w:tcPr>
            <w:tcW w:w="12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454</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Changes in assets and liabilities (a)</w:t>
            </w:r>
          </w:p>
        </w:tc>
        <w:tc>
          <w:tcPr>
            <w:tcW w:w="6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12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Trade and other payables</w:t>
            </w: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6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Change in operating assets and liabilities</w:t>
            </w:r>
          </w:p>
        </w:tc>
        <w:tc>
          <w:tcPr>
            <w:tcW w:w="12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6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12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Global Holdings Inc. (Ashland) and its majority owned subsidiaries and, when applicable, entities for which Ashland has a controlling financial interest or is the primary beneficiary. For entities for which Ashland has a controlling financial interest but owns less than 100%, the outside stockholders’ interests are shown as noncontrolling interests. Investments in joint ventures and 20% to 50% owned affiliates where Ashland has the ability to exert significant influence are accounted for under the equity method. All intercompany transactions and balances have been eliminated. Additionally, certain prior period data, which includes the reclassification of Intangibles Amortization Expense as a separate component within operating expenses and changes in Ashland’s reportable segment and reporting unit structure, have been reclassified in the Consolidated Financial Statements and accompanying notes to conform to the current period presentation, as further described in this section.</w:t>
      </w:r>
    </w:p>
    <w:p>
      <w:pPr>
        <w:spacing w:after="0" w:line="8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On August 30, 2019, Ashland completed the sale of its Composites business (excluding Ashland’s maleic anhydride business (Maleic business)) and its butanediol facility in Marl, Germany (Marl facility). On September 30, 2020, Ashland completed the sale of its Maleic business to AOC Materials LLC (AOC). This disposal group represented a strategic shift in Ashland’s business and in accordance with U.S. GAAP, qualified as a discontinued operation. Accordingly, Composites (including the Maleic business) and the Marl facility assets, liabilities, operating results and cash flows for all periods presented have been classified as discontinued operations within the Consolidated Financial Statements. See Note D for additional information on the Composites business and Marl facility.</w:t>
      </w:r>
    </w:p>
    <w:p>
      <w:pPr>
        <w:spacing w:after="0" w:line="7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During fiscal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 greater ownership and accountability for both short- and long- term performance. Ashland has realigned its segment reporting structure commensurate with this organizational change. As a result, 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 For additional information, see Note 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risks and uncertainties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long-lived assets (including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maturing within three months after purchase.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records an allowance for doubtful accounts as a best estimate of the amount of probable credit losses for accounts receivable. Ashland reviews this allowance and considers factors such as customer credit, past transaction history with the customer and changes in customer payment terms when determining whether the collection of a receivable is reasonably assured. Past due balances over 90 days and over a specified amount are reviewed individually for collectability. The allowance for doubtful accounts is adjusted when it becomes probable a receivable will not be recovered.</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progression of activity in the allowance for doubtful accounts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 - beginning of year</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net income</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utilized</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 end of year</w:t>
            </w: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Inventories are primarily stated at cost using the weighted-average cost method. In addition, certain chemicals with a replacement cost of $47 million at September 30, 2020 and $66 million at September 30, 2019 are valued at cost using the last-in, first-out (LIFO) method. LIFO reserves were $3 million as of September 30, 2020.</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Ashland’s inventories as of the Consolidated Balance Sheet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90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80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2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r>
      <w:tr>
        <w:trPr>
          <w:trHeight w:val="20"/>
        </w:trPr>
        <w:tc>
          <w:tcPr>
            <w:tcW w:w="5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 progression of activity in the inventory reserves, which reduce the amounts of finished products and raw materials, supplies and work in process reported,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reserves - beginning of year</w:t>
            </w:r>
          </w:p>
        </w:tc>
        <w:tc>
          <w:tcPr>
            <w:tcW w:w="24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net income</w:t>
            </w:r>
          </w:p>
        </w:tc>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utilized</w:t>
            </w:r>
          </w:p>
        </w:tc>
        <w:tc>
          <w:tcPr>
            <w:tcW w:w="19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 - end of year</w:t>
            </w:r>
          </w:p>
        </w:tc>
        <w:tc>
          <w:tcPr>
            <w:tcW w:w="19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G for additional information related to property, plant and equipment.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Leasing arrangements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Effective October 1, 2019, Ashland adopted Accounting Standards Codification 842, Leases (“ASC 842”) using the modified retrospective method applied to those contracts that were not completed as of the date of adoption. ASC 842 consists of a comprehensive lease accounting standard requiring most leases to be recognized on the Consolidated Balance Sheet and significant new disclosures. Ashland determines if an arrangement contains a lease at inception based on whether or not it has the right to control the asset during the contract period and other facts and circumstances. Ashland elected the package of practical expedients permitted under the transition guidance within the new standard, which among other things, allowed it to carry forward the historical lease classification.</w:t>
      </w:r>
    </w:p>
    <w:p>
      <w:pPr>
        <w:spacing w:after="0" w:line="7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 and are expensed on a straight-line basis over the lease term within the Statements of Consolidated Comprehensive Income (Loss).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payments. When contracts contain lease and non-lease components, Ashland generally accounts for both components as a single lease component.</w:t>
      </w:r>
    </w:p>
    <w:p>
      <w:pPr>
        <w:spacing w:after="0" w:line="8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adoption of ASC 842 resulted in the recognition of right-of-use assets, net of prepaid lease payments, lease abandonments and lease incentives, of $164 million and operating lease liabilities of $174 million as of October 1, 2019. Results for reporting periods beginning prior to October 1, 2019 continue to be reported in accordance with our historical accounting treatment. The adoption of ASC 842 did not have a material impact on the Company’s results of operations, cash flows or debt covenants. For additional information, see Note K for additional information on leasing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which are defined as operating segments or groupings of businesses one level below the operating segment level.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75"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long-term growth factors and weighted-average cost of capital. Management judgement is involved in estimating these variables, and they include inherent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8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Ashland performs a quantitative goodwill impairment test for the trademarks and trade names during which, trademarks and trade names are valued using a “relief-from-royalty” valuation method compared to the carrying value. Significant assumptions inherent in the valuation methodologies include, but are not limited to, such estimates as future projected business results, growth rates, the weighted-average cost of capital for a market participant, and royalty and discount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4" w:name="page95"/>
    <w:bookmarkEnd w:id="94"/>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 The Intangibles Amortization Expense presented within the Statement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goodwill and other intangible assets, see Note H.</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The ineffective portion of the change in fair value of a hedge is recognized in income immediately. For additional information on derivative instruments, see Note F.</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On January 13, 2015, Ashland and Hercules LLC (formerly Hercules Incorporated), an indirect wholly-owned subsidiary of Ashland that was acquired in 2009,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During 2015, Ashland placed $335 million of the settlement funds into a renewable annual trust that Ashland determined is restricted for the purpose of paying ongoing and future litigation defense and claim settlement costs incurred in conjunction with asbestos claims. These funds are presented primarily as noncurrent assets, with $30 million and $24 million classified within other current assets in the Consolidated Balance Sheets as of September 30, 2020 and 2019, respectively.</w:t>
      </w:r>
    </w:p>
    <w:p>
      <w:pPr>
        <w:spacing w:after="0" w:line="84"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 of September 30, 2020 and 2019, the funds within the trust had a balance of $331 million and $334 million, respectively, and were primarily invested in public equity, U.S. government bonds and investment grade corporate bond investments with a portion maintained in demand deposits. The funds within the trust are classified as investment securities reported at fair value. Interest income and gains and losses on the investment securities are reported in the net interest and other expense caption in the Statements of Consolidated Comprehensive Income (Loss). See Note F for additional information regarding the fair value of these investments within the trust.</w:t>
      </w:r>
    </w:p>
    <w:p>
      <w:pPr>
        <w:spacing w:after="0" w:line="75"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Effective with the October 1, 2018 adoption of ASU 2014-09, “Revenue from Contracts with Customers (Topic 606),” and the associated ASUs (collectively, “Topic 606”), Ashland recognizes revenue when its customer obtains control of promised goods or services in an amount that reflects the consideration which Ashland expects to receive in exchange for those goods or services. To determine revenue recognition for the arrangements that Ashland determines are within the scope of Topic 606, Ashland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impact of Topic 606 adoption was not material to Ashland’s Consolidated Financial Statements. See Note Q for additional information.</w:t>
      </w:r>
    </w:p>
    <w:p>
      <w:pPr>
        <w:spacing w:after="0" w:line="8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In periods prior to the adoption of Topic 606, Ashland’s accounting policy was to recognize revenue when it was realized or realizable, and the earnings process was complete. Revenue for product sales was recognized as risk and title to the product transferred to the customer, which usually occurred at either the time shipment was made or received. Ashland’s terms of delivery were included in its contracts of sale, order confirmation documents and invoices.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recognition</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Cost of sales include material and production costs, as well as the costs of inbound and outbound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($2 million in 2020, and $4 million each in 2019 and 2018) and research and development costs ($64 million in 2020, $66 million in 2019 and $73 million in 2018) are expensed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Significant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future Global Intangible Low-Taxed Income (GILTI) exclusions in U.S. are recognized as a current period expense when incurred. Valuation allowances are established when necessary on a jurisdictional basis to reduce deferred tax assets to the amounts expected to be realized.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L.</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progression of activity in the tax valuation allowances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valuation allowances - beginning of year</w:t>
            </w:r>
          </w:p>
        </w:tc>
        <w:tc>
          <w:tcPr>
            <w:tcW w:w="28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income tax expense (benefit)</w:t>
            </w:r>
          </w:p>
        </w:tc>
        <w:tc>
          <w:tcPr>
            <w:tcW w:w="2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utilized</w:t>
            </w:r>
          </w:p>
        </w:tc>
        <w:tc>
          <w:tcPr>
            <w:tcW w:w="23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Tax valuation allowances - end of year</w:t>
            </w:r>
          </w:p>
        </w:tc>
        <w:tc>
          <w:tcPr>
            <w:tcW w:w="23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4360" w:type="dxa"/>
            <w:vAlign w:val="bottom"/>
          </w:tcPr>
          <w:p>
            <w:pPr>
              <w:spacing w:after="0"/>
              <w:rPr>
                <w:sz w:val="24"/>
                <w:szCs w:val="24"/>
                <w:color w:val="auto"/>
              </w:rPr>
            </w:pPr>
          </w:p>
        </w:tc>
        <w:tc>
          <w:tcPr>
            <w:tcW w:w="282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F-15</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Asbestos-related litigation</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retained Nathan Associates, Inc. (Nathan)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enacted legislation,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For additional information on asbestos-related litigation, see Note 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Liabilities are recorded at estimated cost values based on experience, assessments and current technology, without regard to any third-party recoveries and are regularly adjusted as environmental assessments and remediation efforts continue. For additional information on environmental remediation, see Note 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w:t>
      </w:r>
    </w:p>
    <w:p>
      <w:pPr>
        <w:spacing w:after="0" w:line="12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key assumptions that require significant judgment, including, but not limited to, estimates of discount rates, expected return on plan assets,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M.</w:t>
      </w:r>
    </w:p>
    <w:p>
      <w:pPr>
        <w:spacing w:after="0" w:line="8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Operations outside the United States are measured primarily using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Consistent with U.S. GAAP standards, adjustments to translate assets and liabilities into U.S. dollars are recorded in the stockholders’ equity section of the Consolidated Balance Sheets as a component of accumulated other comprehensive income and are included in net earnings only upon sale or substantial liquidation of the underlying foreign subsidiary or affiliated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recognizes compensation expense for stock incentive plans awarded to key employees and directors, primarily in the form of stock appreciation rights (SARs), restricted stock and restricted stock units, performance shares and other non-vested stock awards, that are generally based upon the grant-date fair value over the appropriate vesting period. Ashland utilizes several industry accepted valuation models to determine the fair value. For further information concerning stock incentive plans, see Note 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following is the computation of basic and diluted earnings per share (EPS) from continuing operations attributable to Ashland. Earnings per share are reported under the treasury stock method. Stock options and SARs for each reported year whose grant price was greater than the market price of Ashland Common Stock at the end of each fiscal year were not included in the computation of earnings per share from continuing operations per diluted share because the effect of these instruments would be antidilutive. The total number of these shares outstanding was 1.7 million for 2020, 1.0 million for 2019 and 0.7 million for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7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EPS -</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2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7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Share based awards convertible to common shares </w:t>
            </w:r>
            <w:r>
              <w:rPr>
                <w:rFonts w:ascii="Times New Roman" w:cs="Times New Roman" w:eastAsia="Times New Roman" w:hAnsi="Times New Roman"/>
                <w:sz w:val="14"/>
                <w:szCs w:val="14"/>
                <w:color w:val="auto"/>
              </w:rPr>
              <w:t>(a)</w:t>
            </w:r>
          </w:p>
        </w:tc>
        <w:tc>
          <w:tcPr>
            <w:tcW w:w="7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59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Denominator for diluted EPS - Adjusted weighted - average shares and</w:t>
            </w: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assumed conversions</w:t>
            </w:r>
          </w:p>
        </w:tc>
        <w:tc>
          <w:tcPr>
            <w:tcW w:w="7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300" w:hanging="292"/>
        <w:spacing w:after="0" w:line="261" w:lineRule="auto"/>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for 2020, the effect of approximately one million share-based awards convertible to common shares would be antidilutive. In accordance with US GAAP, they have been excluded from the diluted EPS calculation.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21" w:lineRule="exact"/>
        <w:rPr>
          <w:sz w:val="20"/>
          <w:szCs w:val="20"/>
          <w:color w:val="auto"/>
        </w:rPr>
      </w:pPr>
    </w:p>
    <w:p>
      <w:pPr>
        <w:ind w:right="20" w:firstLine="394"/>
        <w:spacing w:after="0" w:line="256" w:lineRule="auto"/>
        <w:rPr>
          <w:sz w:val="20"/>
          <w:szCs w:val="20"/>
          <w:color w:val="auto"/>
        </w:rPr>
      </w:pPr>
      <w:r>
        <w:rPr>
          <w:rFonts w:ascii="Times New Roman" w:cs="Times New Roman" w:eastAsia="Times New Roman" w:hAnsi="Times New Roman"/>
          <w:sz w:val="18"/>
          <w:szCs w:val="18"/>
          <w:color w:val="auto"/>
        </w:rPr>
        <w:t>In February 2018, the FASB issued guidance which permits entities to reclassify tax effects stranded in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became effective for Ashland on October 1, 2019. Ashland did not elect to reclassify the disproportionate amount in AOCI to retained earnings. Ashland estimated the impact of this guidance to be approximately $3 million. Ashland’s accounting policy for releasing income tax effects from AOCI is under the individual units of account method for items sold, terminated or extinguished from AOCI.</w:t>
      </w:r>
    </w:p>
    <w:p>
      <w:pPr>
        <w:spacing w:after="0" w:line="7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became effective for Ashland on October 1, 2019 and had no material impact on the Consolidated Financial Statements.</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will become effective for Ashland on October 1, 2020. Ashland does not expect that the guidance will have a material impact on the Consolidated Financial Statements.</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 October 2016, the FASB issued new accounting guidance which requires entities to recognize income tax effects of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less than $1 million from other current assets and deferred taxes to retained earnings.</w:t>
      </w:r>
    </w:p>
    <w:p>
      <w:pPr>
        <w:spacing w:after="0" w:line="75"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In January 2016, the FASB issued accounting guidance related to the recognition and measurement as well as the presentation and disclosures for certain financial instruments. Most notably, the guidance requires entities to measure equity investments as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period, the adoption of this guidance resulted in a significant impact to net income as Ashland recognized investment gains of $20 million and $7 million in 2020 and 2019, respectively, within the net interest and other expense caption on the Statement of Consolidated Comprehensive Income (Loss). The impact of this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F.</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Vornia Limited</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 January 2018, Ashland completed the acquisition of Vornia Limited for $12 million, of which $1 million was paid in 2019. Vornia Limited’s principal activity is the design, development and fabrication of customized biomaterial solutions. The purchase price allocation primarily included $8 million of intellectual property and $4 million of goodwill and has been included within the Life Sciences reportable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Composites and Marl facility</w:t>
      </w:r>
    </w:p>
    <w:p>
      <w:pPr>
        <w:spacing w:after="0" w:line="121"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On November 15, 2018, Ashland announced that it had signed a definitive agreement to sell its Composites segment and Intermediates and Solvents Marl facility to INEOS Enterprises (INEOS) in a transaction valued at $1.1 billion. Ashland retained the remaining Intermediates and Solvents facility in Lima, Ohio primarily for its own internal business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9" w:name="page100"/>
    <w:bookmarkEnd w:id="99"/>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 On August 30, 2019 Ashland completed the sale of its Composites business (excluding the Maleic business) and butanediol manufacturing facility in Marl, Germany to INEOS. Net proceeds from the sale were approximately $1 billion and were used primarily for debt reductions. Approximately $0.9 billion of debt had been retired by September 30, 2019. As a result of the sale, Ashland recognized a $372 million after-tax gain within the Statement of Consolidated Comprehensive Income (Loss) within the income from discontinued operations caption for the twelve months ended September 30, 2019.</w:t>
      </w:r>
    </w:p>
    <w:p>
      <w:pPr>
        <w:spacing w:after="0" w:line="7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On September 30, 2020, Ashland completed the sale of its Maleic business to AOC. Net proceeds from the sale were approximately $98 million. As a result of the sale, Ashland recognized a $29 million after-tax gain within the Statement of Consolidated Comprehensive Income (Loss) within the income from discontinued operations caption for the twelve months ended September 30, 2020.</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Since this disposal group signifies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Consolidated Cash Flows. See Note D of the Notes to Consolidated Financial Statements for the results of operations for Composites and the Marl facility, including the Maleic business, for all periods presented.</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$41 million and $46 million during the twelve months ended September 30, 2020, 2019, and 2018, respectively.</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 income of $15 and $1 million during the twelve months ended September 30, 2020 and 2019,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manufacturing facility sales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2020, Ashland entered into a definitive sale agreement to sell a Specialty Additives facility. This transaction is expected to close within the next twelve months and qualified as held for sale.</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During 2018, Ashland entered into a definitive sale agreement to sell a Specialty Additives facility and recognized a loss of $2 million before tax. The loss was reported within the net loss on acquisitions and divestitures caption within the Statement of Consolidated Comprehensive Income (Loss) for 2018.</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Ashland determined these transactions did not qualify for discontinued operations treatment since they did not represent a strategic shift that had or will have a major effect on Ashland’s operations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2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Ashland sometimes pursues options to divest corporate assets, primarily related to land and buildings. When these sales that are expected to close within the next 12 months, they are classified as held for sale. The net property, plant and equipment value related to these sites was zero and $6 million at September 30, 2020 and 2019, respectively. During 2019, a $5 million impairment charge was recorded within the selling, general and administrative expense caption of the Statement of Consolidated Comprehensive Income (Loss) for one of these corporate assets. During 2020, Ashland completed the sale of an office building with a net book value of $6 million and received net proceeds of $5 million. As a result, Ashland recognized a loss of $1 million before tax. The loss was reported within the net loss on acquisitions and divestitures caption within the Statement of Consolidated Comprehensive Income (Loss) for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Held for sale classification</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Maleic business, along with other corporate property and manufacturing facilities, have been reflected as assets and liabilities held for sale as described above. As a result, in accordance with U.S. GAAP standards, depreciation and amortization were not being recorded within the Statements of Consolidated Comprehensive Income (Loss) and the Consolidated Balance Sheets. These assets and liabilities are comprised of the following components: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7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74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7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4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74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DISCONTINUED OPERATIONS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6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 previously described in Note C, Ashland has completed the previously announced sale of its Composites business (excluding the Maleic business) and butanediol manufacturing facility in Marl, Germany to INEOS during 2019. Ashland also completed the sale its Maleic business to AOC during 2020. Ashland determined that this disposal group qualified as a discontinued operation, in accordance with U.S. GAAP, since it represented a strategic shift for Ashland and had a major effect on Ashland’s operations and financial results. Accordingly, the operating results and cash flows for the Composites business (including the Maleic business) and the Marl facility have been classified as discontinued operations within the Consolidated Financial Statements for all periods presented.</w:t>
      </w:r>
    </w:p>
    <w:p>
      <w:pPr>
        <w:spacing w:after="0" w:line="7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N for more information related to the adjustments on asbestos liabilities and receivables.</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2017, Ashland completed the IPO of Valvoline Inc. (Valvoline). Ashland determined that this sale qualified as a discontinued operation, in accordance with U.S. GAAP, since Ashland does not have significant continuing involvement in the Valvoline business. Ashland has made subsequent adjustments to the discontinued operations caption related to the separation.</w:t>
      </w:r>
    </w:p>
    <w:p>
      <w:pPr>
        <w:spacing w:after="0" w:line="68"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During 2014, Ashland completed the sale of the Ashland Water Technologies (Water Technologies) business. Ashland determined that this sale qualified as a discontinued operation, in accordance with U.S. GAAP, since Ashland does not have significant continuing involvement in the Water Technologies business. Ashland has made subsequent adjustments to the discontinued operations caption related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01" w:name="page102"/>
    <w:bookmarkEnd w:id="101"/>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 operation, in accordance with U.S. GAAP, since Ashland does not have significant continuing involvement in the Distribution business. Ashland has made subsequent adjustments to the discontinued operations caption related to the sale.</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 Components of amounts reflected in the Statements of Consolidated Comprehensive Income (Loss) related to discontinued operations are presented in the following table for each of the years ended September 30.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12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Valvoline</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 on disposal of discontinued operations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7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(expense) related to income (loss) from discontinued operations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Valvoline</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Water Technologies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Distribution</w:t>
            </w:r>
          </w:p>
        </w:tc>
        <w:tc>
          <w:tcPr>
            <w:tcW w:w="7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related to gain on disposal of discontinued operations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Composites/Marl facility</w:t>
            </w:r>
          </w:p>
        </w:tc>
        <w:tc>
          <w:tcPr>
            <w:tcW w:w="7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taxes)</w:t>
            </w:r>
          </w:p>
        </w:tc>
        <w:tc>
          <w:tcPr>
            <w:tcW w:w="7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Composites and Marl divestiture</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following table presents a reconciliation of the captions within Ashland’s Statements of Consolidated Income (Loss) for the income (loss) from discontinued operations attributable to the Composites business and the Marl facility disposal group for each of the years ended September 30. Interest expense was allocated to discontinued operations based on Ashland’s mandatory debt prepayments upon the disposition of the Composites business and the Marl facility. The Maleic business, which was sold during 2020 to AOC, was operated under the Composites business and Marl facility disposal group, and is therefore reported in discontinued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3"/>
        </w:trPr>
        <w:tc>
          <w:tcPr>
            <w:tcW w:w="5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01"/>
        </w:trPr>
        <w:tc>
          <w:tcPr>
            <w:tcW w:w="556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Income(loss) from discontinued operations attributable to</w:t>
            </w: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3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Composites/Marl facility disposal group</w:t>
            </w:r>
          </w:p>
        </w:tc>
        <w:tc>
          <w:tcPr>
            <w:tcW w:w="1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29"/>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r>
      <w:tr>
        <w:trPr>
          <w:trHeight w:val="230"/>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Equity and other income</w:t>
            </w:r>
          </w:p>
        </w:tc>
        <w:tc>
          <w:tcPr>
            <w:tcW w:w="1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Pretax operating income of discontinued operations</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interest and other financing expense</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net periodic benefit income (costs)</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on acquisitions and divestitures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1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Company-wide restructuring activities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restructuring costs</w:t>
      </w:r>
    </w:p>
    <w:p>
      <w:pPr>
        <w:spacing w:after="0" w:line="31" w:lineRule="exact"/>
        <w:rPr>
          <w:sz w:val="20"/>
          <w:szCs w:val="20"/>
          <w:color w:val="auto"/>
        </w:rPr>
      </w:pPr>
    </w:p>
    <w:p>
      <w:pPr>
        <w:jc w:val="both"/>
        <w:ind w:firstLine="394"/>
        <w:spacing w:after="0" w:line="260" w:lineRule="auto"/>
        <w:rPr>
          <w:sz w:val="20"/>
          <w:szCs w:val="20"/>
          <w:color w:val="auto"/>
        </w:rPr>
      </w:pPr>
      <w:r>
        <w:rPr>
          <w:rFonts w:ascii="Times New Roman" w:cs="Times New Roman" w:eastAsia="Times New Roman" w:hAnsi="Times New Roman"/>
          <w:sz w:val="18"/>
          <w:szCs w:val="18"/>
          <w:color w:val="auto"/>
        </w:rPr>
        <w:t>During 2020, Ashland incurred severance expense of $51 million, attributable to executive management changes and business management changes within the organization. As of September 30, 2020, the severance reserve associated with this transition was $39 million.</w:t>
      </w:r>
    </w:p>
    <w:p>
      <w:pPr>
        <w:spacing w:after="0" w:line="73"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details at September 30, 2020, the amount of restructuring severance reserves related to this program. The severance reserves were primarily recorded within accrued expenses and other liabilities in the Condensed Consolidated Balance Sheet as of September 30,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2019 plant restructuring costs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2019, Specialty Additives committed to a cost reduction plan within an existing manufacturing facility. As a result, Ashland incurred restructuring charges of $47 million for 2019. The charges were recorded primarily within the cost of sales caption of the Statements of Consolidated Comprehensive Income (Loss) consisting of $38 million of accelerated depreciation and amortization, $5 million of severance and $4 million of plant closure costs during 2019. As of September 30, 2020, there was no restructuring reserve related to this plant restructuring as this program has been completed.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Fiscal 2018 restructuring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costs</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During 2018, Ashland announced and initiated a company-wide restructuring program as a result of ongoing strategic asset plans and activities. As part of this restructuring program, Ashland announced a voluntary severance offer (VSO) to certain qualifying employees that were formally approved during 2018. Additionally, during 2018, an involuntary program for employees was also initiated as part of the restructuring program. The VSO and involuntary programs resulted in expense of $1 million, $6 million and $36 million being recognized during 2020, 2019 and 2018, respectively, which were primarily recorded within the selling, general and administrative expense caption of the Statements of Consolidated Comprehensive Income (Loss). As of September 30, 2020, the severance reserve for the company-wide restructuring program was zero as this program has been completed.</w:t>
      </w:r>
    </w:p>
    <w:p>
      <w:pPr>
        <w:spacing w:after="0" w:line="7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details at September 30, 2020, the amount of restructuring reserves related to the activity discussed above. The severance reserves were primarily included in accrued expenses and other liabilities in the Consolidated Balance Sheet as of September 30,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3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2018</w:t>
            </w:r>
          </w:p>
        </w:tc>
        <w:tc>
          <w:tcPr>
            <w:tcW w:w="37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33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3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33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2018, Ashland incurred $16 million of asset impairment charges primarily related to restructuring activities which were recorded within the selling, general and administrative expense caption of the Statements of Consolidated Comprehensive Income (Loss). Of these impairment charges, $12 million was related to the sale of an office facility. Consistent with historical policies and U.S. GAAP provisions, Ashland recognized the building at fair value using Level 2 nonrecurring fair value measurements.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FAIR VALUE MEASUREMENTS</w:t>
      </w:r>
    </w:p>
    <w:p>
      <w:pPr>
        <w:spacing w:after="0" w:line="121" w:lineRule="exact"/>
        <w:rPr>
          <w:sz w:val="20"/>
          <w:szCs w:val="20"/>
          <w:color w:val="auto"/>
        </w:rPr>
      </w:pPr>
    </w:p>
    <w:p>
      <w:pPr>
        <w:jc w:val="both"/>
        <w:ind w:right="20" w:firstLine="394"/>
        <w:spacing w:after="0" w:line="256" w:lineRule="auto"/>
        <w:rPr>
          <w:sz w:val="20"/>
          <w:szCs w:val="20"/>
          <w:color w:val="auto"/>
        </w:rPr>
      </w:pPr>
      <w:r>
        <w:rPr>
          <w:rFonts w:ascii="Times New Roman" w:cs="Times New Roman" w:eastAsia="Times New Roman" w:hAnsi="Times New Roman"/>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4" w:name="page105"/>
    <w:bookmarkEnd w:id="104"/>
    <w:p>
      <w:pPr>
        <w:ind w:firstLine="394"/>
        <w:spacing w:after="0" w:line="261" w:lineRule="auto"/>
        <w:rPr>
          <w:sz w:val="20"/>
          <w:szCs w:val="20"/>
          <w:color w:val="auto"/>
        </w:rPr>
      </w:pPr>
      <w:r>
        <w:rPr>
          <w:rFonts w:ascii="Times New Roman" w:cs="Times New Roman" w:eastAsia="Times New Roman" w:hAnsi="Times New Roman"/>
          <w:sz w:val="18"/>
          <w:szCs w:val="18"/>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w:t>
      </w:r>
    </w:p>
    <w:p>
      <w:pPr>
        <w:jc w:val="both"/>
        <w:ind w:firstLine="8"/>
        <w:spacing w:after="0" w:line="255" w:lineRule="auto"/>
        <w:tabs>
          <w:tab w:leader="none" w:pos="1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78"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2020. For additional information on fair value hierarchy measurements of pension plan asset holdings, see Note M.</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Quoted prices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in active</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Significant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markets for</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Significant</w:t>
            </w: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identical</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observable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unobservable</w:t>
            </w: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Carrying</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Total fair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inputs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inputs</w:t>
            </w:r>
          </w:p>
        </w:tc>
      </w:tr>
      <w:tr>
        <w:trPr>
          <w:trHeight w:val="22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Level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Level 2</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Level 3</w:t>
            </w: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454</w:t>
            </w: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454</w:t>
            </w:r>
          </w:p>
        </w:tc>
        <w:tc>
          <w:tcPr>
            <w:tcW w:w="14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investments (a)</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Investments of captive insurance company (b)</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currency derivatives</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5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795</w:t>
            </w:r>
          </w:p>
        </w:tc>
        <w:tc>
          <w:tcPr>
            <w:tcW w:w="1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795</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794</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6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currency derivatives</w:t>
            </w:r>
          </w:p>
        </w:tc>
        <w:tc>
          <w:tcPr>
            <w:tcW w:w="8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$30 million within other current assets in the Consolidated Balance Sheets.</w:t>
      </w:r>
    </w:p>
    <w:p>
      <w:pPr>
        <w:spacing w:after="0" w:line="3"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Quoted prices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in active</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Significant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markets for</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Significant</w:t>
            </w: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identical</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observable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unobservable</w:t>
            </w:r>
          </w:p>
        </w:tc>
      </w:tr>
      <w:tr>
        <w:trPr>
          <w:trHeight w:val="216"/>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Carrying</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Total fair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inputs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inputs</w:t>
            </w:r>
          </w:p>
        </w:tc>
      </w:tr>
      <w:tr>
        <w:trPr>
          <w:trHeight w:val="22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Level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Level 2</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Level 3</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232</w:t>
            </w:r>
          </w:p>
        </w:tc>
        <w:tc>
          <w:tcPr>
            <w:tcW w:w="4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Restricted investments (a)</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Investments of captive insurance company (b)</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derivatives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derivatives</w:t>
            </w:r>
          </w:p>
        </w:tc>
        <w:tc>
          <w:tcPr>
            <w:tcW w:w="8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$24 million within other current assets in the Consolidated Balance Sheets.</w:t>
      </w:r>
    </w:p>
    <w:p>
      <w:pPr>
        <w:spacing w:after="0" w:line="3"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Restricted investments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 discussed in Note A, Ashland maintains certain investments in a company restricted renewable annual trust for the purpose of paying future asbestos indemnity and defense costs. The financial instruments are designated as investment securities, classified as Level 1 measurements within the fair value hierarchy. These securities were classified primarily as noncurrent restricted investment assets, with $30 million classified within other current assets, in the Consolidated Balance Sheets. Fiscal 2019 included a portfolio rebalancing between equity and bond funds held within the portfolio resulting in significant purchases and sales of investment securities totaling $348 million each.</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summary of the activity within the investment securities portfolio as of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82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adjustments, net</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cost, beginning of year </w:t>
            </w:r>
            <w:r>
              <w:rPr>
                <w:rFonts w:ascii="Times New Roman" w:cs="Times New Roman" w:eastAsia="Times New Roman" w:hAnsi="Times New Roman"/>
                <w:sz w:val="14"/>
                <w:szCs w:val="14"/>
                <w:color w:val="auto"/>
              </w:rPr>
              <w:t>(a)</w:t>
            </w: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4"/>
                <w:szCs w:val="14"/>
                <w:color w:val="auto"/>
              </w:rPr>
              <w:t>(b)</w:t>
            </w:r>
          </w:p>
        </w:tc>
        <w:tc>
          <w:tcPr>
            <w:tcW w:w="6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unrealized gain </w:t>
            </w:r>
            <w:r>
              <w:rPr>
                <w:rFonts w:ascii="Times New Roman" w:cs="Times New Roman" w:eastAsia="Times New Roman" w:hAnsi="Times New Roman"/>
                <w:sz w:val="14"/>
                <w:szCs w:val="14"/>
                <w:color w:val="auto"/>
              </w:rPr>
              <w:t>(c)</w:t>
            </w: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Realized gain </w:t>
            </w:r>
            <w:r>
              <w:rPr>
                <w:rFonts w:ascii="Times New Roman" w:cs="Times New Roman" w:eastAsia="Times New Roman" w:hAnsi="Times New Roman"/>
                <w:sz w:val="14"/>
                <w:szCs w:val="14"/>
                <w:color w:val="auto"/>
              </w:rPr>
              <w:t>(c)</w:t>
            </w:r>
          </w:p>
        </w:tc>
        <w:tc>
          <w:tcPr>
            <w:tcW w:w="6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funds</w:t>
            </w: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77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adjusted cost of the demand deposit includes accumulated investment income, realized gains, disbursements and settlements recorded in previous periods.</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income relates to the demand deposit and includes interest income as well as dividend income transferred from the equity and fixed income mutual funds.</w:t>
      </w:r>
    </w:p>
    <w:p>
      <w:pPr>
        <w:ind w:left="300" w:hanging="292"/>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under the original cost method.</w:t>
      </w: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gross unrealized gains and losses for the available-for-sale securities as of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34"/>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Adjusted Cost</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Unrealized Gain</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Unrealized Loss</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Income Fund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Income Fund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 income, net unrealized gains and losses, realized gains and disbursements related to the investments within the portfolio during 2020, 2019 and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6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7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unrealized gains (losses) </w:t>
            </w:r>
            <w:r>
              <w:rPr>
                <w:rFonts w:ascii="Times New Roman" w:cs="Times New Roman" w:eastAsia="Times New Roman" w:hAnsi="Times New Roman"/>
                <w:sz w:val="14"/>
                <w:szCs w:val="14"/>
                <w:color w:val="auto"/>
              </w:rPr>
              <w:t>(a)</w:t>
            </w:r>
          </w:p>
        </w:tc>
        <w:tc>
          <w:tcPr>
            <w:tcW w:w="27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Realized gains </w:t>
            </w:r>
            <w:r>
              <w:rPr>
                <w:rFonts w:ascii="Times New Roman" w:cs="Times New Roman" w:eastAsia="Times New Roman" w:hAnsi="Times New Roman"/>
                <w:sz w:val="14"/>
                <w:szCs w:val="14"/>
                <w:color w:val="auto"/>
              </w:rPr>
              <w:t>(b)</w:t>
            </w:r>
          </w:p>
        </w:tc>
        <w:tc>
          <w:tcPr>
            <w:tcW w:w="27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27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ind w:left="300" w:hanging="292"/>
        <w:spacing w:after="0" w:line="229" w:lineRule="auto"/>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determined that all unrealized gains and (losses) were related to equity securities with readily determinable fair values. Due to the new accounting guidance adopted in the first quarter of fiscal year 2019, the net unrealized gains and (losses) during the year ended September 30, 2019 and forward were recorded within the net interest and other expense caption in the Statements of Consolidated Income (Loss). In 2018 these net unrealized gains (losses) were in AOCI.</w:t>
      </w: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only to the year ended September 30, 2018 prior to adoption of the new accounting guidance for equity securities.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p>
      <w:pPr>
        <w:spacing w:after="0" w:line="12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recognized during 2020, 2019 and 2018 within the Statements of Consolidated 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 (loss)</w:t>
            </w:r>
          </w:p>
        </w:tc>
        <w:tc>
          <w:tcPr>
            <w:tcW w:w="30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67"/>
        </w:trPr>
        <w:tc>
          <w:tcPr>
            <w:tcW w:w="4140" w:type="dxa"/>
            <w:vAlign w:val="bottom"/>
          </w:tcPr>
          <w:p>
            <w:pPr>
              <w:spacing w:after="0"/>
              <w:rPr>
                <w:sz w:val="24"/>
                <w:szCs w:val="24"/>
                <w:color w:val="auto"/>
              </w:rPr>
            </w:pPr>
          </w:p>
        </w:tc>
        <w:tc>
          <w:tcPr>
            <w:tcW w:w="30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F-26</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7" w:name="page108"/>
    <w:bookmarkEnd w:id="107"/>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the outstanding foreign currency derivatives as of September 30, 2020 and 2019 included in accounts receivable and accrued expenses and other liabilities of the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7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1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14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7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52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At September 30, 2020 and 2019, Ashland’s long-term debt (including the current portion and excluding debt issuance cost discounts) had a carrying values of $1,588 million and $1,513 million, respectively, compared to a fair value of $1,708 million and $1,680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PROPERTY, PLANT AND EQUIPMENT</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describes the various components of property, plant and equipment within the Consolidated Balance Sheets.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7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2,433</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2,361</w:t>
            </w:r>
          </w:p>
        </w:tc>
      </w:tr>
      <w:tr>
        <w:trPr>
          <w:trHeight w:val="230"/>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w:t>
            </w:r>
          </w:p>
        </w:tc>
      </w:tr>
      <w:tr>
        <w:trPr>
          <w:trHeight w:val="230"/>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5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5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various property, plant and equipment charges included within the Statements of Consolidated Comprehensive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1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6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6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1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Depreciation</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2019, Ashland committed to a cost reduction plan within an existing manufacturing facility. As a result, depreciation included $38 million of accelerated depreciation for the remaining value of this facility primarily related to machinery and equipment. See Note E for additional information related to this facility. This charge related to the Specialty Additives reportable segment and was recorded primarily within the cost of sales caption of the Statement of Consolidated Comprehensive Income (Loss) for 2019.</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2018, the termination of a contract at a manufacturing facility resulted in $6 million of accelerated depreciation for the remaining value of the related machinery and equipment. This charge related to the Specialty Additives reportable segment and was recorded within the equity and other income (loss) caption of the Statements of Consolidated Comprehensive Income (Loss).</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2019 and 2018, depreciation also included $1 million and $8 million, respectively, of accelerated depreciation within Unallocated and other and was recorded within the selling, general and administrative expense caption of the Statements of Consolidated Comprehensive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H – GOODWILL AND OTHER INTANGIBLES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 indicated in footnote A, 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72"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2020, Ashland realigned its operations which resulted in a reassessment of Ashland’s reporting units used to evaluate goodwill impairment. Ashland’s reporting units align with its reportable segments. Ashland determined that its reporting units are Life Sciences, Personal Care &amp; Household, Specialty Additives, Performance Adhesives, Intermediates and Solvents and Unallocated and Other. Prior to the business realignment, the reporting units consisted of Ashland Specialty Ingredients, Intermediates and Solvents and Unallocated and Other. The Ashland Specialty Ingredients reporting unit contained all of Ashland’s reported goodwill at September 30, 2019.</w:t>
      </w:r>
    </w:p>
    <w:p>
      <w:pPr>
        <w:spacing w:after="0" w:line="75"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 conjunction with the realignment during the second quarter of fiscal 2020,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 Significant assumptions inherent in the valuation methodologies include estimates of future projected business results (principally revenue and EBITDA), long-term growth rates, and the weighted-average cost of capital.</w:t>
      </w:r>
    </w:p>
    <w:p>
      <w:pPr>
        <w:spacing w:after="0" w:line="75"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goodwill impairment test under the former reporting unit structure concluded that no impairment existed during the second quarter of fiscal 2020. Ashland then allocated goodwill to the new reporting unit structure using a relative fair value approach and re-assessed goodwill for impairment for each of its new reporting units.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year ended September 30, 2020. The Personal Care &amp; Household goodwill impairment charge was due in large part to lower growth and lower margins since the acquisition of the Oral Care and Avoca businesses, including the loss of certain customers, which collectively have resulted in reduced cash flow projections. The Specialty Additives goodwill impairment charge was due in large part to lower growth and lower margins within the global construction and energy markets, which collectively have resulted in reduced cash flow projections.</w:t>
      </w:r>
    </w:p>
    <w:p>
      <w:pPr>
        <w:spacing w:after="0" w:line="80"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performed its annual goodwill impairment test using the quantitative approach as of July 1, 2020 and concluded that the reporting unit fair values for all reporting units exceeded their carrying values. No impairment existed as of that date and no subsequent impairment indicators have been identified.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9" w:name="page110"/>
    <w:bookmarkEnd w:id="109"/>
    <w:p>
      <w:pPr>
        <w:ind w:left="400"/>
        <w:spacing w:after="0"/>
        <w:rPr>
          <w:sz w:val="20"/>
          <w:szCs w:val="20"/>
          <w:color w:val="auto"/>
        </w:rPr>
      </w:pPr>
      <w:r>
        <w:rPr>
          <w:rFonts w:ascii="Times New Roman" w:cs="Times New Roman" w:eastAsia="Times New Roman" w:hAnsi="Times New Roman"/>
          <w:sz w:val="18"/>
          <w:szCs w:val="18"/>
          <w:color w:val="auto"/>
        </w:rPr>
        <w:t>The following is a progression of goodwill by reportable segment for the years ended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Life</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Performance</w:t>
            </w: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Intermediates</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34"/>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Sciences</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&amp; Household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Additives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Adhesives</w:t>
            </w: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and Solvents</w:t>
            </w:r>
          </w:p>
        </w:tc>
        <w:tc>
          <w:tcPr>
            <w:tcW w:w="4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color w:val="auto"/>
              </w:rPr>
              <w:t>(a)</w:t>
            </w: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Currency translation and other </w:t>
            </w:r>
            <w:r>
              <w:rPr>
                <w:rFonts w:ascii="Times New Roman" w:cs="Times New Roman" w:eastAsia="Times New Roman" w:hAnsi="Times New Roman"/>
                <w:sz w:val="14"/>
                <w:szCs w:val="14"/>
                <w:color w:val="auto"/>
              </w:rPr>
              <w:t>(b)</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1,758</w:t>
            </w: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and 2019, there was accumulated impairment of $90 million related to the Intermediates and Solvents reportable segment.</w:t>
      </w:r>
    </w:p>
    <w:p>
      <w:pPr>
        <w:spacing w:after="0" w:line="3"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$6 million of goodwill related to a Specialty Additives facility that was reclassified to held for sale. See Note C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68"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Ashland annually reviews, as of July 1, indefinite-lived intangible assets for possible impairment or whenever events or changes in circumstances indicate that carrying amounts may not be recoverable.</w:t>
      </w:r>
    </w:p>
    <w:p>
      <w:pPr>
        <w:spacing w:after="0" w:line="5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tested its indefinite-lived intangible assets for impairment during the second quarter of fiscal 2020 as a result of the business realignment. Trademarks and trade names are valued using a “relief-from-royalty” valuation method compared to the carrying value. Significant assumptions inherent in the valuation methodologies include, but are not limited to, future projected business results, growth rates, the weighted-average cost of capital for a market participant, and royalty and discount rates. No impairment was indicated for trademarks and trade names during the second quarter of fiscal 2020.</w:t>
      </w:r>
    </w:p>
    <w:p>
      <w:pPr>
        <w:spacing w:after="0" w:line="72"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Ashland performed its annual other intangibles impairment test using the quantitative approach as of July 1, 2020 and concluded that the assets fair values exceeded their carrying values. No impairment existed as of that date.</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intangible assets were comprised of the following as of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r>
      <w:tr>
        <w:trPr>
          <w:trHeight w:val="218"/>
        </w:trPr>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Net</w:t>
            </w:r>
          </w:p>
        </w:tc>
      </w:tr>
      <w:tr>
        <w:trPr>
          <w:trHeight w:val="230"/>
        </w:trPr>
        <w:tc>
          <w:tcPr>
            <w:tcW w:w="3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carrying</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7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3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5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5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3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1,088</w:t>
            </w:r>
          </w:p>
        </w:tc>
      </w:tr>
      <w:tr>
        <w:trPr>
          <w:trHeight w:val="20"/>
        </w:trPr>
        <w:tc>
          <w:tcPr>
            <w:tcW w:w="3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Amortization expense recognized on intangible assets was $85 million for 2020, $86 million for 2019 and $93 million for 2018, and is primarily included in the selling, general and administrative expense caption of the Statements of Consolidated Comprehensive Income. As of September 30, 2020, all of Ashland’s intangible assets that had a carrying value were being amortized except for certain trademarks and trade names that have been determined to have indefinite lives. Estimated amortization expense for future periods is $85 million in 2021, $84 million in 2022, $84 million in 2023, $70 million in 2024 and $68 million in 2025.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DEBT</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Ashland’s current and long-term debt at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4.750% notes, due 2022</w:t>
            </w:r>
          </w:p>
        </w:tc>
        <w:tc>
          <w:tcPr>
            <w:tcW w:w="2300" w:type="dxa"/>
            <w:vAlign w:val="bottom"/>
            <w:gridSpan w:val="2"/>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78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Term loan A</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(a)</w:t>
            </w:r>
          </w:p>
        </w:tc>
        <w:tc>
          <w:tcPr>
            <w:tcW w:w="17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17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17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1,501</w:t>
            </w:r>
          </w:p>
        </w:tc>
      </w:tr>
      <w:tr>
        <w:trPr>
          <w:trHeight w:val="20"/>
        </w:trPr>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60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line="261" w:lineRule="auto"/>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$15 million and $12 million of debt issuance costs as of September 30, 2020 and 2019, respectively. Additionally, as of September 30, 2020 and 2019, Other included a European short-term loan facility with outstanding balances of $23 million and $22 million, respectively.</w:t>
      </w:r>
    </w:p>
    <w:p>
      <w:pPr>
        <w:spacing w:after="0" w:line="5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Ashland’s total debt had an outstanding principal balance of $1,910 million, discounts of $42 million and debt issuance costs of $15 million. The scheduled aggregate maturities of long-term debt for the next five fiscal years (including the current portion and excluding debt issuance costs) are as follows: zero in 2021, $421 million in 2022, $22 million in 2023, $44 million in 2024 and $175 million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During January 2020, Ashland LLC and Ashland Services B.V., indirect and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2020 Revolving Credit Facility) and (ii) a $250 million unsecured five-year term loan facility (the 2020 Term Loan Facility). The 2020 Credit Agreement is guaranteed by Ashland Global Holdings Inc. and Ashland Chemco Inc., and the obligations of Ashland Services B.V. under the 2020 Revolving Credit Facility are guaranteed by Ashland LLC. Proceeds of borrowings under the 2020 Revolving Credit Facility were used to refinance the Ashland’s existing 2017 Credit Agreement, to provide ongoing working capital and for other general corporate purposes. The proceeds under the 2020 Term Loan Facility were used to refinance a portion of Ashland’s outstanding 4.750% Senior Notes due 2022, 6.875% Senior Notes due 2043 and Hercules LLC’s 6.500% junior subordinated debentures.</w:t>
      </w:r>
    </w:p>
    <w:p>
      <w:pPr>
        <w:spacing w:after="0" w:line="84"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At Ashland’s option, loans issued under the 2020 Credit Agreement bear interest at either LIBOR or an alternate base rate, in each case plus the applicable interest rate margin. Loans initially bear interest at LIBOR plus 1.375% per annum, in the case of LIBOR borrowings, or at the alternate base rate plus 0.375%, in the alternative, through and including the date of delivery of a quarterly compliance certificate and thereafter the interest rate will fluctuate between LIBOR plus 1.250% per annum and LIBOR plus 1.750% per annum (or between the alternate base rate plus 0.250% per annum and the alternate base rate plus 0.750% annum), based upon the consolidated net leverage ratio (as defined in the 2020 Credit Agreement) at such time. In addition, Ashland is initially required to pay fees of 0.20% per annum on the daily unused amount of the 2020 Revolving Facility through and including the date of delivery of a compliance certificate, and thereafter the fee rate will fluctuate between 0.15% and 0.30% per annum, based upon the consolidated net leverage ratio. The Credit Facilities may be prepaid at any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without premium. The term loan A (TLA) Facility will not amortize in each of the first and second years and will amortize at a rate of 5.0% per annum, 10% per annum and 20% per annum in the third, fourth and fifth years, respectively (payable in equal quarterly installments), with the outstanding balance of the TLA Facility to be paid on January 10, 2025.</w:t>
      </w:r>
    </w:p>
    <w:p>
      <w:pPr>
        <w:spacing w:after="0" w:line="68"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72"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either the effective interest method or straight-line method.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related to the 2017 Credit Agreement</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expense caption of the Statements of Consolidated Comprehensive Income (Loss).</w:t>
      </w:r>
    </w:p>
    <w:p>
      <w:pPr>
        <w:spacing w:after="0" w:line="75"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expense caption of the Statements of Consolidated Comprehensive Income (Loss).</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January 2020, Ashland entered into the 2020 Credit Agreement, replacing the 2017 Credit Agreement. As a result of the termination of the 2017 Credit Agreement, Ashland recognized a $1 million charge for accelerated amortization of previously capitalized debt issuance costs during 2020, which is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Issuance and existing notes tender</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w:t>
      </w:r>
    </w:p>
    <w:p>
      <w:pPr>
        <w:spacing w:after="0" w:line="75"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incurred $8 million of new debt issuance costs in connection with the 2028 Notes, which is amortized using the effective interest method over the Notes’ term.</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2020 and 2019, Ashland repatriated approximately $576 million (including the proceeds of the 2020 senior notes due 2028) and $900 million, respectively, in cash that was primarily used to repay existing debt, principally portions of the 4.75% senior notes due 2022, the 6.875% senior notes due 2043 and the 6.5% junior notes in 2020 and the TLA Facility and TLB Facility in 2019 (as previously discussed).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4.750% notes due 2022</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4.750% notes due 2022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6.875% notes due 2043</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6.500% Junior Subordinated Debentures due 2029</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the Term loan A due 2022</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the Term loan B due 2024</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 during 2019, which was included in the net interest and other expense caption of the Statements of Consolidated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9.35% notes due 2019</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2019, Ashland redeemed all of its outstanding 9.35% medium term notes due 2019, of which approximately $5 million were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was used to pay for the redemption.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Open market repurchases of 4.750% notes due 2022 and 6.875% notes due 2043</w:t>
      </w:r>
    </w:p>
    <w:p>
      <w:pPr>
        <w:spacing w:after="0" w:line="119"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accounts receivable securitization</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2020, the available funding for qualified receivables under the accounts receivable securitization facility decreased from €115 million to €100 million.</w:t>
      </w:r>
    </w:p>
    <w:p>
      <w:pPr>
        <w:spacing w:after="0" w:line="7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and 2019, the outstanding amount of accounts receivable transferred by Ashland to the Purchaser was $131 million and $133 million, respectively, and there were $93 million and $94 million, respectively, of borrowings (denominated in multiple currencies) under the facility. The weighted-average interest rate for this instrument was 1.2% for both 2020 and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accounts receivable securitization</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7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4" w:name="page115"/>
    <w:bookmarkEnd w:id="114"/>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During March 2020, the termination date of the accounts receivable securitization was extended from March 2020 to March 2021. The available funding for qualified receivables under the accounts receivable securitization facility increased from $100 million to $115 million, however this was decreased back to $100 million on August 30, 2019 in conjunction with the Composites and Marl facility divestiture. No other changes to the agreement are expected to have a significant impact to Ashland's results of operations and financial position.</w:t>
      </w:r>
    </w:p>
    <w:p>
      <w:pPr>
        <w:spacing w:after="0" w:line="8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At September 30, 2020 and 2019, the outstanding amount of accounts receivable transferred by Ashland to CVG was $151 million and $147 million, respectively. There were $84 million of borrowings under the facility as of September 30, 2020, while Ashland had $50 million of borrowings under the facility as of September 30, 2019. The weighted-average interest rate for this instrument was 1.8% for 2020 and 3.3% for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At September 30, 2020 and 2019, Ashland held other debt totaling $81 million for each period, respectively, comprised primarily of a European short-term loan facility,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borrowing capacity</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the current year, Ashland entered into a new revolving credit facility. The borrowing capacity remaining under the new $600 million revolving credit facility was $500 million due to an outstanding balance of $80 million, as well as a reduction of $20 million for letters of credit outstanding at September 30, 2020. Ashland's total borrowing capacity at September 30, 2020 was $500 million, which included zero of available capacity under the two accounts receivable securitization facilities.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current Ashland debt agreements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2020, Ashland was in compliance with all debt agreement covenant restrictions.</w:t>
      </w:r>
    </w:p>
    <w:p>
      <w:pPr>
        <w:spacing w:after="0" w:line="72"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Ashland’s most recent credit agreement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within item 7 of this document. In general, consolidated indebtedness includes debt plus all purchase money indebtedness, banker’s acceptances and bank guaranties, deferred purchase price of property or services, attributable indebtedness and guarantees. At September 30, 2020, Ashland’s calculation of the consolidated net leverage ratio was 2.7.</w:t>
      </w:r>
    </w:p>
    <w:p>
      <w:pPr>
        <w:spacing w:after="0" w:line="86"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September 30, 2020, Ashland’s calculation of the consolidated interest coverage ratio was 7.6.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Guarantee of senior notes</w:t>
      </w:r>
    </w:p>
    <w:p>
      <w:pPr>
        <w:spacing w:after="0" w:line="121" w:lineRule="exact"/>
        <w:rPr>
          <w:sz w:val="20"/>
          <w:szCs w:val="20"/>
          <w:color w:val="auto"/>
        </w:rPr>
      </w:pPr>
    </w:p>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Ashland Global Holdings Inc. fully and unconditionally guaranteed the 4.750% notes due 2022, 2.00% notes due 2028 and 6.875% notes due 2043 and has no significant independent assets or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4"/>
                <w:szCs w:val="14"/>
                <w:color w:val="auto"/>
              </w:rPr>
              <w:t>(a)</w:t>
            </w:r>
          </w:p>
        </w:tc>
        <w:tc>
          <w:tcPr>
            <w:tcW w:w="268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Investment securities income </w:t>
            </w:r>
            <w:r>
              <w:rPr>
                <w:rFonts w:ascii="Times New Roman" w:cs="Times New Roman" w:eastAsia="Times New Roman" w:hAnsi="Times New Roman"/>
                <w:sz w:val="14"/>
                <w:szCs w:val="14"/>
                <w:color w:val="auto"/>
              </w:rPr>
              <w:t>(b)</w:t>
            </w:r>
          </w:p>
        </w:tc>
        <w:tc>
          <w:tcPr>
            <w:tcW w:w="2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Other financing costs </w:t>
            </w:r>
            <w:r>
              <w:rPr>
                <w:rFonts w:ascii="Times New Roman" w:cs="Times New Roman" w:eastAsia="Times New Roman" w:hAnsi="Times New Roman"/>
                <w:sz w:val="14"/>
                <w:szCs w:val="14"/>
                <w:color w:val="auto"/>
              </w:rPr>
              <w:t>(c)</w:t>
            </w:r>
          </w:p>
        </w:tc>
        <w:tc>
          <w:tcPr>
            <w:tcW w:w="2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48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4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ind w:left="300" w:hanging="292"/>
        <w:spacing w:after="0" w:line="186" w:lineRule="auto"/>
        <w:tabs>
          <w:tab w:leader="none" w:pos="30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Includes $8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$6 million and $1 million of accelerated accretion and/or amortization for original issue discounts and debt issuance costs during 2020, 2019 and 2018, respectively.</w:t>
      </w:r>
    </w:p>
    <w:p>
      <w:pPr>
        <w:ind w:left="300" w:hanging="292"/>
        <w:spacing w:after="0" w:line="221" w:lineRule="auto"/>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 income related to the restricted investments discussed in Note F.</w:t>
      </w:r>
    </w:p>
    <w:p>
      <w:pPr>
        <w:ind w:left="300" w:hanging="292"/>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of $59 million related to early redemption premium payments for the 2022 Notes, 2043 Notes and 2029 Junior Debentures during 2020.</w:t>
      </w: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details the debt issuance cost and original issue discount amortization included in interest expense during 2020, 2019 and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Normal amortization</w:t>
            </w:r>
          </w:p>
        </w:tc>
        <w:tc>
          <w:tcPr>
            <w:tcW w:w="280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Accelerated amortization </w:t>
            </w:r>
            <w:r>
              <w:rPr>
                <w:rFonts w:ascii="Times New Roman" w:cs="Times New Roman" w:eastAsia="Times New Roman" w:hAnsi="Times New Roman"/>
                <w:sz w:val="14"/>
                <w:szCs w:val="14"/>
                <w:color w:val="auto"/>
              </w:rPr>
              <w:t>(a)</w:t>
            </w:r>
          </w:p>
        </w:tc>
        <w:tc>
          <w:tcPr>
            <w:tcW w:w="2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43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line="261" w:lineRule="auto"/>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2020 includes $2 million of accelerated accretion of the recorded debt discount for the 2022 Notes, 2029 Junior Debentures and 2043 Notes, while the remaining amounts in each year related to the accelerated amortization of debt issuance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OTHER NONCURRENT ASSETS AND LIABILITIES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assets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290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80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Tax and tax indemnity receivables</w:t>
            </w: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insurance policies</w:t>
            </w:r>
          </w:p>
        </w:tc>
        <w:tc>
          <w:tcPr>
            <w:tcW w:w="2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catalyst supplies</w:t>
            </w: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2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unconsolidated investments</w:t>
            </w: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2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insurance receivables</w:t>
            </w: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5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investments</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 gains on these investments were $10 million, $7 million and $10 million during 2020, 2019 and 2018,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6" w:name="page117"/>
    <w:bookmarkEnd w:id="116"/>
    <w:p>
      <w:pPr>
        <w:ind w:left="40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liabilities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5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320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remediation reserves</w:t>
            </w:r>
          </w:p>
        </w:tc>
        <w:tc>
          <w:tcPr>
            <w:tcW w:w="2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18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5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LEASING ARRANGEMENTS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leases certain office buildings, transportation equipment, warehouses and storage facilities, and equipment. All of Ashland’s leases are operating leases. Real estate leases represent approximately 88% of the total lease liability. See Note A for additional information related to Ashland’s leasing policies.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recognized within the Statements of Consolidated Comprehensive Income (Loss) were as follows: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6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4"/>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1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Location</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September 30, 2020</w:t>
            </w: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6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1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1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leases</w:t>
            </w:r>
          </w:p>
        </w:tc>
        <w:tc>
          <w:tcPr>
            <w:tcW w:w="61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6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Ashland’s lease assets and liabilities as presented in the Consolidated Balance Sheet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94615</wp:posOffset>
            </wp:positionV>
            <wp:extent cx="70891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millions)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Operating lease assets, net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lease assets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2020</w:t>
            </w:r>
          </w:p>
        </w:tc>
      </w:tr>
      <w:tr>
        <w:trPr>
          <w:trHeight w:val="472"/>
        </w:trPr>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-179705</wp:posOffset>
            </wp:positionV>
            <wp:extent cx="708914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-479425</wp:posOffset>
            </wp:positionV>
            <wp:extent cx="708914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500"/>
          </w:cols>
          <w:pgMar w:left="320" w:top="445" w:right="339" w:bottom="1440" w:gutter="0" w:footer="0" w:header="0"/>
          <w:type w:val="continuous"/>
        </w:sectPr>
      </w:pP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080" w:type="dxa"/>
            <w:vAlign w:val="bottom"/>
            <w:gridSpan w:val="2"/>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 average remaining lease term for operating leases as of September 30, 2020 was approximately 15 years.</w:t>
      </w:r>
    </w:p>
    <w:p>
      <w:pPr>
        <w:spacing w:after="0" w:line="117"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September 30, 2020 was 2.9%. There are no leases that have not yet commenced but that create significant rights and obligations for Ashland.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7" w:name="page118"/>
    <w:bookmarkEnd w:id="117"/>
    <w:p>
      <w:pPr>
        <w:ind w:left="400"/>
        <w:spacing w:after="0"/>
        <w:rPr>
          <w:sz w:val="20"/>
          <w:szCs w:val="20"/>
          <w:color w:val="auto"/>
        </w:rPr>
      </w:pPr>
      <w:r>
        <w:rPr>
          <w:rFonts w:ascii="Times New Roman" w:cs="Times New Roman" w:eastAsia="Times New Roman" w:hAnsi="Times New Roman"/>
          <w:sz w:val="18"/>
          <w:szCs w:val="18"/>
          <w:color w:val="auto"/>
        </w:rPr>
        <w:t>Right-of-use assets exchanged for new operating lease obligations was $6 million for the twelve months ended September 30, 2020.</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center"/>
              <w:ind w:right="290"/>
              <w:spacing w:after="0" w:line="205" w:lineRule="exact"/>
              <w:rPr>
                <w:sz w:val="20"/>
                <w:szCs w:val="20"/>
                <w:color w:val="auto"/>
              </w:rPr>
            </w:pPr>
            <w:r>
              <w:rPr>
                <w:rFonts w:ascii="Times New Roman" w:cs="Times New Roman" w:eastAsia="Times New Roman" w:hAnsi="Times New Roman"/>
                <w:sz w:val="18"/>
                <w:szCs w:val="18"/>
                <w:color w:val="auto"/>
                <w:w w:val="99"/>
              </w:rPr>
              <w:t>Twelve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September 30, 2020</w:t>
            </w:r>
          </w:p>
        </w:tc>
        <w:tc>
          <w:tcPr>
            <w:tcW w:w="0" w:type="dxa"/>
            <w:vAlign w:val="bottom"/>
          </w:tcPr>
          <w:p>
            <w:pPr>
              <w:spacing w:after="0"/>
              <w:rPr>
                <w:sz w:val="1"/>
                <w:szCs w:val="1"/>
                <w:color w:val="auto"/>
              </w:rPr>
            </w:pP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Maturity Analysis of Lease Liabilities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Maturities of lease liabilities are shown below as of September 30, 2020: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0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jc w:val="center"/>
              <w:ind w:right="420"/>
              <w:spacing w:after="0" w:line="205" w:lineRule="exact"/>
              <w:rPr>
                <w:sz w:val="20"/>
                <w:szCs w:val="20"/>
                <w:color w:val="auto"/>
              </w:rPr>
            </w:pPr>
            <w:r>
              <w:rPr>
                <w:rFonts w:ascii="Times New Roman" w:cs="Times New Roman" w:eastAsia="Times New Roman" w:hAnsi="Times New Roman"/>
                <w:sz w:val="18"/>
                <w:szCs w:val="18"/>
                <w:color w:val="auto"/>
                <w:w w:val="99"/>
              </w:rPr>
              <w:t>As of September 30,</w:t>
            </w:r>
          </w:p>
        </w:tc>
        <w:tc>
          <w:tcPr>
            <w:tcW w:w="0" w:type="dxa"/>
            <w:vAlign w:val="bottom"/>
          </w:tcPr>
          <w:p>
            <w:pPr>
              <w:spacing w:after="0"/>
              <w:rPr>
                <w:sz w:val="1"/>
                <w:szCs w:val="1"/>
                <w:color w:val="auto"/>
              </w:rPr>
            </w:pPr>
          </w:p>
        </w:tc>
      </w:tr>
      <w:tr>
        <w:trPr>
          <w:trHeight w:val="234"/>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Borders>
              <w:left w:val="single" w:sz="8" w:color="CFF0FC"/>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As of September 30, 2019, under the previous guidance, the future minimum rental payments are as follows:</w:t>
            </w: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ind w:right="350"/>
              <w:spacing w:after="0" w:line="205" w:lineRule="exact"/>
              <w:rPr>
                <w:sz w:val="20"/>
                <w:szCs w:val="20"/>
                <w:color w:val="auto"/>
              </w:rPr>
            </w:pPr>
            <w:r>
              <w:rPr>
                <w:rFonts w:ascii="Times New Roman" w:cs="Times New Roman" w:eastAsia="Times New Roman" w:hAnsi="Times New Roman"/>
                <w:sz w:val="18"/>
                <w:szCs w:val="18"/>
                <w:color w:val="auto"/>
              </w:rPr>
              <w:t>As of September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Law Changes</w:t>
      </w:r>
    </w:p>
    <w:p>
      <w:pPr>
        <w:spacing w:after="0" w:line="121" w:lineRule="exact"/>
        <w:rPr>
          <w:sz w:val="20"/>
          <w:szCs w:val="20"/>
          <w:color w:val="auto"/>
        </w:rPr>
      </w:pPr>
    </w:p>
    <w:p>
      <w:pPr>
        <w:jc w:val="both"/>
        <w:ind w:right="60" w:firstLine="394"/>
        <w:spacing w:after="0" w:line="254" w:lineRule="auto"/>
        <w:rPr>
          <w:sz w:val="20"/>
          <w:szCs w:val="20"/>
          <w:color w:val="auto"/>
        </w:rPr>
      </w:pPr>
      <w:r>
        <w:rPr>
          <w:rFonts w:ascii="Times New Roman" w:cs="Times New Roman" w:eastAsia="Times New Roman" w:hAnsi="Times New Roman"/>
          <w:sz w:val="18"/>
          <w:szCs w:val="18"/>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September 30, 2018, Ashland had not completed the internal accounting assessment for the tax effects of enactment of the Tax Act; however, Ashland determined a reasonable estimate of the effects on Ashland’s existing deferred tax balances and the one-time transition tax. Due to the Tax Act, Ashland recognized a provisional amount during 2018, which is included as a component of income tax expense from continuing operations. Ashland recorded net unfavorable tax adjustments of $2 million during 2018 primarily related to deferred tax rate changes and a one-time transition tax assessed on foreign cash and unremitted earnings. This adjustment included an expense of $128 million related to the one-time transition tax, a benefit of $139 million related to the tax deferred rate change and other tax expense of $13 million. The one-time transition tax and deferred rate change associated with the Tax Act are discussed in greater detail below.</w:t>
      </w:r>
    </w:p>
    <w:p>
      <w:pPr>
        <w:spacing w:after="0" w:line="80" w:lineRule="exact"/>
        <w:rPr>
          <w:sz w:val="20"/>
          <w:szCs w:val="20"/>
          <w:color w:val="auto"/>
        </w:rPr>
      </w:pPr>
    </w:p>
    <w:p>
      <w:pPr>
        <w:jc w:val="both"/>
        <w:ind w:right="60" w:firstLine="394"/>
        <w:spacing w:after="0" w:line="266" w:lineRule="auto"/>
        <w:rPr>
          <w:sz w:val="20"/>
          <w:szCs w:val="20"/>
          <w:color w:val="auto"/>
        </w:rPr>
      </w:pPr>
      <w:r>
        <w:rPr>
          <w:rFonts w:ascii="Times New Roman" w:cs="Times New Roman" w:eastAsia="Times New Roman" w:hAnsi="Times New Roman"/>
          <w:sz w:val="18"/>
          <w:szCs w:val="18"/>
          <w:color w:val="auto"/>
        </w:rPr>
        <w:t>During 2019, Ashland completed its internal accounting assessment for the tax effects of enactment of the Tax Act and recorded adjustments to provisional amounts previously recorded. Ashland’s final assessment resulted in net unfavorable tax adjustments of $29 million during the twelve months ended September 30, 2019. These adjustments primarily related to the one-time transition tax assessed on foreign cash and unremitted earnings.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Provisional amounts - Deferred tax assets and liabilities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 remeasured certain deferred tax assets and liabilities based on the rates at which they are expected to reverse in the future, which is generally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The provisional amount recorded related to the remeasurement of the deferred tax balance was a favorable tax adjustment of $139 million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Provisional amounts - Foreign tax effects</w:t>
      </w:r>
    </w:p>
    <w:p>
      <w:pPr>
        <w:spacing w:after="0" w:line="119"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one-time transition tax is based on Ashland's total post-1986 earnings and profits (E&amp;P) of foreign subsidiaries that were previously deferred from U.S. income taxes. Ashland recorded a provisional amount for this one-time transition tax of $128 million during 2018, which includes the one-time transition tax expense of $187 million, a foreign tax credit benefit of $46 million, a reversal of uncertain tax position benefits of $9 million, state tax expense of $2 million and a benefit for other miscellaneous items of $6 million. Ashland completed its calculation of the total post-1986 E&amp;P for these foreign subsidiaries and recorded an additional unfavorable $29 million adjustment in 2019. No additional income taxes have been provided for any remaining undistributed foreign earnings not subject to the transition tax, or any additional outside basis difference inherent in these entities, as management intends to indefinitely reinvest all foreign earnings. Ashland determined that estimating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provision for income taxes related to continuing operations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28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78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8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3780" w:type="dxa"/>
            <w:vAlign w:val="bottom"/>
          </w:tcPr>
          <w:p>
            <w:pPr>
              <w:spacing w:after="0"/>
              <w:rPr>
                <w:sz w:val="24"/>
                <w:szCs w:val="24"/>
                <w:color w:val="auto"/>
              </w:rPr>
            </w:pPr>
          </w:p>
        </w:tc>
        <w:tc>
          <w:tcPr>
            <w:tcW w:w="34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F-38</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9" w:name="page120"/>
    <w:bookmarkEnd w:id="119"/>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Foreign net operating loss carryforwards primarily relate to certain European and Asian Pacific operations and generally may be carried forward. U.S. state net operating loss carryforwards relate to losses within certain states and generally may be carried forward. Temporary differences that give rise to significant deferred tax assets and liabilities as of September 30 are presented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Foreign net operating loss carryforwards </w:t>
            </w:r>
            <w:r>
              <w:rPr>
                <w:rFonts w:ascii="Times New Roman" w:cs="Times New Roman" w:eastAsia="Times New Roman" w:hAnsi="Times New Roman"/>
                <w:sz w:val="14"/>
                <w:szCs w:val="14"/>
                <w:color w:val="auto"/>
              </w:rPr>
              <w:t>(a)</w:t>
            </w:r>
          </w:p>
        </w:tc>
        <w:tc>
          <w:tcPr>
            <w:tcW w:w="18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640" w:type="dxa"/>
            <w:vAlign w:val="bottom"/>
            <w:gridSpan w:val="2"/>
          </w:tcPr>
          <w:p>
            <w:pPr>
              <w:jc w:val="right"/>
              <w:ind w:right="5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self-insurance and litigation reserves (net of receivables)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State net operating loss carryforwards (net of unrecognized tax benefits) </w:t>
            </w:r>
            <w:r>
              <w:rPr>
                <w:rFonts w:ascii="Times New Roman" w:cs="Times New Roman" w:eastAsia="Times New Roman" w:hAnsi="Times New Roman"/>
                <w:sz w:val="14"/>
                <w:szCs w:val="14"/>
                <w:color w:val="auto"/>
              </w:rPr>
              <w:t>(b)</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accruals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Credit carryforwards (net of unrecognized tax benefits) </w:t>
            </w:r>
            <w:r>
              <w:rPr>
                <w:rFonts w:ascii="Times New Roman" w:cs="Times New Roman" w:eastAsia="Times New Roman" w:hAnsi="Times New Roman"/>
                <w:sz w:val="14"/>
                <w:szCs w:val="14"/>
                <w:color w:val="auto"/>
              </w:rPr>
              <w:t>(c)</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lease liability</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Valuation allowances </w:t>
            </w:r>
            <w:r>
              <w:rPr>
                <w:rFonts w:ascii="Times New Roman" w:cs="Times New Roman" w:eastAsia="Times New Roman" w:hAnsi="Times New Roman"/>
                <w:sz w:val="14"/>
                <w:szCs w:val="14"/>
                <w:color w:val="auto"/>
              </w:rPr>
              <w:t>(d)</w:t>
            </w:r>
          </w:p>
        </w:tc>
        <w:tc>
          <w:tcPr>
            <w:tcW w:w="1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Goodwill and other intangibles </w:t>
            </w:r>
            <w:r>
              <w:rPr>
                <w:rFonts w:ascii="Times New Roman" w:cs="Times New Roman" w:eastAsia="Times New Roman" w:hAnsi="Times New Roman"/>
                <w:sz w:val="14"/>
                <w:szCs w:val="14"/>
                <w:color w:val="auto"/>
              </w:rPr>
              <w:t>(e)</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80" w:type="dxa"/>
            <w:vAlign w:val="bottom"/>
          </w:tcPr>
          <w:p>
            <w:pPr>
              <w:spacing w:after="0"/>
              <w:rPr>
                <w:sz w:val="19"/>
                <w:szCs w:val="19"/>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6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net operating loss carryforwards of $145 million will expire in future years beyond 2022 or have no expiration.</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Apportioned net operating loss carryforwards generated of $1.0 billion will expire in future years as follows: $64 million in 2020, $121 million in 2021 and the remaining balance in other future years.</w:t>
      </w:r>
    </w:p>
    <w:p>
      <w:pPr>
        <w:ind w:left="300" w:hanging="292"/>
        <w:spacing w:after="0" w:line="221" w:lineRule="auto"/>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carryforwards consist primarily of foreign tax credits of $12 million expiring in future years beyond 2021, and state tax credits that will expire in 2025 or other future years.</w:t>
      </w:r>
    </w:p>
    <w:p>
      <w:pPr>
        <w:ind w:left="300" w:hanging="292"/>
        <w:spacing w:after="0" w:line="221" w:lineRule="auto"/>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allowances primarily relate to certain state and foreign net operating loss carryforwards.</w:t>
      </w:r>
    </w:p>
    <w:p>
      <w:pPr>
        <w:ind w:left="300" w:hanging="292"/>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gross amount of goodwill as of September 30, 2020 expected to be deductible for tax purposes is $5 million.</w:t>
      </w:r>
    </w:p>
    <w:p>
      <w:pPr>
        <w:spacing w:after="0" w:line="2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U.S. and foreign components of income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43"/>
        </w:trPr>
        <w:tc>
          <w:tcPr>
            <w:tcW w:w="6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520" w:type="dxa"/>
            <w:vAlign w:val="bottom"/>
            <w:gridSpan w:val="2"/>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6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Income taxes computed at U.S. statutory rate </w:t>
            </w:r>
            <w:r>
              <w:rPr>
                <w:rFonts w:ascii="Times New Roman" w:cs="Times New Roman" w:eastAsia="Times New Roman" w:hAnsi="Times New Roman"/>
                <w:sz w:val="14"/>
                <w:szCs w:val="14"/>
                <w:color w:val="auto"/>
              </w:rPr>
              <w:t>(a)</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520" w:type="dxa"/>
            <w:vAlign w:val="bottom"/>
            <w:gridSpan w:val="2"/>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amount computed resulting from</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Tax reform </w:t>
            </w:r>
            <w:r>
              <w:rPr>
                <w:rFonts w:ascii="Times New Roman" w:cs="Times New Roman" w:eastAsia="Times New Roman" w:hAnsi="Times New Roman"/>
                <w:sz w:val="14"/>
                <w:szCs w:val="14"/>
                <w:color w:val="auto"/>
              </w:rPr>
              <w:t>(b)</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Uncertain tax positions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Deemed inclusions, foreign dividends and other restructuring </w:t>
            </w:r>
            <w:r>
              <w:rPr>
                <w:rFonts w:ascii="Times New Roman" w:cs="Times New Roman" w:eastAsia="Times New Roman" w:hAnsi="Times New Roman"/>
                <w:sz w:val="14"/>
                <w:szCs w:val="14"/>
                <w:color w:val="auto"/>
              </w:rPr>
              <w:t>(c)</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tax credits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Valuation allowance changes </w:t>
            </w:r>
            <w:r>
              <w:rPr>
                <w:rFonts w:ascii="Times New Roman" w:cs="Times New Roman" w:eastAsia="Times New Roman" w:hAnsi="Times New Roman"/>
                <w:sz w:val="14"/>
                <w:szCs w:val="14"/>
                <w:color w:val="auto"/>
              </w:rPr>
              <w:t>(d)</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State taxes </w:t>
            </w:r>
            <w:r>
              <w:rPr>
                <w:rFonts w:ascii="Times New Roman" w:cs="Times New Roman" w:eastAsia="Times New Roman" w:hAnsi="Times New Roman"/>
                <w:sz w:val="14"/>
                <w:szCs w:val="14"/>
                <w:color w:val="auto"/>
              </w:rPr>
              <w:t>(e)</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International rate differential</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14"/>
                <w:szCs w:val="14"/>
                <w:color w:val="auto"/>
              </w:rPr>
              <w:t>(f)</w:t>
            </w: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6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ind w:left="300" w:hanging="292"/>
        <w:spacing w:after="0" w:line="183" w:lineRule="auto"/>
        <w:tabs>
          <w:tab w:leader="none" w:pos="300"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The domestic tax rate is 21% for 2020 and 2019, respectively and 24.5% for 2018.</w:t>
      </w:r>
    </w:p>
    <w:p>
      <w:pPr>
        <w:spacing w:after="0" w:line="4" w:lineRule="exact"/>
        <w:rPr>
          <w:rFonts w:ascii="Times New Roman" w:cs="Times New Roman" w:eastAsia="Times New Roman" w:hAnsi="Times New Roman"/>
          <w:sz w:val="28"/>
          <w:szCs w:val="28"/>
          <w:color w:val="auto"/>
          <w:vertAlign w:val="superscript"/>
        </w:rPr>
      </w:pPr>
    </w:p>
    <w:p>
      <w:pPr>
        <w:jc w:val="both"/>
        <w:ind w:left="300" w:hanging="292"/>
        <w:spacing w:after="0" w:line="221"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includes a benefit of $23 million from Swiss tax reform. 2019 includes an expense of $29 million related to a return to provision adjustment for transition tax. 2018 includes expense of $187 million related to the one-time transition tax, a benefit of $139 million related to the deferred rate change and a benefit of $4 million related to tax reform in a foreign jurisdiction. Foreign tax credits of $46 million related to the transition tax were included within the foreign tax credits caption. Other items related to the transition tax or other U.S. tax reform offset to immaterial amounts within the state taxes, uncertain tax positions and other captions and net to zero in the aggregate. In summary, total U.S. tax reform expense was $2 million related to transition tax expense of $187 million, a deferred rate change benefit of $139 million and a foreign tax credit benefit of $46 million. Ashland completed its calculation of the total post-1986 E&amp;P for these foreign subsidiaries and recorded an additional unfavorable $29 million adjustment in 2019.</w:t>
      </w:r>
    </w:p>
    <w:p>
      <w:pPr>
        <w:spacing w:after="0" w:line="1" w:lineRule="exact"/>
        <w:rPr>
          <w:rFonts w:ascii="Times New Roman" w:cs="Times New Roman" w:eastAsia="Times New Roman" w:hAnsi="Times New Roman"/>
          <w:sz w:val="14"/>
          <w:szCs w:val="14"/>
          <w:color w:val="auto"/>
        </w:rPr>
      </w:pPr>
    </w:p>
    <w:p>
      <w:pPr>
        <w:ind w:left="300" w:right="20" w:hanging="292"/>
        <w:spacing w:after="0" w:line="221"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includes $31 million primarily related to GILTI permanent adjustments. 2019 includes $19 million primarily related to GILTI permanent adjustments. 2018 includes a gain recognition of $6 million, deemed inclusions of $13 million and tax restructuring costs of $23 million.</w:t>
      </w:r>
    </w:p>
    <w:p>
      <w:pPr>
        <w:ind w:left="300" w:hanging="292"/>
        <w:spacing w:after="0" w:line="269"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2019 includes $5 million related to state tax NOL’s and $9 million related to a foreign jurisdiction. 2018 includes a $5 million benefit for the release of a foreign tax credit valuation allowance.</w:t>
      </w:r>
    </w:p>
    <w:p>
      <w:pPr>
        <w:spacing w:after="0" w:line="180"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2018 includes a $27 million tax benefit for a valuation reserve release against state net operating losses and $26 million of tax expense for state tax rate changes.</w:t>
      </w:r>
    </w:p>
    <w:p>
      <w:pPr>
        <w:spacing w:after="0" w:line="14" w:lineRule="exact"/>
        <w:rPr>
          <w:rFonts w:ascii="Times New Roman" w:cs="Times New Roman" w:eastAsia="Times New Roman" w:hAnsi="Times New Roman"/>
          <w:sz w:val="14"/>
          <w:szCs w:val="14"/>
          <w:color w:val="auto"/>
        </w:rPr>
      </w:pPr>
    </w:p>
    <w:p>
      <w:pPr>
        <w:ind w:left="300" w:hanging="292"/>
        <w:spacing w:after="0" w:line="197" w:lineRule="auto"/>
        <w:tabs>
          <w:tab w:leader="none" w:pos="30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2020 includes $4 million for foreign withholding taxes. 2018 includes $22 million related to foreign withholding taxes.</w:t>
      </w:r>
    </w:p>
    <w:p>
      <w:pPr>
        <w:spacing w:after="0" w:line="12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2020 effective tax rate was impacted by Swiss Tax Reform and non-deductible goodwill impairment. The 2020, 2019 and 2018 effective tax rates were impacted by jurisdictional income mix, restructuring activities, and the impact of U.S. tax reform.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$171 million and $165 million of unrecognized tax benefits at September 30, 2020 and 2019, respectively, recorded within other noncurrent liabilities. As of September 30, 2020, the total amount of unrecognized tax benefits that, if recognized, would affect the tax rate for continuing and discontinued operations was $162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80"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recognizes interest and penalties related to uncertain tax positions as a component of income tax expense (benefit) in the Statements of Consolidated Comprehensive Income. Such interest and penalties totaled a $8 million expense in 2020,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21" w:name="page122"/>
    <w:bookmarkEnd w:id="121"/>
    <w:p>
      <w:pPr>
        <w:spacing w:after="0" w:line="282" w:lineRule="auto"/>
        <w:rPr>
          <w:sz w:val="20"/>
          <w:szCs w:val="20"/>
          <w:color w:val="auto"/>
        </w:rPr>
      </w:pPr>
      <w:r>
        <w:rPr>
          <w:rFonts w:ascii="Times New Roman" w:cs="Times New Roman" w:eastAsia="Times New Roman" w:hAnsi="Times New Roman"/>
          <w:sz w:val="18"/>
          <w:szCs w:val="18"/>
          <w:color w:val="auto"/>
        </w:rPr>
        <w:t>million benefit in 2019 and $1 million expense in 2018. Ashland had $32 million and $26 million in interest and penalties related to unrecognized tax benefits accrued as of September 30, 2020 and 2019, respectively.</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unrecognized tax benefits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at September 30, 2018 </w:t>
            </w:r>
            <w:r>
              <w:rPr>
                <w:rFonts w:ascii="Times New Roman" w:cs="Times New Roman" w:eastAsia="Times New Roman" w:hAnsi="Times New Roman"/>
                <w:sz w:val="14"/>
                <w:szCs w:val="14"/>
                <w:b w:val="1"/>
                <w:bCs w:val="1"/>
                <w:color w:val="auto"/>
              </w:rPr>
              <w:t>(a)</w:t>
            </w:r>
          </w:p>
        </w:tc>
        <w:tc>
          <w:tcPr>
            <w:tcW w:w="840" w:type="dxa"/>
            <w:vAlign w:val="bottom"/>
            <w:tcBorders>
              <w:top w:val="single" w:sz="8" w:color="auto"/>
            </w:tcBorders>
            <w:gridSpan w:val="2"/>
          </w:tcPr>
          <w:p>
            <w:pPr>
              <w:jc w:val="right"/>
              <w:ind w:right="70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on items from prior years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Disposition of Composites and Marl facility</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at September 30, 2019 </w:t>
            </w:r>
            <w:r>
              <w:rPr>
                <w:rFonts w:ascii="Times New Roman" w:cs="Times New Roman" w:eastAsia="Times New Roman" w:hAnsi="Times New Roman"/>
                <w:sz w:val="14"/>
                <w:szCs w:val="14"/>
                <w:b w:val="1"/>
                <w:bCs w:val="1"/>
                <w:color w:val="auto"/>
              </w:rPr>
              <w:t>(a)</w:t>
            </w: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on items from prior years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Disposition of Composites and Marl facility</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9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line="261" w:lineRule="auto"/>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has indemnity receivables from Valvoline and Pharmachem for $29 million and $32 million of the gross unrecognized tax benefits at September 30, 2020 and 2019, respectively, recorded within other noncurrent assets.</w:t>
      </w:r>
    </w:p>
    <w:p>
      <w:pPr>
        <w:spacing w:after="0" w:line="5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From a combination of statute expirations and audit settlements in the next twelve months, Ashland expects a decrease in the amount of accrual for uncertain tax positions of between $51 million and $61 million for continuing operations. For the remaining balance as of September 30, 2020,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5"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Ashland or one of its subsidiaries files income tax returns in the U.S. federal jurisdiction and various state and foreign jurisdictions. Foreign taxing jurisdictions significant to Ashland include Brazil, Canada, China, Germany, Mexico, Netherlands, Spain, Switzerland and United Kingdom. Ashland is subject to U.S. federal income tax examinations by tax authorities for periods after September 30, 2013 and U.S. state income tax examinations by tax authorities for periods after September 30, 2010. With respect to countries outside of the United States, with certain exceptions, Ashland’s foreign subsidiaries are subject to income tax audits for years after 2009.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M –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 plans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 This benefit obligation was significantly reduced due to the transfer of a substantial portion to Valvoline.</w:t>
      </w:r>
    </w:p>
    <w:p>
      <w:pPr>
        <w:spacing w:after="0" w:line="72"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Postretirement health care plans include a limit on Ashland’s share of costs for recent and future retirees. The assumed pre-65 health care cost increase trend rate as of September 30, 2020 was 6.6% and continues to be reduced to 4.5% in 2037 and thereafter. The assumptions used to project the liability anticipate future cost-sharing changes to the written plans that are consistent with the increase in health care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Amendments and Remeasurements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2019, Ashland settled a non-U.S. plan, which required the plan to be remeasured. This remeasurement resulted in a curtailment gain of $18 million recorded within the other net periodic benefit (costs) caption of the Statements of Consolidated Comprehensive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Transfers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August 2019, Ashland transferred a substantial portion of its non-qualified non-U.S. pension plans to INEOS as part of the sale of its Composites business (excluding the Maleic business) and the Marl facility. As of September 30, 2019, the net pension and other postretirement plan liabilities that transferred to INEOS totaled $27 million.</w:t>
      </w:r>
    </w:p>
    <w:p>
      <w:pPr>
        <w:spacing w:after="0" w:line="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disclosures within this footnote exclude these amounts that were transferred and only relate to plans Ashland currently records within continuing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costs (income) allocation</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Consistent with Ashland’s historical accounting policies, service cost for continuing operations is proportionately allocated to each reportable segment, excluding the Unallocated and other segment, while all other costs for continuing operations are recorded within the Unallocated and other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3" w:name="page124"/>
    <w:bookmarkEnd w:id="123"/>
    <w:p>
      <w:pPr>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pension and other postretirement benefit costs for continuing operations and the assumptions used to determine net periodic benefit costs (income) for the plans.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Pension benefits</w:t>
            </w:r>
          </w:p>
        </w:tc>
        <w:tc>
          <w:tcPr>
            <w:tcW w:w="1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660" w:type="dxa"/>
            <w:vAlign w:val="bottom"/>
            <w:tcBorders>
              <w:top w:val="single" w:sz="8" w:color="auto"/>
              <w:bottom w:val="single" w:sz="8" w:color="auto"/>
            </w:tcBorders>
          </w:tcPr>
          <w:p>
            <w:pPr>
              <w:spacing w:after="0"/>
              <w:rPr>
                <w:sz w:val="21"/>
                <w:szCs w:val="21"/>
                <w:color w:val="auto"/>
              </w:rPr>
            </w:pPr>
          </w:p>
        </w:tc>
      </w:tr>
      <w:tr>
        <w:trPr>
          <w:trHeight w:val="22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costs (income)</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14"/>
                <w:szCs w:val="14"/>
                <w:color w:val="auto"/>
              </w:rPr>
              <w:t>(a)</w:t>
            </w:r>
          </w:p>
        </w:tc>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14"/>
                <w:szCs w:val="14"/>
                <w:color w:val="auto"/>
              </w:rPr>
              <w:t>(b)</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Curtailment, settlement and other </w:t>
            </w:r>
            <w:r>
              <w:rPr>
                <w:rFonts w:ascii="Times New Roman" w:cs="Times New Roman" w:eastAsia="Times New Roman" w:hAnsi="Times New Roman"/>
                <w:sz w:val="14"/>
                <w:szCs w:val="14"/>
                <w:color w:val="auto"/>
              </w:rPr>
              <w:t>(b)</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Expected return on plan assets </w:t>
            </w:r>
            <w:r>
              <w:rPr>
                <w:rFonts w:ascii="Times New Roman" w:cs="Times New Roman" w:eastAsia="Times New Roman" w:hAnsi="Times New Roman"/>
                <w:sz w:val="14"/>
                <w:szCs w:val="14"/>
                <w:color w:val="auto"/>
              </w:rPr>
              <w:t>(b)</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Amortization of prior service credit </w:t>
            </w:r>
            <w:r>
              <w:rPr>
                <w:rFonts w:ascii="Times New Roman" w:cs="Times New Roman" w:eastAsia="Times New Roman" w:hAnsi="Times New Roman"/>
                <w:sz w:val="14"/>
                <w:szCs w:val="14"/>
                <w:color w:val="auto"/>
              </w:rPr>
              <w:t>(b)</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Actuarial (gain) loss </w:t>
            </w:r>
            <w:r>
              <w:rPr>
                <w:rFonts w:ascii="Times New Roman" w:cs="Times New Roman" w:eastAsia="Times New Roman" w:hAnsi="Times New Roman"/>
                <w:sz w:val="14"/>
                <w:szCs w:val="14"/>
                <w:color w:val="auto"/>
              </w:rPr>
              <w:t>(b)</w:t>
            </w:r>
          </w:p>
        </w:tc>
        <w:tc>
          <w:tcPr>
            <w:tcW w:w="4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0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Weighted-average plan assumptions </w:t>
            </w:r>
            <w:r>
              <w:rPr>
                <w:rFonts w:ascii="Times New Roman" w:cs="Times New Roman" w:eastAsia="Times New Roman" w:hAnsi="Times New Roman"/>
                <w:sz w:val="14"/>
                <w:szCs w:val="14"/>
                <w:b w:val="1"/>
                <w:bCs w:val="1"/>
                <w:color w:val="auto"/>
              </w:rPr>
              <w:t>(c)</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 for service cost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for interest cost</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on plan assets</w:t>
            </w:r>
          </w:p>
        </w:tc>
        <w:tc>
          <w:tcPr>
            <w:tcW w:w="4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300" w:right="20" w:hanging="292"/>
        <w:spacing w:after="0" w:line="233" w:lineRule="auto"/>
        <w:tabs>
          <w:tab w:leader="none" w:pos="3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300" w:right="20" w:hanging="292"/>
        <w:spacing w:after="0" w:line="221" w:lineRule="auto"/>
        <w:tabs>
          <w:tab w:leader="none" w:pos="3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are now classified within the other net periodic benefit income (costs) caption on the Statements of Consolidated Comprehensive Income (Loss) due to the adoption of new accounting guidance in 2018. See Note A for additional information.</w:t>
      </w:r>
    </w:p>
    <w:p>
      <w:pPr>
        <w:ind w:left="300" w:hanging="292"/>
        <w:spacing w:after="0"/>
        <w:tabs>
          <w:tab w:leader="none" w:pos="3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assumptions discussed are a blended weighted-average rate for Ashland’s U.S. and non-U.S. plans.</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changes in prior service credit recognized in accumulated other comprehensive income during both 2020 and 2019 were less than $1 million each. At September 30, 2020, Ashland expects to recognize less than $1 million of the prior service credit in accumulated other comprehensive income as net periodic benefit cost (income) during the next fiscal year.</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September 30, 2020 and 2019, the amounts included in accumulated other comprehensive income are shown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Pension</w:t>
            </w: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Postretirement</w:t>
            </w:r>
          </w:p>
        </w:tc>
        <w:tc>
          <w:tcPr>
            <w:tcW w:w="780" w:type="dxa"/>
            <w:vAlign w:val="bottom"/>
            <w:tcBorders>
              <w:top w:val="single" w:sz="8" w:color="auto"/>
              <w:bottom w:val="single" w:sz="8" w:color="auto"/>
            </w:tcBorders>
          </w:tcPr>
          <w:p>
            <w:pPr>
              <w:spacing w:after="0"/>
              <w:rPr>
                <w:sz w:val="21"/>
                <w:szCs w:val="21"/>
                <w:color w:val="auto"/>
              </w:rPr>
            </w:pPr>
          </w:p>
        </w:tc>
      </w:tr>
      <w:tr>
        <w:trPr>
          <w:trHeight w:val="22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554"/>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F-43</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Summaries of the change in benefit obligations, plan assets, funded status of the plans, amounts recognized in the balance sheet, and assumptions used to determine the benefit obligations for 2020 and 2019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Other postretirement</w:t>
            </w:r>
          </w:p>
        </w:tc>
        <w:tc>
          <w:tcPr>
            <w:tcW w:w="740" w:type="dxa"/>
            <w:vAlign w:val="bottom"/>
            <w:tcBorders>
              <w:top w:val="single" w:sz="8" w:color="auto"/>
            </w:tcBorders>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Pension plans</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benefit plans</w:t>
            </w:r>
          </w:p>
        </w:tc>
        <w:tc>
          <w:tcPr>
            <w:tcW w:w="740" w:type="dxa"/>
            <w:vAlign w:val="bottom"/>
            <w:tcBorders>
              <w:bottom w:val="single" w:sz="8" w:color="auto"/>
            </w:tcBorders>
          </w:tcPr>
          <w:p>
            <w:pPr>
              <w:spacing w:after="0"/>
              <w:rPr>
                <w:sz w:val="20"/>
                <w:szCs w:val="20"/>
                <w:color w:val="auto"/>
              </w:rPr>
            </w:pP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obligations at October 1</w:t>
            </w: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404</w:t>
            </w:r>
          </w:p>
        </w:tc>
        <w:tc>
          <w:tcPr>
            <w:tcW w:w="5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Curtailments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Benefit obligations at September 30</w:t>
            </w:r>
          </w:p>
        </w:tc>
        <w:tc>
          <w:tcPr>
            <w:tcW w:w="84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Value of plan assets at October 1</w:t>
            </w: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341</w:t>
            </w:r>
          </w:p>
        </w:tc>
        <w:tc>
          <w:tcPr>
            <w:tcW w:w="5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Value of plan assets at September 30</w:t>
            </w:r>
          </w:p>
        </w:tc>
        <w:tc>
          <w:tcPr>
            <w:tcW w:w="84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6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Unfunded status of the plans</w:t>
            </w: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5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3"/>
                <w:szCs w:val="23"/>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9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benefit assets</w:t>
            </w:r>
          </w:p>
        </w:tc>
        <w:tc>
          <w:tcPr>
            <w:tcW w:w="13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Current benefit liabilities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benefit liabilities</w:t>
            </w:r>
          </w:p>
        </w:tc>
        <w:tc>
          <w:tcPr>
            <w:tcW w:w="8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84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9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plan assumptions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8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for all pension plans was $413 million at September 30, 2020 and $400 million at September 30, 2019. All Ashland pension plans are either qualified U.S. or non-US plans. Information for pension plans with an accumulated benefit obligation in excess of plan assets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8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219</w:t>
            </w:r>
          </w:p>
        </w:tc>
        <w:tc>
          <w:tcPr>
            <w:tcW w:w="98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8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9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r>
      <w:tr>
        <w:trPr>
          <w:trHeight w:val="554"/>
        </w:trPr>
        <w:tc>
          <w:tcPr>
            <w:tcW w:w="3880" w:type="dxa"/>
            <w:vAlign w:val="bottom"/>
          </w:tcPr>
          <w:p>
            <w:pPr>
              <w:spacing w:after="0"/>
              <w:rPr>
                <w:sz w:val="24"/>
                <w:szCs w:val="24"/>
                <w:color w:val="auto"/>
              </w:rPr>
            </w:pPr>
          </w:p>
        </w:tc>
        <w:tc>
          <w:tcPr>
            <w:tcW w:w="3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F-44</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on pension plan assets was 3.05% and 3.44% for 2020 and 2019,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68"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2020. For additional information and a detailed description of each level within the fair value hierarchy, see Note 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Quoted prices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29"/>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 active</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markets for</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Significant</w:t>
            </w:r>
          </w:p>
        </w:tc>
      </w:tr>
      <w:tr>
        <w:trPr>
          <w:trHeight w:val="229"/>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identical</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observable</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unobservable</w:t>
            </w:r>
          </w:p>
        </w:tc>
      </w:tr>
      <w:tr>
        <w:trPr>
          <w:trHeight w:val="230"/>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 fair</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inputs</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Listed real assets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stocks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2019.</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Quoted prices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30"/>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 active</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markets for</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Significant</w:t>
            </w:r>
          </w:p>
        </w:tc>
      </w:tr>
      <w:tr>
        <w:trPr>
          <w:trHeight w:val="230"/>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identical</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observable</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unobservable</w:t>
            </w:r>
          </w:p>
        </w:tc>
      </w:tr>
      <w:tr>
        <w:trPr>
          <w:trHeight w:val="229"/>
        </w:trPr>
        <w:tc>
          <w:tcPr>
            <w:tcW w:w="4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 fair</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inputs</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Listed real assets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stocks</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Investments and Strategy</w:t>
      </w:r>
    </w:p>
    <w:p>
      <w:pPr>
        <w:spacing w:after="0" w:line="119"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The current asset allocation for the U.S. plans is 41% fixed income securities, 44% equity securities and 15% other securities. Fixed income securities primarily include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2020 and 2019 by asset category follow.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color w:val="auto"/>
              </w:rPr>
              <w:t>Actual at September 30</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7"/>
              </w:rPr>
              <w:t>Target</w:t>
            </w: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Plan assets allocation</w:t>
            </w:r>
          </w:p>
        </w:tc>
        <w:tc>
          <w:tcPr>
            <w:tcW w:w="2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- 45%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- 95%</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22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During 2020 and 2019, Ashland contributed $1 million to its U.S. pension plans each year and $5 million and $4 million to its non-U.S. pension plans. Ashland expects to contribute approximately $2 million to its U.S. pension plans and $5 million to its non-U.S. pension plans during 2021.</w:t>
      </w:r>
    </w:p>
    <w:p>
      <w:pPr>
        <w:spacing w:after="0" w:line="54"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benefit payments, which reflect future service expectations, are projected to be paid from plan assets in each of the next five years and in aggregate for five years thereafter.</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Borders>
              <w:top w:val="single" w:sz="8" w:color="auto"/>
            </w:tcBorders>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Other</w:t>
            </w:r>
          </w:p>
        </w:tc>
      </w:tr>
      <w:tr>
        <w:trPr>
          <w:trHeight w:val="229"/>
        </w:trPr>
        <w:tc>
          <w:tcPr>
            <w:tcW w:w="3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Pension</w:t>
            </w:r>
          </w:p>
        </w:tc>
        <w:tc>
          <w:tcPr>
            <w:tcW w:w="64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postretirement</w:t>
            </w:r>
          </w:p>
        </w:tc>
      </w:tr>
      <w:tr>
        <w:trPr>
          <w:trHeight w:val="23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benefits</w:t>
            </w:r>
          </w:p>
        </w:tc>
        <w:tc>
          <w:tcPr>
            <w:tcW w:w="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benefits</w:t>
            </w:r>
          </w:p>
        </w:tc>
      </w:tr>
      <w:tr>
        <w:trPr>
          <w:trHeight w:val="22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48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48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4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8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2026 - 2030</w:t>
            </w:r>
          </w:p>
        </w:tc>
        <w:tc>
          <w:tcPr>
            <w:tcW w:w="44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6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r>
      <w:tr>
        <w:trPr>
          <w:trHeight w:val="549"/>
        </w:trPr>
        <w:tc>
          <w:tcPr>
            <w:tcW w:w="3180" w:type="dxa"/>
            <w:vAlign w:val="bottom"/>
          </w:tcPr>
          <w:p>
            <w:pPr>
              <w:spacing w:after="0"/>
              <w:rPr>
                <w:sz w:val="24"/>
                <w:szCs w:val="24"/>
                <w:color w:val="auto"/>
              </w:rPr>
            </w:pPr>
          </w:p>
        </w:tc>
        <w:tc>
          <w:tcPr>
            <w:tcW w:w="44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F-46</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sponsors savings plans to assist eligible employees in providing for retirement or other future needs. Under such plans, company contributions amounted to $26 million in 2020 and 2019, respectively, and $25 million in 2018. Ashland also sponsors various other employee benefit plans, some of which are required by different countries. The total noncurrent liabilities associated with these plans were $3 million and $3 million as of September 30, 2020 and 2019,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LITIGATION, CLAIMS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has retained third party actuarial experts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year</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2"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2020, it was determined that the liability for Ashland asbestos-related claims should be increased by $13 million. Total reserves for asbestos claims were $335 million at September 30, 2020 compared to $352 million at September 30, 2019.</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5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220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15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year </w:t>
            </w:r>
            <w:r>
              <w:rPr>
                <w:rFonts w:ascii="Times New Roman" w:cs="Times New Roman" w:eastAsia="Times New Roman" w:hAnsi="Times New Roman"/>
                <w:sz w:val="14"/>
                <w:szCs w:val="14"/>
                <w:color w:val="auto"/>
              </w:rPr>
              <w:t>(a)</w:t>
            </w:r>
          </w:p>
        </w:tc>
        <w:tc>
          <w:tcPr>
            <w:tcW w:w="1540" w:type="dxa"/>
            <w:vAlign w:val="bottom"/>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4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$29 million and $28 million classified in accrued expenses and other liabilities on the Consolidated Balance Sheets as of September 30, 2020 and 2019,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At September 30, 2020, Ashland’s receivable for recoveries of litigation defense and claim settlement costs from insurers amounted to $103 million (excluding the Hercules receivable for asbestos claims). Receivables from insurers amounted to $123 million at September 30, 2019. During 2020, the annual update of the model used for purposes of valuing the asbestos reserve and its impact on valuation of future recoveries from insurers, was completed. This model update resulted in a $1 million increase in the receivable for probable insurance recoveries.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progression of activity in the Ashland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06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8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settlement</w:t>
            </w: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1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year </w:t>
            </w:r>
            <w:r>
              <w:rPr>
                <w:rFonts w:ascii="Times New Roman" w:cs="Times New Roman" w:eastAsia="Times New Roman" w:hAnsi="Times New Roman"/>
                <w:sz w:val="14"/>
                <w:szCs w:val="14"/>
                <w:color w:val="auto"/>
              </w:rPr>
              <w:t>(a)</w:t>
            </w: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4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43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$14 million and $15 million classified in accounts receivable on the Consolidated Balance Sheets as of September 30, 2020 and 2019.</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Open claims - end of year</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2020, it was determined that the liability for Hercules asbestos-related claims should be decreased by $3 million. Total reserves for asbestos claims were $229 million at September 30, 2020 compared to $252 million at September 30, 2019.</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29" w:name="page130"/>
    <w:bookmarkEnd w:id="129"/>
    <w:p>
      <w:pPr>
        <w:ind w:left="40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5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220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15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year </w:t>
            </w:r>
            <w:r>
              <w:rPr>
                <w:rFonts w:ascii="Times New Roman" w:cs="Times New Roman" w:eastAsia="Times New Roman" w:hAnsi="Times New Roman"/>
                <w:sz w:val="14"/>
                <w:szCs w:val="14"/>
                <w:color w:val="auto"/>
              </w:rPr>
              <w:t>(a)</w:t>
            </w:r>
          </w:p>
        </w:tc>
        <w:tc>
          <w:tcPr>
            <w:tcW w:w="1540" w:type="dxa"/>
            <w:vAlign w:val="bottom"/>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4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$22 million and $21 million classified in accrued expenses and other liabilities on the Consolidated Balance Sheets as of September 30, 2020 and 2019,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receivables</w:t>
      </w:r>
    </w:p>
    <w:p>
      <w:pPr>
        <w:spacing w:after="0" w:line="11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5"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 of September 30, 2020 and 2019, the receivables from insurers amounted to $47 million and $49 million, respectively. During 2020, the annual update of the model used for purposes of valuing the asbestos reserve and its impact on valuation of future recoveries from insurers was completed. This model update resulted in a $2 million decrease in the receivable for probable insurance recoveries.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progression of activity in the Hercules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06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1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end of year</w:t>
            </w: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$520 million for the Ashland asbestos-related litigation (current reserve of $335 million) and approximately $350 million for the Hercules asbestos-related litigation (current reserve of $229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2020, such locations included 81 waste treatment or disposal sites where Ashland has been identified as a potentially responsible party under Superfund or similar state laws, 113 current and former operating facilities and about 1,225 service station properties, of which 25 are being actively remediated.</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$200 million at September 30, 2020 compared to $186 million at September 30, 2019, of which $150 million at September 30, 2020 and $143 million at September 30, 2019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changes in the environmental remediation reserves during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remediation reserve - beginning of year</w:t>
            </w:r>
          </w:p>
        </w:tc>
        <w:tc>
          <w:tcPr>
            <w:tcW w:w="2300" w:type="dxa"/>
            <w:vAlign w:val="bottom"/>
            <w:gridSpan w:val="2"/>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70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14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remediation reserve - end of year</w:t>
            </w:r>
          </w:p>
        </w:tc>
        <w:tc>
          <w:tcPr>
            <w:tcW w:w="1460" w:type="dxa"/>
            <w:vAlign w:val="bottom"/>
          </w:tcPr>
          <w:p>
            <w:pPr>
              <w:spacing w:after="0"/>
              <w:rPr>
                <w:sz w:val="19"/>
                <w:szCs w:val="19"/>
                <w:color w:val="auto"/>
              </w:rPr>
            </w:pP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2020 and 2019, Ashland’s recorded receivable for these probable insurance recoveries was $15 million and $13 million, respectively, of which $12 million was classified in other noncurrent assets in the Consolidated Balance Sheets.</w:t>
      </w:r>
    </w:p>
    <w:p>
      <w:pPr>
        <w:spacing w:after="0" w:line="8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During 2020 and 2019, Ashland recognized $48 million and $30 million of expense, respectively, for certain environmental liabilities related to normal ongoing remediation cost estimate updates for sites, which is consistent with Ashland’s historical environmental accounting policy.</w:t>
      </w:r>
    </w:p>
    <w:p>
      <w:pPr>
        <w:spacing w:after="0" w:line="54"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During 2018, Ashland recognized $60 million of expense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during 2018 since a reasonable estimate that is in accordance with U.S. GAAP provisions could be determined. The remaining charges in 2018 related to normal ongoing remediation cost estimate updates for sites, which is consistent with Ashland’s historical environmental accounting policy.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1" w:name="page132"/>
    <w:bookmarkEnd w:id="131"/>
    <w:p>
      <w:pPr>
        <w:ind w:firstLine="394"/>
        <w:spacing w:after="0" w:line="282" w:lineRule="auto"/>
        <w:rPr>
          <w:sz w:val="20"/>
          <w:szCs w:val="20"/>
          <w:color w:val="auto"/>
        </w:rPr>
      </w:pPr>
      <w:r>
        <w:rPr>
          <w:rFonts w:ascii="Times New Roman" w:cs="Times New Roman" w:eastAsia="Times New Roman" w:hAnsi="Times New Roman"/>
          <w:sz w:val="18"/>
          <w:szCs w:val="18"/>
          <w:color w:val="auto"/>
        </w:rPr>
        <w:t>Components of environmental remediation expense included within the selling, general and administrative expense caption of the Statements of Consolidated Comprehensive Income (Loss) are presented in the following table for the years ended September 30, 2020, 2019 and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186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1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expense</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5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9"/>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1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5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Total expense, net of receivable activity </w:t>
            </w:r>
            <w:r>
              <w:rPr>
                <w:rFonts w:ascii="Times New Roman" w:cs="Times New Roman" w:eastAsia="Times New Roman" w:hAnsi="Times New Roman"/>
                <w:sz w:val="14"/>
                <w:szCs w:val="14"/>
                <w:color w:val="auto"/>
              </w:rPr>
              <w:t>(a)</w:t>
            </w:r>
          </w:p>
        </w:tc>
        <w:tc>
          <w:tcPr>
            <w:tcW w:w="1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jc w:val="both"/>
        <w:ind w:left="300" w:hanging="292"/>
        <w:spacing w:after="0" w:line="241" w:lineRule="auto"/>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$12 million, $7 million and $5 million for the fiscal years ended September 30, 2020, 2019 and 2018, respectively, related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7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$475 million. The largest reserve for any site is 14% of the remediation reserve.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proceedings and claims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2020 and 2019. There is a reasonable possibility that a loss exceeding amounts already recognized may be incurred related to these actions; however, Ashland believes that such potential losses were immaterial as of September 30, 2020 and 2019.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EQUITY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September 30, 2020, $800 million remained available for repurchase under the 2018 stock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 agreements</w:t>
      </w:r>
    </w:p>
    <w:p>
      <w:pPr>
        <w:spacing w:after="0" w:line="121"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 This was the first stock, and currently only, repurchase under the 2018 stock repurchase program. There were no repurchases of common stock in 2020.</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Stockholder dividends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Ashland paid dividends per common share of $1.10, $1.05 and $0.95 during 2020, 2019 and 2018, respectively.</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and fourth quarters of fiscal 2019, and each quarter of fiscal 2020.</w:t>
      </w:r>
    </w:p>
    <w:p>
      <w:pPr>
        <w:spacing w:after="0" w:line="6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and fourth quarters of fiscal 2018, and the first and second quarters of fiscal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issuance</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September 30, 2020, 14.2 million common shares were reserved for issuance under stock incentive and deferred compensation plans.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Components of other comprehensive income (loss) recorded in the Statements of Consolidated Comprehensive Income (Loss) are presented in the following table, before tax and net of tax effects.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30"/>
        </w:trPr>
        <w:tc>
          <w:tcPr>
            <w:tcW w:w="6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Before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Net of</w:t>
            </w:r>
          </w:p>
        </w:tc>
      </w:tr>
      <w:tr>
        <w:trPr>
          <w:trHeight w:val="234"/>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tax</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translation income</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6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2019</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translation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4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2018</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translation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Unrealized gain on investment securities </w:t>
            </w:r>
            <w:r>
              <w:rPr>
                <w:rFonts w:ascii="Times New Roman" w:cs="Times New Roman" w:eastAsia="Times New Roman" w:hAnsi="Times New Roman"/>
                <w:sz w:val="14"/>
                <w:szCs w:val="14"/>
                <w:color w:val="auto"/>
              </w:rPr>
              <w:t>(a)</w:t>
            </w:r>
          </w:p>
        </w:tc>
        <w:tc>
          <w:tcPr>
            <w:tcW w:w="4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gains</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6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included in net income</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6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line="261" w:lineRule="auto"/>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adoption of new accounting guidance in fiscal 2019, unrealized gains and losses on Ashland’s equity securities are now recognized in net income rather than other comprehensive income. See Notes A and F for more information.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Summary of Stockholders’ Equity</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changes in stockholders’ equity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6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w:t>
            </w:r>
          </w:p>
        </w:tc>
        <w:tc>
          <w:tcPr>
            <w:tcW w:w="64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Common shares issued under stock incentive and other plans </w:t>
            </w:r>
            <w:r>
              <w:rPr>
                <w:rFonts w:ascii="Times New Roman" w:cs="Times New Roman" w:eastAsia="Times New Roman" w:hAnsi="Times New Roman"/>
                <w:sz w:val="14"/>
                <w:szCs w:val="14"/>
                <w:color w:val="auto"/>
              </w:rPr>
              <w:t>(a)</w:t>
            </w:r>
          </w:p>
        </w:tc>
        <w:tc>
          <w:tcPr>
            <w:tcW w:w="4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Common shares purchased under repurchase program </w:t>
            </w:r>
            <w:r>
              <w:rPr>
                <w:rFonts w:ascii="Times New Roman" w:cs="Times New Roman" w:eastAsia="Times New Roman" w:hAnsi="Times New Roman"/>
                <w:sz w:val="14"/>
                <w:szCs w:val="14"/>
                <w:color w:val="auto"/>
              </w:rPr>
              <w:t>(b)</w:t>
            </w:r>
          </w:p>
        </w:tc>
        <w:tc>
          <w:tcPr>
            <w:tcW w:w="4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947</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2,696</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(c)</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4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2,750</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(c)</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4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4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3,406</w:t>
            </w: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300" w:hanging="292"/>
        <w:spacing w:after="0"/>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391,180, 336,188 and 360,468 for 2020, 2019 and 2018, respectively.</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2,637,054 for 2019.</w:t>
      </w:r>
    </w:p>
    <w:p>
      <w:pPr>
        <w:ind w:left="300" w:hanging="292"/>
        <w:spacing w:after="0" w:line="298" w:lineRule="auto"/>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accounting for equity securities and tax effects of intercompany transfers during fiscal 2019. See Note A for more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STOCK INCENTIVE PLANS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has stock incentive plans under which key employees or directors are granted stock appreciation rights (SARs),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 and accounts for forfeitures when they occur across all stock-based awards.</w:t>
      </w:r>
    </w:p>
    <w:p>
      <w:pPr>
        <w:spacing w:after="0" w:line="72"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The components of Ashland’s pretax compensation expense for stock-based awards (net of forfeitures) and associated income tax benefits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color w:val="auto"/>
                <w:w w:val="89"/>
              </w:rPr>
              <w:t>(a)</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tcBorders>
              <w:top w:val="single" w:sz="8" w:color="auto"/>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color w:val="auto"/>
              </w:rPr>
              <w:t>(b)</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w:t>
            </w: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4"/>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64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gridSpan w:val="2"/>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6"/>
        </w:trPr>
        <w:tc>
          <w:tcPr>
            <w:tcW w:w="6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2020 included $2 million and zero of expense related to cash-settled nonvested restricted stock awards and cash-settled performance units, respectively.</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2019 included $5 million and zero of expense related to cash-settled nonvested restricted stock awards and cash-settled performance units, respectively.</w:t>
      </w:r>
    </w:p>
    <w:p>
      <w:pPr>
        <w:ind w:left="300" w:hanging="292"/>
        <w:spacing w:after="0"/>
        <w:tabs>
          <w:tab w:leader="none" w:pos="3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2018 included $9 million and $8 million of expense related to cash-settled nonvested restricted stock awards and cash-settled performance units,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SARs are granted to employees or directors at a price equal to the fair market value of the stock on the date of grant and typically become exercisable over periods of one to three years. Unexercised SARs lapse ten years after the date of grant.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 The following table illustrates the weighted-average of key assumptions used within the Black-Scholes option-pricing model. The risk-free interest rate assumption was based on the U.S. Treasury yield curve in effect at the time of the grant for the expected term of the instrument. The dividend yield reflects the assumption that the current dividend payout will continue with no anticipated increases. The volatility assumption was calculated by utilizing peer companies because historical volatility was not considered reflective of future volatility given the divestitures discussed in Notes C and D. The expected life is based on the mid-point of the weighted average time to vest and contractual term.</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7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 of SARs granted</w:t>
            </w:r>
          </w:p>
        </w:tc>
        <w:tc>
          <w:tcPr>
            <w:tcW w:w="17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16.15</w:t>
            </w:r>
          </w:p>
        </w:tc>
        <w:tc>
          <w:tcPr>
            <w:tcW w:w="5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21.95</w:t>
            </w:r>
          </w:p>
        </w:tc>
        <w:tc>
          <w:tcPr>
            <w:tcW w:w="5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Assumptions (weighted-average)</w:t>
            </w: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4"/>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life (in years)</w:t>
            </w:r>
          </w:p>
        </w:tc>
        <w:tc>
          <w:tcPr>
            <w:tcW w:w="17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bl>
    <w:p>
      <w:pPr>
        <w:spacing w:after="0" w:line="368"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 progression of activity and various other information relative to SARs and previously issued and vested stock options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Weighted-</w:t>
            </w: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Weighted-</w:t>
            </w: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average</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average</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common</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common</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common</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per share</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per share</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beginning of year</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2,261</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Forfeitures and expirations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Outstanding - end of year </w:t>
            </w:r>
            <w:r>
              <w:rPr>
                <w:rFonts w:ascii="Times New Roman" w:cs="Times New Roman" w:eastAsia="Times New Roman" w:hAnsi="Times New Roman"/>
                <w:sz w:val="14"/>
                <w:szCs w:val="14"/>
                <w:color w:val="auto"/>
              </w:rPr>
              <w:t>(a)</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 end of year</w:t>
            </w: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line="20" w:lineRule="exact"/>
              <w:rPr>
                <w:sz w:val="1"/>
                <w:szCs w:val="1"/>
                <w:color w:val="auto"/>
              </w:rPr>
            </w:pPr>
          </w:p>
        </w:tc>
      </w:tr>
      <w:tr>
        <w:trPr>
          <w:trHeight w:val="215"/>
        </w:trPr>
        <w:tc>
          <w:tcPr>
            <w:tcW w:w="4480" w:type="dxa"/>
            <w:vAlign w:val="bottom"/>
            <w:vMerge w:val="continue"/>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ind w:left="300" w:hanging="292"/>
        <w:spacing w:after="0" w:line="241" w:lineRule="auto"/>
        <w:tabs>
          <w:tab w:leader="none" w:pos="3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prices per share for SARs outstanding at September 30, 2020 ranged from $27.54 to $29.50 for 93 thousand shares, from $37.37 to $47.63 for 279 thousand shares, from $57.96 to $59.95 for 773 thousand shares, and from $62.33 to $82.34 for 848 thousand shares. The weighted-average remaining contractual life of outstanding SARs and stock options was 5.7 years and exercisable SARs and stock options was 5.0 years</w:t>
      </w:r>
    </w:p>
    <w:p>
      <w:pPr>
        <w:spacing w:after="0" w:line="73"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total intrinsic value of SARs exercised was $8 million in 2020, $12 million in 2019 and $15 million in 2018. The actual tax benefit realized from the exercised SARs was $2 million in 2020, $3 million in 2019 and $5 million in 2018. The total grant date fair value of SARs that vested during 2020, 2019 and 2018 was $4 million, $8 million and $4 million, respectively. As of September 30, 2020, there was $3 million of total unrecognized compensation costs related to SARs. That cost is expected to be recognized over a weighted-average period of 1.6 years. As of September 30, 2020, the aggregate intrinsic value of outstanding SARs and exercisable SARs was $23 million, each.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awards</w:t>
      </w:r>
    </w:p>
    <w:p>
      <w:pPr>
        <w:spacing w:after="0" w:line="12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5" w:name="page136"/>
    <w:bookmarkEnd w:id="135"/>
    <w:p>
      <w:pPr>
        <w:ind w:left="400"/>
        <w:spacing w:after="0"/>
        <w:rPr>
          <w:sz w:val="20"/>
          <w:szCs w:val="20"/>
          <w:color w:val="auto"/>
        </w:rPr>
      </w:pPr>
      <w:r>
        <w:rPr>
          <w:rFonts w:ascii="Times New Roman" w:cs="Times New Roman" w:eastAsia="Times New Roman" w:hAnsi="Times New Roman"/>
          <w:sz w:val="18"/>
          <w:szCs w:val="18"/>
          <w:color w:val="auto"/>
        </w:rPr>
        <w:t>A progression of activity and various other information relative to nonvested stock awards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tcBorders>
              <w:top w:val="single" w:sz="8" w:color="auto"/>
              <w:bottom w:val="single" w:sz="8" w:color="auto"/>
            </w:tcBorders>
          </w:tcPr>
          <w:p>
            <w:pPr>
              <w:spacing w:after="0"/>
              <w:rPr>
                <w:sz w:val="21"/>
                <w:szCs w:val="21"/>
                <w:color w:val="auto"/>
              </w:rPr>
            </w:pPr>
          </w:p>
        </w:tc>
      </w:tr>
      <w:tr>
        <w:trPr>
          <w:trHeight w:val="218"/>
        </w:trPr>
        <w:tc>
          <w:tcPr>
            <w:tcW w:w="47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Number</w:t>
            </w: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Number</w:t>
            </w: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Weighted-</w:t>
            </w: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30"/>
        </w:trPr>
        <w:tc>
          <w:tcPr>
            <w:tcW w:w="47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w:t>
            </w:r>
          </w:p>
        </w:tc>
      </w:tr>
      <w:tr>
        <w:trPr>
          <w:trHeight w:val="229"/>
        </w:trPr>
        <w:tc>
          <w:tcPr>
            <w:tcW w:w="47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grant date</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grant date</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common</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grant date</w:t>
            </w:r>
          </w:p>
        </w:tc>
      </w:tr>
      <w:tr>
        <w:trPr>
          <w:trHeight w:val="234"/>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fair value</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fair value</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 beginning of year</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29"/>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 end of year</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total fair value of nonvested stock awards that vested during 2020, 2019 and 2018 was $9 million, $10 million and $6 million, respectively. As of September 30, 2020, there was $7 million of total unrecognized compensation costs related to nonvested stock awards. That cost is expected to be recognized over a weighted-average period of 2.1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Cash-settled nonvested stock awards</w:t>
      </w:r>
    </w:p>
    <w:p>
      <w:pPr>
        <w:spacing w:after="0" w:line="119"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Certain nonvested stock awards are granted to employees and are settled in cash upon vesting. As of September 30, 2020, 74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$2 million, $5 million, and $9 million during 2020, 2019 and 2018,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jc w:val="both"/>
        <w:ind w:firstLine="394"/>
        <w:spacing w:after="0" w:line="289" w:lineRule="auto"/>
        <w:rPr>
          <w:sz w:val="20"/>
          <w:szCs w:val="20"/>
          <w:color w:val="auto"/>
        </w:rPr>
      </w:pPr>
      <w:r>
        <w:rPr>
          <w:rFonts w:ascii="Times New Roman" w:cs="Times New Roman" w:eastAsia="Times New Roman" w:hAnsi="Times New Roman"/>
          <w:sz w:val="17"/>
          <w:szCs w:val="17"/>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vesting period. Nonvested performance shares/units do not entitle employees to vote the shares or to receive any dividends thereon.</w:t>
      </w:r>
    </w:p>
    <w:p>
      <w:pPr>
        <w:spacing w:after="0" w:line="50"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For awards granted in prior years, upon vesting, each performance unit will be settled in stock based on the fair market value of Ashland common stock and recorded as a component of stockholders’ equity. The financial performance award metric is considered a performance condition under applicable U.S. GAAP. Additionally, the actual number of performance units issuable upon vesting can be potentially increased or decreased based on a total shareholder return (TSR) performance modifier relative to peers for Ashland.</w:t>
      </w:r>
    </w:p>
    <w:p>
      <w:pPr>
        <w:spacing w:after="0" w:line="72"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For awards granted in 2020, each performance share is convertible to one share of Ashland Common Stock and recorded as a component of stockholders’ equity. Performance measures used to determine the actual number of performance shares issuable upon vesting includes 60:40 weighting of Ashland’s total shareholder return (TSR) performance and Ashland’s return on net assets (RONA) performance as compared to internal targets. TSR relative to peers is considered a market condition while RONA is considered a performance condition in accordance with U.S. GAAP.</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performance shares/units granted for all plans that award Ashland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Weighted-</w:t>
            </w:r>
          </w:p>
        </w:tc>
      </w:tr>
      <w:tr>
        <w:trPr>
          <w:trHeight w:val="230"/>
        </w:trPr>
        <w:tc>
          <w:tcPr>
            <w:tcW w:w="19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Target</w:t>
            </w:r>
          </w:p>
        </w:tc>
        <w:tc>
          <w:tcPr>
            <w:tcW w:w="860" w:type="dxa"/>
            <w:vAlign w:val="bottom"/>
          </w:tcPr>
          <w:p>
            <w:pPr>
              <w:spacing w:after="0"/>
              <w:rPr>
                <w:sz w:val="19"/>
                <w:szCs w:val="19"/>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average</w:t>
            </w:r>
          </w:p>
        </w:tc>
      </w:tr>
      <w:tr>
        <w:trPr>
          <w:trHeight w:val="230"/>
        </w:trPr>
        <w:tc>
          <w:tcPr>
            <w:tcW w:w="19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shares/units</w:t>
            </w:r>
          </w:p>
        </w:tc>
        <w:tc>
          <w:tcPr>
            <w:tcW w:w="860" w:type="dxa"/>
            <w:vAlign w:val="bottom"/>
          </w:tcPr>
          <w:p>
            <w:pPr>
              <w:spacing w:after="0"/>
              <w:rPr>
                <w:sz w:val="19"/>
                <w:szCs w:val="19"/>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fair value per</w:t>
            </w:r>
          </w:p>
        </w:tc>
      </w:tr>
      <w:tr>
        <w:trPr>
          <w:trHeight w:val="234"/>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7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Vesting period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(a)</w:t>
            </w:r>
          </w:p>
        </w:tc>
        <w:tc>
          <w:tcPr>
            <w:tcW w:w="1600" w:type="dxa"/>
            <w:vAlign w:val="bottom"/>
            <w:tcBorders>
              <w:bottom w:val="single" w:sz="8" w:color="auto"/>
            </w:tcBorders>
          </w:tcPr>
          <w:p>
            <w:pPr>
              <w:jc w:val="right"/>
              <w:spacing w:after="0" w:line="235" w:lineRule="exact"/>
              <w:rPr>
                <w:sz w:val="20"/>
                <w:szCs w:val="20"/>
                <w:color w:val="auto"/>
              </w:rPr>
            </w:pPr>
            <w:r>
              <w:rPr>
                <w:rFonts w:ascii="Times New Roman" w:cs="Times New Roman" w:eastAsia="Times New Roman" w:hAnsi="Times New Roman"/>
                <w:sz w:val="17"/>
                <w:szCs w:val="17"/>
                <w:color w:val="auto"/>
              </w:rPr>
              <w:t xml:space="preserve">share/unit  </w:t>
            </w:r>
            <w:r>
              <w:rPr>
                <w:rFonts w:ascii="Times New Roman" w:cs="Times New Roman" w:eastAsia="Times New Roman" w:hAnsi="Times New Roman"/>
                <w:sz w:val="27"/>
                <w:szCs w:val="27"/>
                <w:color w:val="auto"/>
                <w:vertAlign w:val="subscript"/>
              </w:rPr>
              <w:t>(a)</w:t>
            </w:r>
          </w:p>
        </w:tc>
      </w:tr>
      <w:tr>
        <w:trPr>
          <w:trHeight w:val="223"/>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2020</w:t>
            </w:r>
          </w:p>
        </w:tc>
        <w:tc>
          <w:tcPr>
            <w:tcW w:w="47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October 1, 2019 - September 30, 2022</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88.65</w:t>
            </w: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2019</w:t>
            </w:r>
          </w:p>
        </w:tc>
        <w:tc>
          <w:tcPr>
            <w:tcW w:w="4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October 1, 2018 - September 30, 2021</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84.93</w:t>
            </w:r>
          </w:p>
        </w:tc>
      </w:tr>
      <w:tr>
        <w:trPr>
          <w:trHeight w:val="230"/>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2018</w:t>
            </w:r>
          </w:p>
        </w:tc>
        <w:tc>
          <w:tcPr>
            <w:tcW w:w="47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October 1, 2017 - September 30, 2020</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68.93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300" w:hanging="292"/>
        <w:spacing w:after="0" w:line="261" w:lineRule="auto"/>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6" w:name="page137"/>
    <w:bookmarkEnd w:id="136"/>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For these awards,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5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tcBorders>
              <w:top w:val="single" w:sz="8" w:color="auto"/>
              <w:bottom w:val="single" w:sz="8" w:color="auto"/>
            </w:tcBorders>
          </w:tcPr>
          <w:p>
            <w:pPr>
              <w:spacing w:after="0"/>
              <w:rPr>
                <w:sz w:val="21"/>
                <w:szCs w:val="21"/>
                <w:color w:val="auto"/>
              </w:rPr>
            </w:pPr>
          </w:p>
        </w:tc>
        <w:tc>
          <w:tcPr>
            <w:tcW w:w="38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 - 1.8%</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8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20.5%</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24.6%</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152"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in nonvested performance shares/units for all plans that award Ashland Common Stock or cash (fiscal year 2017 only).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20" w:type="dxa"/>
            <w:vAlign w:val="bottom"/>
            <w:tcBorders>
              <w:top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900" w:type="dxa"/>
            <w:vAlign w:val="bottom"/>
            <w:tcBorders>
              <w:top w:val="single" w:sz="8" w:color="auto"/>
              <w:bottom w:val="single" w:sz="8" w:color="auto"/>
            </w:tcBorders>
          </w:tcPr>
          <w:p>
            <w:pPr>
              <w:spacing w:after="0"/>
              <w:rPr>
                <w:sz w:val="21"/>
                <w:szCs w:val="21"/>
                <w:color w:val="auto"/>
              </w:rPr>
            </w:pPr>
          </w:p>
        </w:tc>
      </w:tr>
      <w:tr>
        <w:trPr>
          <w:trHeight w:val="218"/>
        </w:trPr>
        <w:tc>
          <w:tcPr>
            <w:tcW w:w="4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Weighted-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Weighted-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30"/>
        </w:trPr>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average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average</w:t>
            </w:r>
          </w:p>
        </w:tc>
      </w:tr>
      <w:tr>
        <w:trPr>
          <w:trHeight w:val="229"/>
        </w:trPr>
        <w:tc>
          <w:tcPr>
            <w:tcW w:w="47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grant date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grant date</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grant date</w:t>
            </w: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fair value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fair value</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 beginning of year</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63.00</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88.65</w:t>
            </w:r>
          </w:p>
        </w:tc>
        <w:tc>
          <w:tcPr>
            <w:tcW w:w="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84.93</w:t>
            </w:r>
          </w:p>
        </w:tc>
        <w:tc>
          <w:tcPr>
            <w:tcW w:w="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68.93</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77.09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65.53</w:t>
            </w:r>
          </w:p>
        </w:tc>
      </w:tr>
      <w:tr>
        <w:trPr>
          <w:trHeight w:val="229"/>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82.53</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66.24</w:t>
            </w: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 end of year</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76.59</w:t>
            </w: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64.55</w:t>
            </w:r>
          </w:p>
        </w:tc>
      </w:tr>
      <w:tr>
        <w:trPr>
          <w:trHeight w:val="20"/>
        </w:trPr>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As of September 30, 2020, there was $6 million of total unrecognized compensation costs related to nonvested performance share/unit awards. That cost is expected to be recognized over a weighted-average period of approximately 2.0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68"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rights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were not material. Standalone selling prices are based on prices Ashland charges to customers, which in some cases are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84"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activities, whether performed before or after the customer obtains control of the goods, are accounted for as fulfillment costs when not reimbursed.</w:t>
      </w:r>
    </w:p>
    <w:p>
      <w:pPr>
        <w:spacing w:after="0" w:line="117"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Costs incurred to obtain contracts with customers have historically not been significant and are expensed immediately as the period of performance is generally one year or less. Ashland records bad debt expense in specific situations when it is determined that the customer is unable to meet its financial obligation.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Upon adoption, Ashland utilized the following applicable practical expedients, as permitted by ASC 606, Revenue from Contracts with Customers:</w:t>
      </w:r>
    </w:p>
    <w:p>
      <w:pPr>
        <w:spacing w:after="0" w:line="117" w:lineRule="exact"/>
        <w:rPr>
          <w:sz w:val="20"/>
          <w:szCs w:val="20"/>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other similar taxes collected from customers on behalf of third parties are excluded from the contract price;</w:t>
      </w:r>
    </w:p>
    <w:p>
      <w:pPr>
        <w:spacing w:after="0" w:line="11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shipping and handling activities, whether performed before or after the customer obtains control of the goods, are accounted for as fulfillment costs when not reimbursed; and</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obtain contracts with customers are expensed immediately when the amortization period is one year or less.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21" w:lineRule="exact"/>
        <w:rPr>
          <w:sz w:val="20"/>
          <w:szCs w:val="20"/>
          <w:color w:val="auto"/>
        </w:rPr>
      </w:pPr>
    </w:p>
    <w:p>
      <w:pPr>
        <w:jc w:val="both"/>
        <w:ind w:right="20" w:firstLine="394"/>
        <w:spacing w:after="0" w:line="266" w:lineRule="auto"/>
        <w:rPr>
          <w:sz w:val="20"/>
          <w:szCs w:val="20"/>
          <w:color w:val="auto"/>
        </w:rPr>
      </w:pPr>
      <w:r>
        <w:rPr>
          <w:rFonts w:ascii="Times New Roman" w:cs="Times New Roman" w:eastAsia="Times New Roman" w:hAnsi="Times New Roman"/>
          <w:sz w:val="18"/>
          <w:szCs w:val="18"/>
          <w:color w:val="auto"/>
        </w:rPr>
        <w:t>Trade receivables are defined as receivables arising from contracts with customers and are recorded within the accounts receivable caption within the Condensed Consolidated Balance Sheets. Ashland’s trade receivables were $441 million and $435 million as of September 30, 2020 and September 30, 2019,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disaggregates its revenue from contracts with customers by segment and geographical region, as Ashland believes these categories best depict how management reviews the financial performance of its operations for the twelve months ended September 30, 2020, 2019 and 2018. Ashland includes only U.S. and Canada in its North America designation. See the following tables for details (Intersegment sales eliminations have been excluded. See Note R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8" w:name="page139"/>
    <w:bookmarkEnd w:id="138"/>
    <w:p>
      <w:pPr>
        <w:jc w:val="center"/>
        <w:ind w:right="1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Sales by geography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2019</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2018</w:t>
            </w:r>
          </w:p>
        </w:tc>
      </w:tr>
      <w:tr>
        <w:trPr>
          <w:trHeight w:val="210"/>
        </w:trPr>
        <w:tc>
          <w:tcPr>
            <w:tcW w:w="3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17"/>
                <w:szCs w:val="17"/>
                <w:color w:val="auto"/>
                <w:w w:val="99"/>
              </w:rPr>
              <w:t>Life Sciences</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96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229</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2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308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708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2018</w:t>
            </w:r>
          </w:p>
        </w:tc>
      </w:tr>
      <w:tr>
        <w:trPr>
          <w:trHeight w:val="210"/>
        </w:trPr>
        <w:tc>
          <w:tcPr>
            <w:tcW w:w="3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17"/>
                <w:szCs w:val="17"/>
                <w:color w:val="auto"/>
              </w:rPr>
              <w:t>Personal Care &amp; Household</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96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2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308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702</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0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2018</w:t>
            </w:r>
          </w:p>
        </w:tc>
      </w:tr>
      <w:tr>
        <w:trPr>
          <w:trHeight w:val="209"/>
        </w:trPr>
        <w:tc>
          <w:tcPr>
            <w:tcW w:w="3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center"/>
              <w:ind w:left="1375"/>
              <w:spacing w:after="0"/>
              <w:rPr>
                <w:sz w:val="20"/>
                <w:szCs w:val="20"/>
                <w:color w:val="auto"/>
              </w:rPr>
            </w:pPr>
            <w:r>
              <w:rPr>
                <w:rFonts w:ascii="Times New Roman" w:cs="Times New Roman" w:eastAsia="Times New Roman" w:hAnsi="Times New Roman"/>
                <w:sz w:val="17"/>
                <w:szCs w:val="17"/>
                <w:color w:val="auto"/>
              </w:rPr>
              <w:t>Specialty Additives</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96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2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308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589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0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2018</w:t>
            </w:r>
          </w:p>
        </w:tc>
      </w:tr>
      <w:tr>
        <w:trPr>
          <w:trHeight w:val="210"/>
        </w:trPr>
        <w:tc>
          <w:tcPr>
            <w:tcW w:w="3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17"/>
                <w:szCs w:val="17"/>
                <w:color w:val="auto"/>
              </w:rPr>
              <w:t>Performance Adhesives</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293</w:t>
            </w:r>
          </w:p>
        </w:tc>
        <w:tc>
          <w:tcPr>
            <w:tcW w:w="96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2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08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0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2018</w:t>
            </w:r>
          </w:p>
        </w:tc>
      </w:tr>
      <w:tr>
        <w:trPr>
          <w:trHeight w:val="210"/>
        </w:trPr>
        <w:tc>
          <w:tcPr>
            <w:tcW w:w="3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center"/>
              <w:ind w:left="1355"/>
              <w:spacing w:after="0"/>
              <w:rPr>
                <w:sz w:val="20"/>
                <w:szCs w:val="20"/>
                <w:color w:val="auto"/>
              </w:rPr>
            </w:pPr>
            <w:r>
              <w:rPr>
                <w:rFonts w:ascii="Times New Roman" w:cs="Times New Roman" w:eastAsia="Times New Roman" w:hAnsi="Times New Roman"/>
                <w:sz w:val="17"/>
                <w:szCs w:val="17"/>
                <w:color w:val="auto"/>
                <w:w w:val="99"/>
              </w:rPr>
              <w:t>Intermediates and Solvents</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2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08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REPORTABLE SEGMENT INFORMATION</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Reportable Segments</w:t>
      </w:r>
    </w:p>
    <w:p>
      <w:pPr>
        <w:spacing w:after="0" w:line="121" w:lineRule="exact"/>
        <w:rPr>
          <w:sz w:val="20"/>
          <w:szCs w:val="20"/>
          <w:color w:val="auto"/>
        </w:rPr>
      </w:pPr>
    </w:p>
    <w:p>
      <w:pPr>
        <w:jc w:val="both"/>
        <w:ind w:firstLine="394"/>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year 2020, Ashland changed the manner in which it manages the business moving from a functionally led to a business led organization. This change recognizes that Ashland has a diverse portfolio of businesses with different value propositions for the markets Ashland serves. The organizational change allows Ashland to align its business models, resources and cost structure to the specific needs of each business and enables greater ownership and accountability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spacing w:after="0" w:line="256" w:lineRule="auto"/>
        <w:rPr>
          <w:sz w:val="20"/>
          <w:szCs w:val="20"/>
          <w:color w:val="auto"/>
        </w:rPr>
      </w:pPr>
      <w:r>
        <w:rPr>
          <w:rFonts w:ascii="Times New Roman" w:cs="Times New Roman" w:eastAsia="Times New Roman" w:hAnsi="Times New Roman"/>
          <w:sz w:val="18"/>
          <w:szCs w:val="18"/>
          <w:color w:val="auto"/>
        </w:rPr>
        <w:t>both short- and long-term performance. Ashland has realigned its segment reporting structure commensurate with this organizational change. The reportable segments are consistent with how the segments report to and are managed by Ashland’s Chief Executive Officer (the chief operating decision maker). As a result, Ashland’s reportable segments include Life Sciences, Personal Care &amp; Household, Specialty Additives, Performance Adhesives and Intermediates and Solvents. Unallocated and Other includes corporate governance activities and certain legacy matters. The historical segment information has been recast to conform to the current segment structure. Ashland has also provided subtotals by its consumer and industrial businesses to reflect the end markets served by each reportable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business descriptions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Specialties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Consumer Specialties business is comprised of the following reportable segments:</w:t>
      </w:r>
    </w:p>
    <w:p>
      <w:pPr>
        <w:spacing w:after="0" w:line="117"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Specialties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Industrial Specialties business is comprised of the following reportable segments:</w:t>
      </w:r>
    </w:p>
    <w:p>
      <w:pPr>
        <w:spacing w:after="0" w:line="117" w:lineRule="exact"/>
        <w:rPr>
          <w:sz w:val="20"/>
          <w:szCs w:val="20"/>
          <w:color w:val="auto"/>
        </w:rPr>
      </w:pPr>
    </w:p>
    <w:p>
      <w:pPr>
        <w:jc w:val="both"/>
        <w:ind w:firstLine="394"/>
        <w:spacing w:after="0" w:line="254"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4"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20" w:firstLine="394"/>
        <w:spacing w:after="0" w:line="282" w:lineRule="auto"/>
        <w:rPr>
          <w:sz w:val="20"/>
          <w:szCs w:val="20"/>
          <w:color w:val="auto"/>
        </w:rPr>
      </w:pPr>
      <w:r>
        <w:rPr>
          <w:rFonts w:ascii="Times New Roman" w:cs="Times New Roman" w:eastAsia="Times New Roman" w:hAnsi="Times New Roman"/>
          <w:sz w:val="18"/>
          <w:szCs w:val="18"/>
          <w:color w:val="auto"/>
        </w:rPr>
        <w:t>Intermediates and Solvents is comprised of the production of 1,4 butanediol (BDO) and related derivatives, including n-methylpyrrolidone. These products are used as chemical intermediates in the production of engineering polymers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polyurethanes, and as specialty process solvents in a wide array of applications including electronics, pharmaceuticals, water filtration membranes and more. Butanediol is also provided as a feedstock to the supplied to Life Sciences, Personal Care, and Specialty Additives for use as a raw material.</w:t>
      </w:r>
    </w:p>
    <w:p>
      <w:pPr>
        <w:spacing w:after="0" w:line="54"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w:t>
      </w:r>
    </w:p>
    <w:p>
      <w:pPr>
        <w:spacing w:after="0" w:line="119"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8"/>
          <w:szCs w:val="18"/>
          <w:color w:val="auto"/>
        </w:rPr>
        <w:t>Information about Ashland’s domestic and international operations follows. Ashland has no operations in any individual international country or single customer that represented more than 10% of sales in 2020, 2019 or 2018.</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9"/>
              </w:rPr>
              <w:t>Sales to external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Net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Property, plant and</w:t>
            </w:r>
          </w:p>
        </w:tc>
      </w:tr>
      <w:tr>
        <w:trPr>
          <w:trHeight w:val="234"/>
        </w:trPr>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equipment - net</w:t>
            </w:r>
          </w:p>
        </w:tc>
      </w:tr>
      <w:tr>
        <w:trPr>
          <w:trHeight w:val="22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9"/>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4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results</w:t>
      </w:r>
    </w:p>
    <w:p>
      <w:pPr>
        <w:spacing w:after="0" w:line="12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of the Statement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changes in the current fiscal year for certain corporate governance costs, which were previously allocated. These costs are now reflected in Unallocated and Other for all periods presented.</w:t>
      </w:r>
    </w:p>
    <w:p>
      <w:pPr>
        <w:spacing w:after="0" w:line="86"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1" w:name="page142"/>
    <w:bookmarkEnd w:id="141"/>
    <w:p>
      <w:pPr>
        <w:ind w:left="400"/>
        <w:spacing w:after="0"/>
        <w:rPr>
          <w:sz w:val="20"/>
          <w:szCs w:val="20"/>
          <w:color w:val="auto"/>
        </w:rPr>
      </w:pPr>
      <w:r>
        <w:rPr>
          <w:rFonts w:ascii="Times New Roman" w:cs="Times New Roman" w:eastAsia="Times New Roman" w:hAnsi="Times New Roman"/>
          <w:sz w:val="18"/>
          <w:szCs w:val="18"/>
          <w:color w:val="auto"/>
        </w:rPr>
        <w:t>The following table presents various financial information for each reportable segment for the years ended September 30, 2020, 2019 and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1,433</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r>
      <w:tr>
        <w:trPr>
          <w:trHeight w:val="22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i w:val="1"/>
                <w:iCs w:val="1"/>
                <w:color w:val="auto"/>
              </w:rPr>
              <w:t>(a)</w:t>
            </w: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3880" w:type="dxa"/>
            <w:vAlign w:val="bottom"/>
            <w:tcBorders>
              <w:bottom w:val="single" w:sz="8" w:color="CFF0FC"/>
            </w:tcBorders>
          </w:tcPr>
          <w:p>
            <w:pPr>
              <w:spacing w:after="0"/>
              <w:rPr>
                <w:sz w:val="22"/>
                <w:szCs w:val="22"/>
                <w:color w:val="auto"/>
              </w:rPr>
            </w:pPr>
          </w:p>
        </w:tc>
        <w:tc>
          <w:tcPr>
            <w:tcW w:w="28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2,589</w:t>
            </w: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income</w:t>
            </w:r>
          </w:p>
        </w:tc>
        <w:tc>
          <w:tcPr>
            <w:tcW w:w="2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29"/>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0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0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0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8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8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388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30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8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3880" w:type="dxa"/>
            <w:vAlign w:val="bottom"/>
            <w:tcBorders>
              <w:bottom w:val="single" w:sz="8" w:color="CFF0FC"/>
            </w:tcBorders>
            <w:shd w:val="clear" w:color="auto" w:fill="CFF0FC"/>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3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36"/>
        </w:trPr>
        <w:tc>
          <w:tcPr>
            <w:tcW w:w="3880" w:type="dxa"/>
            <w:vAlign w:val="bottom"/>
          </w:tcPr>
          <w:p>
            <w:pPr>
              <w:spacing w:after="0"/>
              <w:rPr>
                <w:sz w:val="24"/>
                <w:szCs w:val="24"/>
                <w:color w:val="auto"/>
              </w:rPr>
            </w:pPr>
          </w:p>
        </w:tc>
        <w:tc>
          <w:tcPr>
            <w:tcW w:w="3300" w:type="dxa"/>
            <w:vAlign w:val="bottom"/>
            <w:gridSpan w:val="2"/>
          </w:tcPr>
          <w:p>
            <w:pPr>
              <w:jc w:val="right"/>
              <w:ind w:right="1296"/>
              <w:spacing w:after="0"/>
              <w:rPr>
                <w:sz w:val="20"/>
                <w:szCs w:val="20"/>
                <w:color w:val="auto"/>
              </w:rPr>
            </w:pPr>
            <w:r>
              <w:rPr>
                <w:rFonts w:ascii="Times New Roman" w:cs="Times New Roman" w:eastAsia="Times New Roman" w:hAnsi="Times New Roman"/>
                <w:sz w:val="18"/>
                <w:szCs w:val="18"/>
                <w:color w:val="auto"/>
              </w:rPr>
              <w:t>F-61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2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8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4400" w:type="dxa"/>
            <w:vAlign w:val="bottom"/>
            <w:tcBorders>
              <w:bottom w:val="single" w:sz="8" w:color="CFF0FC"/>
            </w:tcBorders>
          </w:tcPr>
          <w:p>
            <w:pPr>
              <w:spacing w:after="0"/>
              <w:rPr>
                <w:sz w:val="22"/>
                <w:szCs w:val="22"/>
                <w:color w:val="auto"/>
              </w:rPr>
            </w:pPr>
          </w:p>
        </w:tc>
        <w:tc>
          <w:tcPr>
            <w:tcW w:w="22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Amortization expense </w:t>
            </w:r>
            <w:r>
              <w:rPr>
                <w:rFonts w:ascii="Times New Roman" w:cs="Times New Roman" w:eastAsia="Times New Roman" w:hAnsi="Times New Roman"/>
                <w:sz w:val="14"/>
                <w:szCs w:val="14"/>
                <w:b w:val="1"/>
                <w:bCs w:val="1"/>
                <w:color w:val="auto"/>
              </w:rPr>
              <w:t>(b)</w:t>
            </w:r>
          </w:p>
        </w:tc>
        <w:tc>
          <w:tcPr>
            <w:tcW w:w="2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8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400" w:type="dxa"/>
            <w:vAlign w:val="bottom"/>
            <w:tcBorders>
              <w:bottom w:val="single" w:sz="8" w:color="CFF0FC"/>
            </w:tcBorders>
          </w:tcPr>
          <w:p>
            <w:pPr>
              <w:spacing w:after="0"/>
              <w:rPr>
                <w:sz w:val="22"/>
                <w:szCs w:val="22"/>
                <w:color w:val="auto"/>
              </w:rPr>
            </w:pPr>
          </w:p>
        </w:tc>
        <w:tc>
          <w:tcPr>
            <w:tcW w:w="22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b w:val="1"/>
                <w:bCs w:val="1"/>
                <w:color w:val="auto"/>
              </w:rPr>
              <w:t>(c) (d)</w:t>
            </w:r>
          </w:p>
        </w:tc>
        <w:tc>
          <w:tcPr>
            <w:tcW w:w="2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29"/>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8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63"/>
        </w:trPr>
        <w:tc>
          <w:tcPr>
            <w:tcW w:w="4400" w:type="dxa"/>
            <w:vAlign w:val="bottom"/>
            <w:tcBorders>
              <w:bottom w:val="single" w:sz="8" w:color="CFF0FC"/>
            </w:tcBorders>
          </w:tcPr>
          <w:p>
            <w:pPr>
              <w:spacing w:after="0"/>
              <w:rPr>
                <w:sz w:val="22"/>
                <w:szCs w:val="22"/>
                <w:color w:val="auto"/>
              </w:rPr>
            </w:pPr>
          </w:p>
        </w:tc>
        <w:tc>
          <w:tcPr>
            <w:tcW w:w="22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Additions to property, plant and equipment</w:t>
            </w:r>
          </w:p>
        </w:tc>
        <w:tc>
          <w:tcPr>
            <w:tcW w:w="2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8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4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37"/>
        </w:trPr>
        <w:tc>
          <w:tcPr>
            <w:tcW w:w="4400" w:type="dxa"/>
            <w:vAlign w:val="bottom"/>
          </w:tcPr>
          <w:p>
            <w:pPr>
              <w:spacing w:after="0"/>
              <w:rPr>
                <w:sz w:val="24"/>
                <w:szCs w:val="24"/>
                <w:color w:val="auto"/>
              </w:rPr>
            </w:pPr>
          </w:p>
        </w:tc>
        <w:tc>
          <w:tcPr>
            <w:tcW w:w="2800" w:type="dxa"/>
            <w:vAlign w:val="bottom"/>
            <w:gridSpan w:val="2"/>
          </w:tcPr>
          <w:p>
            <w:pPr>
              <w:jc w:val="right"/>
              <w:ind w:right="1316"/>
              <w:spacing w:after="0"/>
              <w:rPr>
                <w:sz w:val="20"/>
                <w:szCs w:val="20"/>
                <w:color w:val="auto"/>
              </w:rPr>
            </w:pPr>
            <w:r>
              <w:rPr>
                <w:rFonts w:ascii="Times New Roman" w:cs="Times New Roman" w:eastAsia="Times New Roman" w:hAnsi="Times New Roman"/>
                <w:sz w:val="18"/>
                <w:szCs w:val="18"/>
                <w:color w:val="auto"/>
              </w:rPr>
              <w:t>F-62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5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1,974</w:t>
            </w:r>
          </w:p>
        </w:tc>
        <w:tc>
          <w:tcPr>
            <w:tcW w:w="160" w:type="dxa"/>
            <w:vAlign w:val="bottom"/>
          </w:tcPr>
          <w:p>
            <w:pPr>
              <w:spacing w:after="0"/>
              <w:rPr>
                <w:sz w:val="19"/>
                <w:szCs w:val="19"/>
                <w:color w:val="auto"/>
              </w:rPr>
            </w:pPr>
          </w:p>
        </w:tc>
        <w:tc>
          <w:tcPr>
            <w:tcW w:w="620" w:type="dxa"/>
            <w:vAlign w:val="bottom"/>
            <w:gridSpan w:val="2"/>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5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w:t>
            </w:r>
          </w:p>
        </w:tc>
      </w:tr>
      <w:tr>
        <w:trPr>
          <w:trHeight w:val="223"/>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1,775</w:t>
            </w:r>
          </w:p>
        </w:tc>
      </w:tr>
      <w:tr>
        <w:trPr>
          <w:trHeight w:val="229"/>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5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r>
      <w:tr>
        <w:trPr>
          <w:trHeight w:val="223"/>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2,393</w:t>
            </w:r>
          </w:p>
        </w:tc>
      </w:tr>
      <w:tr>
        <w:trPr>
          <w:trHeight w:val="223"/>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1,361</w:t>
            </w:r>
          </w:p>
        </w:tc>
      </w:tr>
      <w:tr>
        <w:trPr>
          <w:trHeight w:val="263"/>
        </w:trPr>
        <w:tc>
          <w:tcPr>
            <w:tcW w:w="5260" w:type="dxa"/>
            <w:vAlign w:val="bottom"/>
            <w:tcBorders>
              <w:bottom w:val="single" w:sz="8" w:color="CFF0FC"/>
            </w:tcBorders>
          </w:tcPr>
          <w:p>
            <w:pPr>
              <w:spacing w:after="0"/>
              <w:rPr>
                <w:sz w:val="22"/>
                <w:szCs w:val="22"/>
                <w:color w:val="auto"/>
              </w:rPr>
            </w:pPr>
          </w:p>
        </w:tc>
        <w:tc>
          <w:tcPr>
            <w:tcW w:w="25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6,877</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7,251</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tc>
        <w:tc>
          <w:tcPr>
            <w:tcW w:w="2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19"/>
                <w:szCs w:val="19"/>
                <w:color w:val="auto"/>
              </w:rPr>
            </w:pPr>
          </w:p>
        </w:tc>
        <w:tc>
          <w:tcPr>
            <w:tcW w:w="620" w:type="dxa"/>
            <w:vAlign w:val="bottom"/>
            <w:gridSpan w:val="2"/>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Personal Care &amp; Household</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Specialties</w:t>
            </w:r>
          </w:p>
        </w:tc>
        <w:tc>
          <w:tcPr>
            <w:tcW w:w="25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Performance Adhesives</w:t>
            </w:r>
          </w:p>
        </w:tc>
        <w:tc>
          <w:tcPr>
            <w:tcW w:w="25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Specialties</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r>
      <w:tr>
        <w:trPr>
          <w:trHeight w:val="223"/>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Intermediates and Solvents</w:t>
            </w:r>
          </w:p>
        </w:tc>
        <w:tc>
          <w:tcPr>
            <w:tcW w:w="2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5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5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5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and Solvents are accounted for at prices that approximate fair value. All other intersegment sales are accounted for at cost.</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zero, $4 million and $1 million related to land-use-rights associated with other non-current assets.</w:t>
      </w:r>
    </w:p>
    <w:p>
      <w:pPr>
        <w:ind w:left="300" w:hanging="292"/>
        <w:spacing w:after="0" w:line="221" w:lineRule="auto"/>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300" w:hanging="292"/>
        <w:spacing w:after="0"/>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zero, $39 million and $14 million of accelerated depreciation for the years ended September 30,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S – SUBSEQUENT EVENTS</w:t>
      </w:r>
    </w:p>
    <w:p>
      <w:pPr>
        <w:spacing w:after="0" w:line="121" w:lineRule="exact"/>
        <w:rPr>
          <w:sz w:val="20"/>
          <w:szCs w:val="20"/>
          <w:color w:val="auto"/>
        </w:rPr>
      </w:pPr>
    </w:p>
    <w:p>
      <w:pPr>
        <w:jc w:val="both"/>
        <w:ind w:firstLine="394"/>
        <w:spacing w:after="0" w:line="266" w:lineRule="auto"/>
        <w:rPr>
          <w:sz w:val="20"/>
          <w:szCs w:val="20"/>
          <w:color w:val="auto"/>
        </w:rPr>
      </w:pPr>
      <w:r>
        <w:rPr>
          <w:rFonts w:ascii="Times New Roman" w:cs="Times New Roman" w:eastAsia="Times New Roman" w:hAnsi="Times New Roman"/>
          <w:sz w:val="18"/>
          <w:szCs w:val="18"/>
          <w:color w:val="auto"/>
        </w:rPr>
        <w:t>During November 2020, Ashland closed on the definitive sale agreement to sell a Specialty Additives facility described in Note C. Consideration per the sales agreement was $23 million, subject to customary closing adjustments. The gain associated with this sale will be recorded during the first quarter of fiscal 2021. See Note C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QUARTERLY FINANCIAL INFORMATION (UNAUDITED)</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quarterly financial information and per share data relative to Ashland’s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Quarters ended</w:t>
            </w:r>
          </w:p>
        </w:tc>
        <w:tc>
          <w:tcPr>
            <w:tcW w:w="2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xml:space="preserve">2020 </w:t>
            </w:r>
            <w:r>
              <w:rPr>
                <w:rFonts w:ascii="Times New Roman" w:cs="Times New Roman" w:eastAsia="Times New Roman" w:hAnsi="Times New Roman"/>
                <w:sz w:val="14"/>
                <w:szCs w:val="14"/>
                <w:color w:val="auto"/>
                <w:w w:val="99"/>
              </w:rPr>
              <w:t>(a)</w:t>
            </w: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4"/>
                <w:szCs w:val="14"/>
                <w:color w:val="auto"/>
              </w:rPr>
              <w:t>(b)</w:t>
            </w: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as a percentage of sales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3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0.82</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0.45</w:t>
            </w: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3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0.44</w:t>
            </w:r>
          </w:p>
        </w:tc>
      </w:tr>
      <w:tr>
        <w:trPr>
          <w:trHeight w:val="229"/>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(9.61)</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3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0.250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0.275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0.250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0.275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ind w:left="300" w:hanging="292"/>
        <w:spacing w:after="0" w:line="229" w:lineRule="auto"/>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quarter results for 2020 included pre-tax key items of $7 million related to environmental adjustments, $11 million gain on securities, $22 million related to restructuring, separation and other costs, and $47 million for inventory control measures. In addition, a $29 million (net of tax) gain on sale was recorded for the completed sale of the Maleic business within net income (loss). Income tax expense for the fourth quarter included $8 million of net unfavorable tax specific key items.</w:t>
      </w:r>
    </w:p>
    <w:p>
      <w:pPr>
        <w:jc w:val="both"/>
        <w:ind w:left="300" w:hanging="292"/>
        <w:spacing w:after="0" w:line="230" w:lineRule="auto"/>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quarter results for 2019 included pre-tax key items of $11 million related to the loss on pension and postretirement benefit plan remeasurements, $6 million debt refinancing costs, $5 million gain on securities, $1 million related to restructuring, separation and other costs, and $1 million favorable true-up related to proxy costs. In addition, a $372 million (net of tax) gain on sale was recorded for the completed sale of the Composites segment (excluding the Maleic business) and the Marl facility within net income (loss). Income tax expense for the fourth quarter included $11 million of net unfavorable tax specific key items.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Selected Financial Information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 except per share data) (a)</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2,589</w:t>
            </w: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1,619</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1,463</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716</w:t>
            </w:r>
          </w:p>
        </w:tc>
      </w:tr>
      <w:tr>
        <w:trPr>
          <w:trHeight w:val="216"/>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631</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6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Intangibles amortization expense</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income (loss)</w:t>
            </w:r>
          </w:p>
        </w:tc>
        <w:tc>
          <w:tcPr>
            <w:tcW w:w="36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5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and other financing expense</w:t>
            </w:r>
          </w:p>
        </w:tc>
        <w:tc>
          <w:tcPr>
            <w:tcW w:w="36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net periodic benefit income (costs)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gain (loss) on acquisitions and divestitures</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3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9"/>
        </w:trPr>
        <w:tc>
          <w:tcPr>
            <w:tcW w:w="5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sheet information (as of September 30)</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1,712</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2,888</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w:t>
            </w:r>
          </w:p>
        </w:tc>
      </w:tr>
      <w:tr>
        <w:trPr>
          <w:trHeight w:val="247"/>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Working capital</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r>
      <w:tr>
        <w:trPr>
          <w:trHeight w:val="199"/>
        </w:trPr>
        <w:tc>
          <w:tcPr>
            <w:tcW w:w="5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6,877</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8,259</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8,618</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19"/>
        </w:trPr>
        <w:tc>
          <w:tcPr>
            <w:tcW w:w="5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Short-term debt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2,325</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36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3,165</w:t>
            </w:r>
          </w:p>
        </w:tc>
      </w:tr>
      <w:tr>
        <w:trPr>
          <w:trHeight w:val="219"/>
        </w:trPr>
        <w:tc>
          <w:tcPr>
            <w:tcW w:w="5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4"/>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information</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provided (used) by operating activities from</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6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Common stock information</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 attributable to Ashland</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(loss) attributable to Ashland</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16"/>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jc w:val="both"/>
        <w:ind w:left="300" w:hanging="292"/>
        <w:spacing w:after="0" w:line="241" w:lineRule="auto"/>
        <w:tabs>
          <w:tab w:leader="none" w:pos="3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final Valvoline Inc. distribution on May 12, 2017 and the Composites and Marl facility divestiture (including the Maleic business), these assets, liabilities, operating results and cash flows for all periods presented have been classified as discontinued operations within the Consolidated Financial Statements. See Note D within the Notes to Consolidated Financial Statements for more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ectPr>
          <w:pgSz w:w="11900" w:h="16838" w:orient="portrait"/>
          <w:cols w:equalWidth="0" w:num="1">
            <w:col w:w="9019"/>
          </w:cols>
          <w:pgMar w:left="1440" w:top="1440" w:right="1440" w:bottom="1440" w:gutter="0" w:footer="0" w:header="0"/>
          <w:type w:val="continuous"/>
        </w:sectPr>
      </w:pPr>
    </w:p>
    <w:bookmarkStart w:id="147" w:name="page148"/>
    <w:bookmarkEnd w:id="147"/>
    <w:p>
      <w:pPr>
        <w:ind w:left="102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of Ashland Global Holdings Inc. (“Ashland”) at September 30, 2020, included the companies listed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Company</w:t>
            </w:r>
          </w:p>
        </w:tc>
        <w:tc>
          <w:tcPr>
            <w:tcW w:w="5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565 Corporation</w:t>
            </w:r>
          </w:p>
        </w:tc>
        <w:tc>
          <w:tcPr>
            <w:tcW w:w="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6"/>
                <w:szCs w:val="16"/>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Adams Drive Totowa,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Alera Property Holdings,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Alera Technologies,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Alix Technologies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Aloe Vemera, S.P.R de R.L. de C.V.</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B5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GH One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GH Switzerland GmbH</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Global Holding Three GmbH</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Global Holdings Two B.V.</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GP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Junior Global Holding One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Junior Global Holding Two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 Swiss Holding Two GmbH</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(Australasia) Pty.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(China) Holdings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(Gibraltar) One Holding,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(Thailand)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Argentina S.R.L.</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Canada Corp./Corporation Ashland Canada</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Province of Nova Scotia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Canada Holdings B. V.</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Chemco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Chemical De Mexico S.A. De C.V.</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Chemical Trading (Shanghai) Company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Chemicals (Nanjing) Company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Colombia S.A.S.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Comercio de Especialidades Quimicas do Brasil Ltda.</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CZ s.r.o.</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Eastern Markets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Ethanol,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Finance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Global Holdings Inc.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India Private Limited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Industria de Ingredientes do Brasil Ltda.</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Industries Deutschland GmbH</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Industries Europe GmbH</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20"/>
                <w:szCs w:val="20"/>
                <w:color w:val="auto"/>
              </w:rPr>
            </w:pPr>
          </w:p>
        </w:tc>
      </w:tr>
      <w:tr>
        <w:trPr>
          <w:trHeight w:val="574"/>
        </w:trPr>
        <w:tc>
          <w:tcPr>
            <w:tcW w:w="5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Company</w:t>
            </w:r>
          </w:p>
        </w:tc>
        <w:tc>
          <w:tcPr>
            <w:tcW w:w="52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Ashland Industries Italia S.r.l.</w:t>
            </w:r>
          </w:p>
        </w:tc>
        <w:tc>
          <w:tcPr>
            <w:tcW w:w="3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16"/>
                <w:szCs w:val="16"/>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Industries Nederland B.V.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Ingredients Poland Sp. z o.o.</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Italia S.r.l.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Japan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Licensing and Intellectual Property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Mexico Holdings One,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Mexico Holdings Two,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Nigeria Exploration Unlimited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Oil (Nigeria) Company Unlimited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Oil,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Pacific Pty.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Pharmachem International Holdings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Services B. 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Services Mexico, S.A. de C.V.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Singapore Pte.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Spain Real Estate Holdings, S.L.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Austria GmbH</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Belgium BVBA</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France S.a.r.l.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Hispania S.L.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Ireland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Sverige AB</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Specialties UK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SPECIALTY CHEMICAL (SINGAPORE) PTE.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Specialty Chemical Korea Co.,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SPECIALTY CHEMICALS (MALAYSIA) SDN.BHD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 Specialty Ingredients G.P.</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Ashland-Alaskan,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Ashland-Plasticos De Portugal, Lda.</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Ashmont Insurance Company,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Ashprop Two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Avoca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Avoele, S.A. de C.V.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Belleville Realty Corp.</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Blazer Properties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Bluegrass Insurance Company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Clifton,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CLTA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Bay Insurance Co.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CVG Capital III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Bay Realty Services,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574"/>
        </w:trPr>
        <w:tc>
          <w:tcPr>
            <w:tcW w:w="5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Company</w:t>
            </w:r>
          </w:p>
        </w:tc>
        <w:tc>
          <w:tcPr>
            <w:tcW w:w="52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Hercofina</w:t>
            </w:r>
          </w:p>
        </w:tc>
        <w:tc>
          <w:tcPr>
            <w:tcW w:w="3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6"/>
                <w:szCs w:val="16"/>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Holding BV BVBA</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Hydrocarbon Holdings,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International Limited,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Investment ApS</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Investments Netherlands B.V.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Islands Corporation</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Paper Holdings,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Trading (Shanghai) Company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Specialty Holdings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Specialty Products (India) Private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Specialty Products Funding Corporation</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Specialty Products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(Belgium) International N. 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Alginates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Canada Corp.</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Province of Nova Scotia</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Capital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Chemco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Chemical Products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Chemicals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Environmental Services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France Holding SARL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France Marketing SARL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Freetown Fine Chemicals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Freight Services N. 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Global Operations (Barbados)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Global Technologies Deutschland Unterstutzungskasse GmbH</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Global Technologies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Global Technologies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HC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Holdings (U.K.)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Hungary Holdings Limited Liability Company</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International Corp.</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Investments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Lima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Luxembourg Canada S.a.r.l.</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Management Company,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Marl Holdings GmbH</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Microcaps (U.K.)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Pharma Systems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Real Estate Company, Inc.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ISP Singapore Holding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574"/>
        </w:trPr>
        <w:tc>
          <w:tcPr>
            <w:tcW w:w="5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Company</w:t>
            </w:r>
          </w:p>
        </w:tc>
        <w:tc>
          <w:tcPr>
            <w:tcW w:w="52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191"/>
        </w:trPr>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ISP Technologies LLC</w:t>
            </w:r>
          </w:p>
        </w:tc>
        <w:tc>
          <w:tcPr>
            <w:tcW w:w="3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Jiangmen Ashland Chemicals Company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Pakistan Gum Industries (Private)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Pakistan</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Pharmachem Laboratories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Pharmachem Laboratories Utah,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Prince Street Paterson,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Progiven S.A.S.</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Proprietary Nutritionals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Ashland Asia</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Ashland Specialty Chemicals Indonesia</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Ralop, S. de R.L. de C.V.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Ashland Chemical Technology Development Co.,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Croix Petrochemical Corp</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 (US)</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 Ashland Co., Ltd.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Techwax Limited</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Vemera, S. de R.L. de C.V.</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WSP LLC</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800"/>
          </w:cols>
          <w:pgMar w:left="320" w:top="364" w:right="77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800" w:hanging="401"/>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333-131792-01) pertaining to the 2006 Ashland Inc. Incentive Plan,</w:t>
      </w:r>
    </w:p>
    <w:p>
      <w:pPr>
        <w:spacing w:after="0" w:line="27" w:lineRule="exact"/>
        <w:rPr>
          <w:rFonts w:ascii="Times New Roman" w:cs="Times New Roman" w:eastAsia="Times New Roman" w:hAnsi="Times New Roman"/>
          <w:sz w:val="18"/>
          <w:szCs w:val="18"/>
          <w:color w:val="auto"/>
        </w:rPr>
      </w:pPr>
    </w:p>
    <w:p>
      <w:pPr>
        <w:ind w:left="800" w:right="36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333-172019-01 and 333-186408-01) pertaining to the Amended and Restated 2011 Ashland Inc. Incentive Plan,</w:t>
      </w:r>
    </w:p>
    <w:p>
      <w:pPr>
        <w:ind w:left="80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333-201895-01) pertaining to the Amended and Restated 2015 Ashland Global Holdings Inc. Incentive Plan,</w:t>
      </w:r>
    </w:p>
    <w:p>
      <w:pPr>
        <w:ind w:left="800" w:right="16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333-222841) pertaining to the Ashland Global Holdings Inc. 2018 Omnibus Incentive Compensation Plan,</w:t>
      </w:r>
    </w:p>
    <w:p>
      <w:pPr>
        <w:ind w:left="800" w:hanging="401"/>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33-62091-01) pertaining to the Ashland Inc. Deferred Compensation Plan,</w:t>
      </w:r>
    </w:p>
    <w:p>
      <w:pPr>
        <w:spacing w:after="0" w:line="9" w:lineRule="exact"/>
        <w:rPr>
          <w:rFonts w:ascii="Times New Roman" w:cs="Times New Roman" w:eastAsia="Times New Roman" w:hAnsi="Times New Roman"/>
          <w:sz w:val="18"/>
          <w:szCs w:val="18"/>
          <w:color w:val="auto"/>
        </w:rPr>
      </w:pPr>
    </w:p>
    <w:p>
      <w:pPr>
        <w:ind w:left="800" w:right="2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33-52125-01) pertaining to the Ashland Inc. Deferred Compensation Plan for Non-Employee Directors (Formerly known as Ashland Oil, Inc. Deferred Compensation and Stock Incentive Plan for Non-Employee Directors),</w:t>
      </w:r>
    </w:p>
    <w:p>
      <w:pPr>
        <w:ind w:left="800" w:right="44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333-122269-01) pertaining to the Ashland Global Holdings Inc. Deferred Compensation Plan for Employees (2005),</w:t>
      </w:r>
    </w:p>
    <w:p>
      <w:pPr>
        <w:ind w:left="800" w:right="4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333-122270-01) pertaining to the Ashland Global Holdings Inc. Deferred Compensation Plan for Non-Employee Directors (2005),</w:t>
      </w:r>
    </w:p>
    <w:p>
      <w:pPr>
        <w:ind w:left="800" w:right="30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33-32612-100, 333-157040-01 and 333-203840-01) pertaining to the Ashland Employee Savings Plan,</w:t>
      </w:r>
    </w:p>
    <w:p>
      <w:pPr>
        <w:ind w:left="800" w:right="54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333-155396-01 and 333-203840-01) pertaining to the Ashland Union Employee Savings Plan (Formerly known as the Hercules Incorporated Savings and Investment Plan),</w:t>
      </w:r>
    </w:p>
    <w:p>
      <w:pPr>
        <w:ind w:left="800" w:right="240" w:hanging="401"/>
        <w:spacing w:after="0" w:line="25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333-184109-01 and 333-203840-01) pertaining to the International Specialty Products Inc. 401(k) Plan,</w:t>
      </w:r>
    </w:p>
    <w:p>
      <w:pPr>
        <w:ind w:left="800" w:hanging="401"/>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S-3ASR (No. 333-214069) of Ashland Global Holdings Inc.,</w:t>
      </w:r>
    </w:p>
    <w:p>
      <w:pPr>
        <w:spacing w:after="0" w:line="9" w:lineRule="exact"/>
        <w:rPr>
          <w:rFonts w:ascii="Times New Roman" w:cs="Times New Roman" w:eastAsia="Times New Roman" w:hAnsi="Times New Roman"/>
          <w:sz w:val="18"/>
          <w:szCs w:val="18"/>
          <w:color w:val="auto"/>
        </w:rPr>
      </w:pPr>
    </w:p>
    <w:p>
      <w:pPr>
        <w:ind w:left="800" w:right="220" w:hanging="401"/>
        <w:spacing w:after="0" w:line="260"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November 23, 2020, with respect to the consolidated financial statements of Ashland Global Holdings Inc. and Consolidated Subsidiaries and the effectiveness of internal control over financial reporting of Ashland Global Holdings Inc. and Consolidated Subsidiaries included in this Annual Report (Form 10-K) of Ashland Global Holdings Inc. for the year ended September 30, 2020.</w:t>
      </w:r>
    </w:p>
    <w:p>
      <w:pPr>
        <w:spacing w:after="0" w:line="17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ectPr>
          <w:pgSz w:w="11900" w:h="16838" w:orient="portrait"/>
          <w:cols w:equalWidth="0" w:num="1">
            <w:col w:w="11240"/>
          </w:cols>
          <w:pgMar w:left="320" w:top="33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auto"/>
        </w:rPr>
        <w:t>EXHIBIT 23.2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NATHAN ASSOCIATES, INC.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being named in Ashland Global Holdings Inc.’s Annual Report on Form 10-K for the year ended September 30, 2020 in the form and context in which we are named. We do not authorize or cause the filing of such Annual Report and do not make or purport to make any statement other than as reflected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Jessica Horewitz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Nathan Associates, Inc.</w:t>
      </w:r>
    </w:p>
    <w:p>
      <w:pPr>
        <w:spacing w:after="0"/>
        <w:rPr>
          <w:sz w:val="20"/>
          <w:szCs w:val="20"/>
          <w:color w:val="auto"/>
        </w:rPr>
      </w:pPr>
      <w:r>
        <w:rPr>
          <w:rFonts w:ascii="Times New Roman" w:cs="Times New Roman" w:eastAsia="Times New Roman" w:hAnsi="Times New Roman"/>
          <w:sz w:val="22"/>
          <w:szCs w:val="22"/>
          <w:color w:val="auto"/>
        </w:rPr>
        <w:t>November 23, 2020</w:t>
      </w:r>
    </w:p>
    <w:p>
      <w:pPr>
        <w:sectPr>
          <w:pgSz w:w="11900" w:h="16838" w:orient="portrait"/>
          <w:cols w:equalWidth="0" w:num="1">
            <w:col w:w="11240"/>
          </w:cols>
          <w:pgMar w:left="320" w:top="58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color w:val="auto"/>
        </w:rPr>
        <w:t>EXHIBIT 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143" w:lineRule="exact"/>
        <w:rPr>
          <w:sz w:val="20"/>
          <w:szCs w:val="20"/>
          <w:color w:val="auto"/>
        </w:rPr>
      </w:pPr>
    </w:p>
    <w:p>
      <w:pPr>
        <w:jc w:val="both"/>
        <w:ind w:firstLine="481"/>
        <w:spacing w:after="0" w:line="234" w:lineRule="auto"/>
        <w:rPr>
          <w:sz w:val="20"/>
          <w:szCs w:val="20"/>
          <w:color w:val="auto"/>
        </w:rPr>
      </w:pPr>
      <w:r>
        <w:rPr>
          <w:rFonts w:ascii="Times New Roman" w:cs="Times New Roman" w:eastAsia="Times New Roman" w:hAnsi="Times New Roman"/>
          <w:sz w:val="22"/>
          <w:szCs w:val="22"/>
          <w:color w:val="auto"/>
        </w:rPr>
        <w:t>KNOW ALL MEN BY THESE PRESENTS, that each of the undersigned Directors and Officers of ASHLAND GLOBAL HOLDINGS INC., a Delaware corporation (the “Corporation”), which anticipates filing an Annual Report on Form 10-K with the Securities and Exchange Commission, under the provisions of the Securities Act of 1933, as amended, hereby constitutes and appoints GUILLERMO NOVO, PETER J. GANZ and YVONNE WINKLER VON MOHRENFELS,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23,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Guillermo Novo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Guillermo Novo,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6828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32" w:lineRule="auto"/>
        <w:rPr>
          <w:sz w:val="20"/>
          <w:szCs w:val="20"/>
          <w:color w:val="auto"/>
        </w:rPr>
      </w:pPr>
      <w:r>
        <w:rPr>
          <w:rFonts w:ascii="Times New Roman" w:cs="Times New Roman" w:eastAsia="Times New Roman" w:hAnsi="Times New Roman"/>
          <w:sz w:val="22"/>
          <w:szCs w:val="22"/>
          <w:color w:val="auto"/>
        </w:rPr>
        <w:t>and Chief Executive Officer</w:t>
      </w:r>
    </w:p>
    <w:p>
      <w:pPr>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 Kevin Willis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 Kevin Willis, Senior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6828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Financial Officer</w:t>
      </w:r>
    </w:p>
    <w:p>
      <w:pPr>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N. Boni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N. Boni, Vice President, Finance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6828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9">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ind w:right="1820"/>
        <w:spacing w:after="0" w:line="258" w:lineRule="auto"/>
        <w:rPr>
          <w:sz w:val="20"/>
          <w:szCs w:val="20"/>
          <w:color w:val="auto"/>
        </w:rPr>
      </w:pPr>
      <w:r>
        <w:rPr>
          <w:rFonts w:ascii="Times New Roman" w:cs="Times New Roman" w:eastAsia="Times New Roman" w:hAnsi="Times New Roman"/>
          <w:sz w:val="21"/>
          <w:szCs w:val="21"/>
          <w:color w:val="auto"/>
        </w:rPr>
        <w:t>Principal Accounting Officer (Principal Accounting Officer)</w:t>
      </w:r>
    </w:p>
    <w:p>
      <w:pPr>
        <w:spacing w:after="0" w:line="200" w:lineRule="exact"/>
        <w:rPr>
          <w:sz w:val="20"/>
          <w:szCs w:val="20"/>
          <w:color w:val="auto"/>
        </w:rPr>
      </w:pPr>
    </w:p>
    <w:p>
      <w:pPr>
        <w:spacing w:after="0" w:line="256" w:lineRule="exact"/>
        <w:rPr>
          <w:sz w:val="20"/>
          <w:szCs w:val="20"/>
          <w:color w:val="auto"/>
        </w:rPr>
      </w:pPr>
    </w:p>
    <w:p>
      <w:pPr>
        <w:ind w:right="1720"/>
        <w:spacing w:after="0" w:line="309" w:lineRule="auto"/>
        <w:rPr>
          <w:sz w:val="20"/>
          <w:szCs w:val="20"/>
          <w:color w:val="auto"/>
        </w:rPr>
      </w:pPr>
      <w:r>
        <w:rPr>
          <w:rFonts w:ascii="Times New Roman" w:cs="Times New Roman" w:eastAsia="Times New Roman" w:hAnsi="Times New Roman"/>
          <w:sz w:val="21"/>
          <w:szCs w:val="21"/>
          <w:color w:val="auto"/>
        </w:rPr>
        <w:t>/s/ Brendan M. Cummins Brendan M. Cummins,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26828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84" w:lineRule="exact"/>
        <w:rPr>
          <w:sz w:val="20"/>
          <w:szCs w:val="20"/>
          <w:color w:val="auto"/>
        </w:rPr>
      </w:pPr>
    </w:p>
    <w:p>
      <w:pPr>
        <w:ind w:right="1820"/>
        <w:spacing w:after="0" w:line="309" w:lineRule="auto"/>
        <w:rPr>
          <w:sz w:val="20"/>
          <w:szCs w:val="20"/>
          <w:color w:val="auto"/>
        </w:rPr>
      </w:pPr>
      <w:r>
        <w:rPr>
          <w:rFonts w:ascii="Times New Roman" w:cs="Times New Roman" w:eastAsia="Times New Roman" w:hAnsi="Times New Roman"/>
          <w:sz w:val="21"/>
          <w:szCs w:val="21"/>
          <w:color w:val="auto"/>
        </w:rPr>
        <w:t>/s/ William G. Dempsey William G. Dempsey,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26828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Jay V. Ihlenfeld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Jay V. Ihlenfeld,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6828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Susan L. Main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Susan L. Main,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6828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Jerome A. Peribere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Jerome A. Peribere,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27774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Craig A. Rogerson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Craig A. Rogerson,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27774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Ricky C. Sandler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Ricky C. Sandler,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27774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Janice J. Teal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Janice J. Teal,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27774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ectPr>
          <w:pgSz w:w="11900" w:h="16838" w:orient="portrait"/>
          <w:cols w:equalWidth="0" w:num="2">
            <w:col w:w="4480" w:space="720"/>
            <w:col w:w="6040"/>
          </w:cols>
          <w:pgMar w:left="320" w:top="112" w:right="339" w:bottom="1440" w:gutter="0" w:footer="0" w:header="0"/>
          <w:type w:val="continuous"/>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3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108" w:lineRule="exact"/>
        <w:rPr>
          <w:sz w:val="20"/>
          <w:szCs w:val="20"/>
          <w:color w:val="auto"/>
        </w:rPr>
      </w:pPr>
    </w:p>
    <w:p>
      <w:pPr>
        <w:ind w:left="480" w:hanging="391"/>
        <w:spacing w:after="0"/>
        <w:tabs>
          <w:tab w:leader="none" w:pos="4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Global Holdings Inc.;</w:t>
      </w:r>
    </w:p>
    <w:p>
      <w:pPr>
        <w:spacing w:after="0" w:line="107" w:lineRule="exact"/>
        <w:rPr>
          <w:rFonts w:ascii="Times New Roman" w:cs="Times New Roman" w:eastAsia="Times New Roman" w:hAnsi="Times New Roman"/>
          <w:sz w:val="20"/>
          <w:szCs w:val="20"/>
          <w:color w:val="auto"/>
        </w:rPr>
      </w:pPr>
    </w:p>
    <w:p>
      <w:pPr>
        <w:jc w:val="both"/>
        <w:ind w:left="480" w:hanging="391"/>
        <w:spacing w:after="0" w:line="254" w:lineRule="auto"/>
        <w:tabs>
          <w:tab w:leader="none" w:pos="4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480" w:right="20" w:hanging="391"/>
        <w:spacing w:after="0" w:line="295" w:lineRule="auto"/>
        <w:tabs>
          <w:tab w:leader="none" w:pos="48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9"/>
          <w:szCs w:val="19"/>
          <w:color w:val="auto"/>
        </w:rPr>
      </w:pPr>
    </w:p>
    <w:p>
      <w:pPr>
        <w:jc w:val="both"/>
        <w:ind w:left="480" w:hanging="391"/>
        <w:spacing w:after="0" w:line="254" w:lineRule="auto"/>
        <w:tabs>
          <w:tab w:leader="none" w:pos="4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49" w:lineRule="auto"/>
        <w:tabs>
          <w:tab w:leader="none" w:pos="1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20"/>
          <w:szCs w:val="20"/>
          <w:color w:val="auto"/>
        </w:rPr>
      </w:pPr>
    </w:p>
    <w:p>
      <w:pPr>
        <w:jc w:val="both"/>
        <w:ind w:left="1580" w:hanging="398"/>
        <w:spacing w:after="0" w:line="254" w:lineRule="auto"/>
        <w:tabs>
          <w:tab w:leader="none" w:pos="1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54" w:lineRule="auto"/>
        <w:tabs>
          <w:tab w:leader="none" w:pos="1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49" w:lineRule="auto"/>
        <w:tabs>
          <w:tab w:leader="none" w:pos="1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400" w:right="20" w:hanging="392"/>
        <w:spacing w:after="0" w:line="247" w:lineRule="auto"/>
        <w:tabs>
          <w:tab w:leader="none" w:pos="4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580" w:hanging="398"/>
        <w:spacing w:after="0" w:line="242" w:lineRule="auto"/>
        <w:tabs>
          <w:tab w:leader="none" w:pos="158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Times New Roman" w:cs="Times New Roman" w:eastAsia="Times New Roman" w:hAnsi="Times New Roman"/>
          <w:sz w:val="20"/>
          <w:szCs w:val="20"/>
          <w:color w:val="auto"/>
        </w:rPr>
      </w:pPr>
    </w:p>
    <w:p>
      <w:pPr>
        <w:ind w:left="1580" w:hanging="398"/>
        <w:spacing w:after="0" w:line="269" w:lineRule="auto"/>
        <w:tabs>
          <w:tab w:leader="none" w:pos="158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23, 2020</w:t>
      </w:r>
    </w:p>
    <w:p>
      <w:pPr>
        <w:spacing w:after="0" w:line="2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Guillermo Novo</w:t>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Chairman and Chief Executive Officer</w:t>
      </w:r>
    </w:p>
    <w:p>
      <w:pPr>
        <w:ind w:left="692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3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3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108" w:lineRule="exact"/>
        <w:rPr>
          <w:sz w:val="20"/>
          <w:szCs w:val="20"/>
          <w:color w:val="auto"/>
        </w:rPr>
      </w:pPr>
    </w:p>
    <w:p>
      <w:pPr>
        <w:ind w:left="480" w:hanging="391"/>
        <w:spacing w:after="0"/>
        <w:tabs>
          <w:tab w:leader="none" w:pos="4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Global Holdings Inc.;</w:t>
      </w:r>
    </w:p>
    <w:p>
      <w:pPr>
        <w:spacing w:after="0" w:line="107" w:lineRule="exact"/>
        <w:rPr>
          <w:rFonts w:ascii="Times New Roman" w:cs="Times New Roman" w:eastAsia="Times New Roman" w:hAnsi="Times New Roman"/>
          <w:sz w:val="20"/>
          <w:szCs w:val="20"/>
          <w:color w:val="auto"/>
        </w:rPr>
      </w:pPr>
    </w:p>
    <w:p>
      <w:pPr>
        <w:jc w:val="both"/>
        <w:ind w:left="480" w:hanging="391"/>
        <w:spacing w:after="0" w:line="254" w:lineRule="auto"/>
        <w:tabs>
          <w:tab w:leader="none" w:pos="4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480" w:right="20" w:hanging="391"/>
        <w:spacing w:after="0" w:line="295" w:lineRule="auto"/>
        <w:tabs>
          <w:tab w:leader="none" w:pos="48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9"/>
          <w:szCs w:val="19"/>
          <w:color w:val="auto"/>
        </w:rPr>
      </w:pPr>
    </w:p>
    <w:p>
      <w:pPr>
        <w:jc w:val="both"/>
        <w:ind w:left="480" w:hanging="391"/>
        <w:spacing w:after="0" w:line="254" w:lineRule="auto"/>
        <w:tabs>
          <w:tab w:leader="none" w:pos="4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49" w:lineRule="auto"/>
        <w:tabs>
          <w:tab w:leader="none" w:pos="15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20"/>
          <w:szCs w:val="20"/>
          <w:color w:val="auto"/>
        </w:rPr>
      </w:pPr>
    </w:p>
    <w:p>
      <w:pPr>
        <w:jc w:val="both"/>
        <w:ind w:left="1580" w:hanging="398"/>
        <w:spacing w:after="0" w:line="254" w:lineRule="auto"/>
        <w:tabs>
          <w:tab w:leader="none" w:pos="15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54" w:lineRule="auto"/>
        <w:tabs>
          <w:tab w:leader="none" w:pos="15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80" w:hanging="398"/>
        <w:spacing w:after="0" w:line="249" w:lineRule="auto"/>
        <w:tabs>
          <w:tab w:leader="none" w:pos="15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400" w:right="20" w:hanging="392"/>
        <w:spacing w:after="0" w:line="247" w:lineRule="auto"/>
        <w:tabs>
          <w:tab w:leader="none" w:pos="4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580" w:hanging="398"/>
        <w:spacing w:after="0" w:line="242" w:lineRule="auto"/>
        <w:tabs>
          <w:tab w:leader="none" w:pos="15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Times New Roman" w:cs="Times New Roman" w:eastAsia="Times New Roman" w:hAnsi="Times New Roman"/>
          <w:sz w:val="20"/>
          <w:szCs w:val="20"/>
          <w:color w:val="auto"/>
        </w:rPr>
      </w:pPr>
    </w:p>
    <w:p>
      <w:pPr>
        <w:ind w:left="1580" w:hanging="398"/>
        <w:spacing w:after="0" w:line="269" w:lineRule="auto"/>
        <w:tabs>
          <w:tab w:leader="none" w:pos="15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23, 2020</w:t>
      </w:r>
    </w:p>
    <w:p>
      <w:pPr>
        <w:spacing w:after="0" w:line="2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J. Kevin Willis</w:t>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Chief Financial Officer</w:t>
      </w:r>
    </w:p>
    <w:p>
      <w:pPr>
        <w:ind w:left="692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33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Annual Report of Ashland Global Holdings Inc. (the “Company”) on Form 10-K for the period ended September 30, 2020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1400" w:hanging="393"/>
        <w:spacing w:after="0" w:line="258" w:lineRule="auto"/>
        <w:tabs>
          <w:tab w:leader="none" w:pos="14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400" w:hanging="393"/>
        <w:spacing w:after="0" w:line="258" w:lineRule="auto"/>
        <w:tabs>
          <w:tab w:leader="none" w:pos="14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 Guillermo Novo</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554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November 23, 2020</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 J. Kevin Willis</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5546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November 23, 2020</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Letter"/>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lowerLetter"/>
      <w:start w:val="1"/>
    </w:lvl>
    <w:lvl w:ilvl="1">
      <w:lvlJc w:val="left"/>
      <w:lvlText w:val="(%2)"/>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decimal"/>
      <w:start w:val="2"/>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D34B6A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9">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3F6AB60F"/>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87" Type="http://schemas.openxmlformats.org/officeDocument/2006/relationships/image" Target="media/image41.png"/><Relationship Id="rId88"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17" Type="http://schemas.openxmlformats.org/officeDocument/2006/relationships/image" Target="media/image45.png"/><Relationship Id="rId118" Type="http://schemas.openxmlformats.org/officeDocument/2006/relationships/image" Target="media/image46.png"/><Relationship Id="rId131" Type="http://schemas.openxmlformats.org/officeDocument/2006/relationships/image" Target="media/image47.png"/><Relationship Id="rId142" Type="http://schemas.openxmlformats.org/officeDocument/2006/relationships/image" Target="media/image48.png"/><Relationship Id="rId143" Type="http://schemas.openxmlformats.org/officeDocument/2006/relationships/image" Target="media/image49.png"/><Relationship Id="rId144" Type="http://schemas.openxmlformats.org/officeDocument/2006/relationships/image" Target="media/image50.png"/><Relationship Id="rId145" Type="http://schemas.openxmlformats.org/officeDocument/2006/relationships/image" Target="media/image51.png"/><Relationship Id="rId146" Type="http://schemas.openxmlformats.org/officeDocument/2006/relationships/image" Target="media/image52.png"/><Relationship Id="rId147" Type="http://schemas.openxmlformats.org/officeDocument/2006/relationships/image" Target="media/image53.png"/><Relationship Id="rId148" Type="http://schemas.openxmlformats.org/officeDocument/2006/relationships/image" Target="media/image54.png"/><Relationship Id="rId149" Type="http://schemas.openxmlformats.org/officeDocument/2006/relationships/image" Target="media/image55.png"/><Relationship Id="rId150" Type="http://schemas.openxmlformats.org/officeDocument/2006/relationships/image" Target="media/image56.png"/><Relationship Id="rId151" Type="http://schemas.openxmlformats.org/officeDocument/2006/relationships/image" Target="media/image57.png"/><Relationship Id="rId152" Type="http://schemas.openxmlformats.org/officeDocument/2006/relationships/image" Target="media/image58.png"/><Relationship Id="rId153" Type="http://schemas.openxmlformats.org/officeDocument/2006/relationships/image" Target="media/image59.png"/><Relationship Id="rId154" Type="http://schemas.openxmlformats.org/officeDocument/2006/relationships/image" Target="media/image60.png"/><Relationship Id="rId155" Type="http://schemas.openxmlformats.org/officeDocument/2006/relationships/image" Target="media/image61.png"/><Relationship Id="rId156" Type="http://schemas.openxmlformats.org/officeDocument/2006/relationships/image" Target="media/image62.png"/><Relationship Id="rId157" Type="http://schemas.openxmlformats.org/officeDocument/2006/relationships/image" Target="media/image63.png"/><Relationship Id="rId158" Type="http://schemas.openxmlformats.org/officeDocument/2006/relationships/image" Target="media/image64.png"/><Relationship Id="rId159" Type="http://schemas.openxmlformats.org/officeDocument/2006/relationships/image" Target="media/image65.png"/><Relationship Id="rId160" Type="http://schemas.openxmlformats.org/officeDocument/2006/relationships/image" Target="media/image66.png"/><Relationship Id="rId161" Type="http://schemas.openxmlformats.org/officeDocument/2006/relationships/image" Target="media/image67.png"/><Relationship Id="rId162" Type="http://schemas.openxmlformats.org/officeDocument/2006/relationships/image" Target="media/image68.png"/><Relationship Id="rId163" Type="http://schemas.openxmlformats.org/officeDocument/2006/relationships/image" Target="media/image69.png"/><Relationship Id="rId164" Type="http://schemas.openxmlformats.org/officeDocument/2006/relationships/image" Target="media/image70.png"/><Relationship Id="rId165" Type="http://schemas.openxmlformats.org/officeDocument/2006/relationships/image" Target="media/image71.png"/><Relationship Id="rId166" Type="http://schemas.openxmlformats.org/officeDocument/2006/relationships/image" Target="media/image72.png"/><Relationship Id="rId167" Type="http://schemas.openxmlformats.org/officeDocument/2006/relationships/image" Target="media/image73.png"/><Relationship Id="rId168" Type="http://schemas.openxmlformats.org/officeDocument/2006/relationships/image" Target="media/image74.png"/><Relationship Id="rId169" Type="http://schemas.openxmlformats.org/officeDocument/2006/relationships/image" Target="media/image75.png"/><Relationship Id="rId170" Type="http://schemas.openxmlformats.org/officeDocument/2006/relationships/image" Target="media/image76.png"/><Relationship Id="rId171" Type="http://schemas.openxmlformats.org/officeDocument/2006/relationships/image" Target="media/image77.png"/><Relationship Id="rId172" Type="http://schemas.openxmlformats.org/officeDocument/2006/relationships/image" Target="media/image78.png"/><Relationship Id="rId173" Type="http://schemas.openxmlformats.org/officeDocument/2006/relationships/image" Target="media/image79.png"/><Relationship Id="rId174" Type="http://schemas.openxmlformats.org/officeDocument/2006/relationships/image" Target="media/image80.png"/><Relationship Id="rId175" Type="http://schemas.openxmlformats.org/officeDocument/2006/relationships/image" Target="media/image81.png"/><Relationship Id="rId176" Type="http://schemas.openxmlformats.org/officeDocument/2006/relationships/image" Target="media/image82.png"/><Relationship Id="rId177" Type="http://schemas.openxmlformats.org/officeDocument/2006/relationships/image" Target="media/image83.png"/><Relationship Id="rId178" Type="http://schemas.openxmlformats.org/officeDocument/2006/relationships/image" Target="media/image84.png"/><Relationship Id="rId179" Type="http://schemas.openxmlformats.org/officeDocument/2006/relationships/image" Target="media/image85.png"/><Relationship Id="rId180" Type="http://schemas.openxmlformats.org/officeDocument/2006/relationships/image" Target="media/image86.png"/><Relationship Id="rId181" Type="http://schemas.openxmlformats.org/officeDocument/2006/relationships/image" Target="media/image87.png"/><Relationship Id="rId182" Type="http://schemas.openxmlformats.org/officeDocument/2006/relationships/image" Target="media/image88.png"/><Relationship Id="rId183" Type="http://schemas.openxmlformats.org/officeDocument/2006/relationships/image" Target="media/image89.png"/><Relationship Id="rId184" Type="http://schemas.openxmlformats.org/officeDocument/2006/relationships/image" Target="media/image90.png"/><Relationship Id="rId185" Type="http://schemas.openxmlformats.org/officeDocument/2006/relationships/image" Target="media/image91.png"/><Relationship Id="rId186" Type="http://schemas.openxmlformats.org/officeDocument/2006/relationships/image" Target="media/image92.png"/><Relationship Id="rId187" Type="http://schemas.openxmlformats.org/officeDocument/2006/relationships/image" Target="media/image93.png"/><Relationship Id="rId188" Type="http://schemas.openxmlformats.org/officeDocument/2006/relationships/image" Target="media/image94.png"/><Relationship Id="rId189" Type="http://schemas.openxmlformats.org/officeDocument/2006/relationships/image" Target="media/image95.png"/><Relationship Id="rId190" Type="http://schemas.openxmlformats.org/officeDocument/2006/relationships/image" Target="media/image96.png"/><Relationship Id="rId191" Type="http://schemas.openxmlformats.org/officeDocument/2006/relationships/image" Target="media/image97.png"/><Relationship Id="rId192" Type="http://schemas.openxmlformats.org/officeDocument/2006/relationships/image" Target="media/image98.png"/><Relationship Id="rId193" Type="http://schemas.openxmlformats.org/officeDocument/2006/relationships/image" Target="media/image99.png"/><Relationship Id="rId194" Type="http://schemas.openxmlformats.org/officeDocument/2006/relationships/image" Target="media/image100.png"/><Relationship Id="rId195" Type="http://schemas.openxmlformats.org/officeDocument/2006/relationships/image" Target="media/image101.png"/><Relationship Id="rId196" Type="http://schemas.openxmlformats.org/officeDocument/2006/relationships/image" Target="media/image102.png"/><Relationship Id="rId197" Type="http://schemas.openxmlformats.org/officeDocument/2006/relationships/image" Target="media/image103.png"/><Relationship Id="rId198" Type="http://schemas.openxmlformats.org/officeDocument/2006/relationships/image" Target="media/image104.png"/><Relationship Id="rId199" Type="http://schemas.openxmlformats.org/officeDocument/2006/relationships/image" Target="media/image105.png"/><Relationship Id="rId200" Type="http://schemas.openxmlformats.org/officeDocument/2006/relationships/image" Target="media/image106.png"/><Relationship Id="rId201" Type="http://schemas.openxmlformats.org/officeDocument/2006/relationships/image" Target="media/image107.png"/><Relationship Id="rId202" Type="http://schemas.openxmlformats.org/officeDocument/2006/relationships/image" Target="media/image108.png"/><Relationship Id="rId203" Type="http://schemas.openxmlformats.org/officeDocument/2006/relationships/image" Target="media/image109.png"/><Relationship Id="rId204" Type="http://schemas.openxmlformats.org/officeDocument/2006/relationships/image" Target="media/image110.png"/><Relationship Id="rId205" Type="http://schemas.openxmlformats.org/officeDocument/2006/relationships/image" Target="media/image111.png"/><Relationship Id="rId206" Type="http://schemas.openxmlformats.org/officeDocument/2006/relationships/image" Target="media/image112.png"/><Relationship Id="rId207" Type="http://schemas.openxmlformats.org/officeDocument/2006/relationships/image" Target="media/image113.png"/><Relationship Id="rId208" Type="http://schemas.openxmlformats.org/officeDocument/2006/relationships/image" Target="media/image114.png"/><Relationship Id="rId209" Type="http://schemas.openxmlformats.org/officeDocument/2006/relationships/image" Target="media/image115.png"/><Relationship Id="rId210" Type="http://schemas.openxmlformats.org/officeDocument/2006/relationships/image" Target="media/image116.png"/><Relationship Id="rId211" Type="http://schemas.openxmlformats.org/officeDocument/2006/relationships/image" Target="media/image117.png"/><Relationship Id="rId212" Type="http://schemas.openxmlformats.org/officeDocument/2006/relationships/image" Target="media/image118.png"/><Relationship Id="rId213" Type="http://schemas.openxmlformats.org/officeDocument/2006/relationships/image" Target="media/image119.png"/><Relationship Id="rId214" Type="http://schemas.openxmlformats.org/officeDocument/2006/relationships/image" Target="media/image120.png"/><Relationship Id="rId215" Type="http://schemas.openxmlformats.org/officeDocument/2006/relationships/image" Target="media/image121.png"/><Relationship Id="rId216" Type="http://schemas.openxmlformats.org/officeDocument/2006/relationships/image" Target="media/image122.png"/><Relationship Id="rId217" Type="http://schemas.openxmlformats.org/officeDocument/2006/relationships/image" Target="media/image123.png"/><Relationship Id="rId218" Type="http://schemas.openxmlformats.org/officeDocument/2006/relationships/image" Target="media/image124.png"/><Relationship Id="rId219" Type="http://schemas.openxmlformats.org/officeDocument/2006/relationships/image" Target="media/image125.png"/><Relationship Id="rId220" Type="http://schemas.openxmlformats.org/officeDocument/2006/relationships/image" Target="media/image126.png"/><Relationship Id="rId221" Type="http://schemas.openxmlformats.org/officeDocument/2006/relationships/image" Target="media/image127.png"/><Relationship Id="rId222" Type="http://schemas.openxmlformats.org/officeDocument/2006/relationships/image" Target="media/image128.png"/><Relationship Id="rId223" Type="http://schemas.openxmlformats.org/officeDocument/2006/relationships/image" Target="media/image129.png"/><Relationship Id="rId224"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27" Type="http://schemas.openxmlformats.org/officeDocument/2006/relationships/image" Target="media/image133.png"/><Relationship Id="rId228"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236" Type="http://schemas.openxmlformats.org/officeDocument/2006/relationships/image" Target="media/image142.png"/><Relationship Id="rId237" Type="http://schemas.openxmlformats.org/officeDocument/2006/relationships/image" Target="media/image143.png"/><Relationship Id="rId238"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247" Type="http://schemas.openxmlformats.org/officeDocument/2006/relationships/image" Target="media/image153.png"/><Relationship Id="rId248" Type="http://schemas.openxmlformats.org/officeDocument/2006/relationships/image" Target="media/image154.png"/><Relationship Id="rId249" Type="http://schemas.openxmlformats.org/officeDocument/2006/relationships/image" Target="media/image155.png"/><Relationship Id="rId250" Type="http://schemas.openxmlformats.org/officeDocument/2006/relationships/image" Target="media/image156.png"/><Relationship Id="rId251" Type="http://schemas.openxmlformats.org/officeDocument/2006/relationships/image" Target="media/image157.png"/><Relationship Id="rId252" Type="http://schemas.openxmlformats.org/officeDocument/2006/relationships/image" Target="media/image158.png"/><Relationship Id="rId253" Type="http://schemas.openxmlformats.org/officeDocument/2006/relationships/image" Target="media/image159.png"/><Relationship Id="rId254" Type="http://schemas.openxmlformats.org/officeDocument/2006/relationships/image" Target="media/image160.png"/><Relationship Id="rId255" Type="http://schemas.openxmlformats.org/officeDocument/2006/relationships/image" Target="media/image161.png"/><Relationship Id="rId256" Type="http://schemas.openxmlformats.org/officeDocument/2006/relationships/image" Target="media/image162.png"/><Relationship Id="rId257" Type="http://schemas.openxmlformats.org/officeDocument/2006/relationships/image" Target="media/image163.png"/><Relationship Id="rId258" Type="http://schemas.openxmlformats.org/officeDocument/2006/relationships/image" Target="media/image164.png"/><Relationship Id="rId259" Type="http://schemas.openxmlformats.org/officeDocument/2006/relationships/image" Target="media/image165.png"/><Relationship Id="rId260" Type="http://schemas.openxmlformats.org/officeDocument/2006/relationships/image" Target="media/image166.png"/><Relationship Id="rId261" Type="http://schemas.openxmlformats.org/officeDocument/2006/relationships/image" Target="media/image167.png"/><Relationship Id="rId262" Type="http://schemas.openxmlformats.org/officeDocument/2006/relationships/image" Target="media/image168.png"/><Relationship Id="rId263"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6" Type="http://schemas.openxmlformats.org/officeDocument/2006/relationships/image" Target="media/image172.png"/><Relationship Id="rId267" Type="http://schemas.openxmlformats.org/officeDocument/2006/relationships/image" Target="media/image173.png"/><Relationship Id="rId268" Type="http://schemas.openxmlformats.org/officeDocument/2006/relationships/image" Target="media/image174.png"/><Relationship Id="rId269" Type="http://schemas.openxmlformats.org/officeDocument/2006/relationships/image" Target="media/image175.png"/><Relationship Id="rId270" Type="http://schemas.openxmlformats.org/officeDocument/2006/relationships/image" Target="media/image176.png"/><Relationship Id="rId271" Type="http://schemas.openxmlformats.org/officeDocument/2006/relationships/image" Target="media/image177.png"/><Relationship Id="rId272" Type="http://schemas.openxmlformats.org/officeDocument/2006/relationships/image" Target="media/image178.png"/><Relationship Id="rId273" Type="http://schemas.openxmlformats.org/officeDocument/2006/relationships/image" Target="media/image179.png"/><Relationship Id="rId274" Type="http://schemas.openxmlformats.org/officeDocument/2006/relationships/image" Target="media/image180.png"/><Relationship Id="rId275" Type="http://schemas.openxmlformats.org/officeDocument/2006/relationships/image" Target="media/image181.png"/><Relationship Id="rId276" Type="http://schemas.openxmlformats.org/officeDocument/2006/relationships/image" Target="media/image182.png"/><Relationship Id="rId277" Type="http://schemas.openxmlformats.org/officeDocument/2006/relationships/image" Target="media/image183.png"/><Relationship Id="rId278" Type="http://schemas.openxmlformats.org/officeDocument/2006/relationships/image" Target="media/image184.png"/><Relationship Id="rId279" Type="http://schemas.openxmlformats.org/officeDocument/2006/relationships/image" Target="media/image185.png"/><Relationship Id="rId280" Type="http://schemas.openxmlformats.org/officeDocument/2006/relationships/image" Target="media/image186.png"/><Relationship Id="rId281" Type="http://schemas.openxmlformats.org/officeDocument/2006/relationships/image" Target="media/image187.png"/><Relationship Id="rId282" Type="http://schemas.openxmlformats.org/officeDocument/2006/relationships/image" Target="media/image188.png"/><Relationship Id="rId283" Type="http://schemas.openxmlformats.org/officeDocument/2006/relationships/image" Target="media/image189.png"/><Relationship Id="rId284" Type="http://schemas.openxmlformats.org/officeDocument/2006/relationships/image" Target="media/image190.png"/><Relationship Id="rId285" Type="http://schemas.openxmlformats.org/officeDocument/2006/relationships/image" Target="media/image191.png"/><Relationship Id="rId286" Type="http://schemas.openxmlformats.org/officeDocument/2006/relationships/image" Target="media/image192.png"/><Relationship Id="rId287" Type="http://schemas.openxmlformats.org/officeDocument/2006/relationships/image" Target="media/image193.png"/><Relationship Id="rId288" Type="http://schemas.openxmlformats.org/officeDocument/2006/relationships/image" Target="media/image194.png"/><Relationship Id="rId289" Type="http://schemas.openxmlformats.org/officeDocument/2006/relationships/image" Target="media/image195.png"/><Relationship Id="rId290" Type="http://schemas.openxmlformats.org/officeDocument/2006/relationships/image" Target="media/image196.png"/><Relationship Id="rId291" Type="http://schemas.openxmlformats.org/officeDocument/2006/relationships/image" Target="media/image197.png"/><Relationship Id="rId292" Type="http://schemas.openxmlformats.org/officeDocument/2006/relationships/image" Target="media/image198.png"/><Relationship Id="rId293" Type="http://schemas.openxmlformats.org/officeDocument/2006/relationships/image" Target="media/image199.png"/><Relationship Id="rId294" Type="http://schemas.openxmlformats.org/officeDocument/2006/relationships/image" Target="media/image200.png"/><Relationship Id="rId295" Type="http://schemas.openxmlformats.org/officeDocument/2006/relationships/image" Target="media/image201.png"/><Relationship Id="rId296" Type="http://schemas.openxmlformats.org/officeDocument/2006/relationships/image" Target="media/image202.png"/><Relationship Id="rId297" Type="http://schemas.openxmlformats.org/officeDocument/2006/relationships/image" Target="media/image203.png"/><Relationship Id="rId298" Type="http://schemas.openxmlformats.org/officeDocument/2006/relationships/image" Target="media/image204.png"/><Relationship Id="rId299" Type="http://schemas.openxmlformats.org/officeDocument/2006/relationships/image" Target="media/image205.png"/><Relationship Id="rId300" Type="http://schemas.openxmlformats.org/officeDocument/2006/relationships/image" Target="media/image206.png"/><Relationship Id="rId301" Type="http://schemas.openxmlformats.org/officeDocument/2006/relationships/image" Target="media/image207.png"/><Relationship Id="rId302" Type="http://schemas.openxmlformats.org/officeDocument/2006/relationships/image" Target="media/image208.png"/><Relationship Id="rId303" Type="http://schemas.openxmlformats.org/officeDocument/2006/relationships/image" Target="media/image209.png"/><Relationship Id="rId304" Type="http://schemas.openxmlformats.org/officeDocument/2006/relationships/image" Target="media/image210.png"/><Relationship Id="rId305" Type="http://schemas.openxmlformats.org/officeDocument/2006/relationships/image" Target="media/image211.png"/><Relationship Id="rId306" Type="http://schemas.openxmlformats.org/officeDocument/2006/relationships/image" Target="media/image212.png"/><Relationship Id="rId307" Type="http://schemas.openxmlformats.org/officeDocument/2006/relationships/image" Target="media/image213.png"/><Relationship Id="rId308" Type="http://schemas.openxmlformats.org/officeDocument/2006/relationships/image" Target="media/image214.png"/><Relationship Id="rId309" Type="http://schemas.openxmlformats.org/officeDocument/2006/relationships/image" Target="media/image215.png"/><Relationship Id="rId310" Type="http://schemas.openxmlformats.org/officeDocument/2006/relationships/image" Target="media/image216.png"/><Relationship Id="rId311" Type="http://schemas.openxmlformats.org/officeDocument/2006/relationships/image" Target="media/image217.png"/><Relationship Id="rId44" Type="http://schemas.openxmlformats.org/officeDocument/2006/relationships/hyperlink" Target="http://www.sec.gov/Archives/edgar/data/1305014/000095015714000168/ex2-1.htm" TargetMode="External"/><Relationship Id="rId45" Type="http://schemas.openxmlformats.org/officeDocument/2006/relationships/hyperlink" Target="http://www.sec.gov/Archives/edgar/data/1305014/000114036114016654/ex2_1.htm" TargetMode="External"/><Relationship Id="rId46" Type="http://schemas.openxmlformats.org/officeDocument/2006/relationships/hyperlink" Target="http://www.sec.gov/Archives/edgar/data/1305014/000130501416000155/ex2-1.htm" TargetMode="External"/><Relationship Id="rId47" Type="http://schemas.openxmlformats.org/officeDocument/2006/relationships/hyperlink" Target="http://www.sec.gov/Archives/edgar/data/1674862/000119312518331340/d653933dex21.htm" TargetMode="External"/><Relationship Id="rId48" Type="http://schemas.openxmlformats.org/officeDocument/2006/relationships/hyperlink" Target="http://www.sec.gov/Archives/edgar/data/1674862/000119312519190623/d752828dex21.htm" TargetMode="External"/><Relationship Id="rId49" Type="http://schemas.openxmlformats.org/officeDocument/2006/relationships/hyperlink" Target="http://www.sec.gov/Archives/edgar/data/1674862/000156459019028139/ash-ex21_7.htm" TargetMode="External"/><Relationship Id="rId50" Type="http://schemas.openxmlformats.org/officeDocument/2006/relationships/hyperlink" Target="http://www.sec.gov/Archives/edgar/data/0001674862/000156459020033450/ash-ex21_6.htm" TargetMode="External"/><Relationship Id="rId51" Type="http://schemas.openxmlformats.org/officeDocument/2006/relationships/hyperlink" Target="http://www.sec.gov/Archives/edgar/data/1674862/000119312516714093/d246354dex31.htm" TargetMode="External"/><Relationship Id="rId52" Type="http://schemas.openxmlformats.org/officeDocument/2006/relationships/hyperlink" Target="http://www.sec.gov/Archives/edgar/data/1674862/000167486217000083/ex3_1.htm" TargetMode="External"/><Relationship Id="rId55" Type="http://schemas.openxmlformats.org/officeDocument/2006/relationships/hyperlink" Target="http://www.sec.gov/Archives/edgar/data/46989/000089322099000856/0000893220-99-000856.txt" TargetMode="External"/><Relationship Id="rId56" Type="http://schemas.openxmlformats.org/officeDocument/2006/relationships/hyperlink" Target="http://www.sec.gov/Archives/edgar/data/46989/0000893220-97-001331.txt" TargetMode="External"/><Relationship Id="rId57" Type="http://schemas.openxmlformats.org/officeDocument/2006/relationships/hyperlink" Target="http://www.sec.gov/Archives/edgar/data/1305014/000095015712000394/ex4-1.htm" TargetMode="External"/><Relationship Id="rId58" Type="http://schemas.openxmlformats.org/officeDocument/2006/relationships/hyperlink" Target="http://www.sec.gov/Archives/edgar/data/1305014/000130501413000188/a9302013exhibit411.htm" TargetMode="External"/><Relationship Id="rId59" Type="http://schemas.openxmlformats.org/officeDocument/2006/relationships/hyperlink" Target="http://www.sec.gov/Archives/edgar/data/1305014/000119312513077448/d491459dex43.htm" TargetMode="External"/><Relationship Id="rId60" Type="http://schemas.openxmlformats.org/officeDocument/2006/relationships/hyperlink" Target="http://www.sec.gov/Archives/edgar/data/1305014/000119312513077448/d491459dex44.htm" TargetMode="External"/><Relationship Id="rId61" Type="http://schemas.openxmlformats.org/officeDocument/2006/relationships/hyperlink" Target="http://www.sec.gov/Archives/edgar/data/1305014/000095015713000133/ex4-2.htm" TargetMode="External"/><Relationship Id="rId62" Type="http://schemas.openxmlformats.org/officeDocument/2006/relationships/hyperlink" Target="http://www.sec.gov/Archives/edgar/data/1674862/000119312516742818/d272512dex41.htm" TargetMode="External"/><Relationship Id="rId63" Type="http://schemas.openxmlformats.org/officeDocument/2006/relationships/hyperlink" Target="http://www.sec.gov/Archives/edgar/data/1674862/000119312516742818/d272512dex42.htm" TargetMode="External"/><Relationship Id="rId64" Type="http://schemas.openxmlformats.org/officeDocument/2006/relationships/hyperlink" Target="http://www.sec.gov/Archives/edgar/data/1674862/000095015720000093/ex4-1.htm" TargetMode="External"/><Relationship Id="rId65" Type="http://schemas.openxmlformats.org/officeDocument/2006/relationships/hyperlink" Target="http://www.sec.gov/Archives/edgar/data/0001674862/000156459019044315/ash-ex414_230.htm" TargetMode="External"/><Relationship Id="rId66" Type="http://schemas.openxmlformats.org/officeDocument/2006/relationships/hyperlink" Target="http://www.sec.gov/Archives/edgar/data/0001674862/000156459019044315/ash-ex414_228.htm" TargetMode="External"/><Relationship Id="rId67" Type="http://schemas.openxmlformats.org/officeDocument/2006/relationships/hyperlink" Target="http://www.sec.gov/Archives/edgar/data/0001674862/000156459019044315/ash-ex414_229.htm" TargetMode="External"/><Relationship Id="rId70" Type="http://schemas.openxmlformats.org/officeDocument/2006/relationships/hyperlink" Target="http://www.sec.gov/Archives/edgar/data/7694/000000769405000048/ex10-5.txt" TargetMode="External"/><Relationship Id="rId71" Type="http://schemas.openxmlformats.org/officeDocument/2006/relationships/hyperlink" Target="http://www.sec.gov/Archives/edgar/data/7694/000000769405000048/ex10-3.txt" TargetMode="External"/><Relationship Id="rId72" Type="http://schemas.openxmlformats.org/officeDocument/2006/relationships/hyperlink" Target="http://www.sec.gov/Archives/edgar/data/1674862/000167486216000008/a9302016exhibit103.htm" TargetMode="External"/><Relationship Id="rId73" Type="http://schemas.openxmlformats.org/officeDocument/2006/relationships/hyperlink" Target="http://www.sec.gov/Archives/edgar/data/1305014/000130501408000364/ex10-4dirdcp.htm" TargetMode="External"/><Relationship Id="rId74" Type="http://schemas.openxmlformats.org/officeDocument/2006/relationships/hyperlink" Target="http://www.sec.gov/Archives/edgar/data/1305014/000130501415000033/a3312015exhibit104.htm" TargetMode="External"/><Relationship Id="rId75" Type="http://schemas.openxmlformats.org/officeDocument/2006/relationships/hyperlink" Target="http://www.sec.gov/Archives/edgar/data/1674862/000167486217000006/a12312016exhibit104.htm" TargetMode="External"/><Relationship Id="rId76" Type="http://schemas.openxmlformats.org/officeDocument/2006/relationships/hyperlink" Target="http://www.sec.gov/Archives/edgar/data/1305014/000130501408000364/ex103eedcp.htm" TargetMode="External"/><Relationship Id="rId77" Type="http://schemas.openxmlformats.org/officeDocument/2006/relationships/hyperlink" Target="http://www.sec.gov/Archives/edgar/data/1674862/000156459019027524/ash-ex101_32.htm" TargetMode="External"/><Relationship Id="rId78" Type="http://schemas.openxmlformats.org/officeDocument/2006/relationships/hyperlink" Target="http://www.sec.gov/Archives/edgar/data/1674862/000156459019027524/ash-ex102_31.htm" TargetMode="External"/><Relationship Id="rId79" Type="http://schemas.openxmlformats.org/officeDocument/2006/relationships/hyperlink" Target="http://www.sec.gov/Archives/edgar/data/1305014/000130501411000034/ex103.htm" TargetMode="External"/><Relationship Id="rId80" Type="http://schemas.openxmlformats.org/officeDocument/2006/relationships/hyperlink" Target="http://www.sec.gov/Archives/edgar/data/1305014/000095015715001174/ex10-1.htm" TargetMode="External"/><Relationship Id="rId81" Type="http://schemas.openxmlformats.org/officeDocument/2006/relationships/hyperlink" Target="http://www.sec.gov/Archives/edgar/data/1305014/000095015715001174/ex10-2.htm" TargetMode="External"/><Relationship Id="rId82" Type="http://schemas.openxmlformats.org/officeDocument/2006/relationships/hyperlink" Target="http://www.sec.gov/Archives/edgar/data/1305014/000130501409000097/exhibit1017.htm" TargetMode="External"/><Relationship Id="rId83" Type="http://schemas.openxmlformats.org/officeDocument/2006/relationships/hyperlink" Target="http://www.sec.gov/Archives/edgar/data/1305014/000130501406000062/ex10.txt" TargetMode="External"/><Relationship Id="rId84" Type="http://schemas.openxmlformats.org/officeDocument/2006/relationships/hyperlink" Target="http://www.sec.gov/Archives/edgar/data/1305014/000130501413000021/ex102.htm" TargetMode="External"/><Relationship Id="rId85" Type="http://schemas.openxmlformats.org/officeDocument/2006/relationships/hyperlink" Target="http://www.sec.gov/Archives/edgar/data/1674862/000167486216000008/a9302016exhibit1021.htm" TargetMode="External"/><Relationship Id="rId86" Type="http://schemas.openxmlformats.org/officeDocument/2006/relationships/hyperlink" Target="http://www.sec.gov/Archives/edgar/data/1305014/000130501414000097/a9302014exhibit1016.htm" TargetMode="External"/><Relationship Id="rId89" Type="http://schemas.openxmlformats.org/officeDocument/2006/relationships/hyperlink" Target="http://www.sec.gov/Archives/edgar/data/1305014/000130501414000097/a9302014exhibit1018.htm" TargetMode="External"/><Relationship Id="rId90" Type="http://schemas.openxmlformats.org/officeDocument/2006/relationships/hyperlink" Target="http://www.sec.gov/Archives/edgar/data/1305014/000130501415000033/a3312015exhibit105.htm" TargetMode="External"/><Relationship Id="rId91" Type="http://schemas.openxmlformats.org/officeDocument/2006/relationships/hyperlink" Target="http://www.sec.gov/Archives/edgar/data/1305014/000130501415000033/a3312015exhibit107.htm" TargetMode="External"/><Relationship Id="rId92" Type="http://schemas.openxmlformats.org/officeDocument/2006/relationships/hyperlink" Target="http://www.sec.gov/Archives/edgar/data/1305014/000130501415000073/ex10-2.htm" TargetMode="External"/><Relationship Id="rId93" Type="http://schemas.openxmlformats.org/officeDocument/2006/relationships/hyperlink" Target="http://www.sec.gov/Archives/edgar/data/1305014/000095015715001174/ex10-3.htm" TargetMode="External"/><Relationship Id="rId94" Type="http://schemas.openxmlformats.org/officeDocument/2006/relationships/hyperlink" Target="http://www.sec.gov/Archives/edgar/data/1674862/000167486216000008/a9302016exhibit1037.htm" TargetMode="External"/><Relationship Id="rId95" Type="http://schemas.openxmlformats.org/officeDocument/2006/relationships/hyperlink" Target="http://www.sec.gov/Archives/edgar/data/1674862/000167486216000008/a9302016exhibit1038.htm" TargetMode="External"/><Relationship Id="rId96" Type="http://schemas.openxmlformats.org/officeDocument/2006/relationships/hyperlink" Target="http://www.sec.gov/Archives/edgar/data/1674862/000167486216000008/a9302016exhibit1039.htm" TargetMode="External"/><Relationship Id="rId97" Type="http://schemas.openxmlformats.org/officeDocument/2006/relationships/hyperlink" Target="http://www.sec.gov/Archives/edgar/data/1674862/000167486216000008/a9302016exhibit1040.htm" TargetMode="External"/><Relationship Id="rId98" Type="http://schemas.openxmlformats.org/officeDocument/2006/relationships/hyperlink" Target="http://www.sec.gov/Archives/edgar/data/1674862/000119312516714093/d246354dex102.htm" TargetMode="External"/><Relationship Id="rId99" Type="http://schemas.openxmlformats.org/officeDocument/2006/relationships/hyperlink" Target="http://www.sec.gov/Archives/edgar/data/1674862/000167486216000008/a9302016exhibit1049.htm" TargetMode="External"/><Relationship Id="rId100" Type="http://schemas.openxmlformats.org/officeDocument/2006/relationships/hyperlink" Target="http://www.sec.gov/Archives/edgar/data/1674862/000167486216000008/a9302016exhibit1059.htm" TargetMode="External"/><Relationship Id="rId101" Type="http://schemas.openxmlformats.org/officeDocument/2006/relationships/hyperlink" Target="http://www.sec.gov/Archives/edgar/data/1305014/000130501410000079/dcplan.htm" TargetMode="External"/><Relationship Id="rId102" Type="http://schemas.openxmlformats.org/officeDocument/2006/relationships/hyperlink" Target="http://www.sec.gov/Archives/edgar/data/1674862/000167486216000008/a9302016exhibit1061.htm" TargetMode="External"/><Relationship Id="rId103" Type="http://schemas.openxmlformats.org/officeDocument/2006/relationships/hyperlink" Target="http://www.sec.gov/Archives/edgar/data/1674862/000167486218000003/ex10-1.htm" TargetMode="External"/><Relationship Id="rId106" Type="http://schemas.openxmlformats.org/officeDocument/2006/relationships/hyperlink" Target="http://www.sec.gov/Archives/edgar/data/1674862/000167486218000003/ex10-2.htm" TargetMode="External"/><Relationship Id="rId107" Type="http://schemas.openxmlformats.org/officeDocument/2006/relationships/hyperlink" Target="http://www.sec.gov/Archives/edgar/data/1674862/000167486218000003/ex10-3.htm" TargetMode="External"/><Relationship Id="rId108" Type="http://schemas.openxmlformats.org/officeDocument/2006/relationships/hyperlink" Target="http://www.sec.gov/Archives/edgar/data/1674862/000167486218000003/ex10-4.htm" TargetMode="External"/><Relationship Id="rId109" Type="http://schemas.openxmlformats.org/officeDocument/2006/relationships/hyperlink" Target="http://www.sec.gov/Archives/edgar/data/1674862/000167486218000003/ex10-5.htm" TargetMode="External"/><Relationship Id="rId110" Type="http://schemas.openxmlformats.org/officeDocument/2006/relationships/hyperlink" Target="http://www.sec.gov/Archives/edgar/data/1674862/000167486218000003/ex10-6.htm" TargetMode="External"/><Relationship Id="rId111" Type="http://schemas.openxmlformats.org/officeDocument/2006/relationships/hyperlink" Target="http://www.sec.gov/Archives/edgar/data/1674862/000156459019027524/ash-ex103_30.htm" TargetMode="External"/><Relationship Id="rId112" Type="http://schemas.openxmlformats.org/officeDocument/2006/relationships/hyperlink" Target="http://www.sec.gov/Archives/edgar/data/0001674862/000156459019044315/ash-ex1039_425.htm" TargetMode="External"/><Relationship Id="rId113" Type="http://schemas.openxmlformats.org/officeDocument/2006/relationships/hyperlink" Target="http://www.sec.gov/Archives/edgar/data/1674862/000156459019027524/ash-ex105_28.htm" TargetMode="External"/><Relationship Id="rId114" Type="http://schemas.openxmlformats.org/officeDocument/2006/relationships/hyperlink" Target="http://www.sec.gov/Archives/edgar/data/1674862/000156459019027524/ash-ex106_27.htm" TargetMode="External"/><Relationship Id="rId115" Type="http://schemas.openxmlformats.org/officeDocument/2006/relationships/hyperlink" Target="http://www.sec.gov/Archives/edgar/data/1674862/000156459019027524/ash-ex107_33.htm" TargetMode="External"/><Relationship Id="rId116" Type="http://schemas.openxmlformats.org/officeDocument/2006/relationships/hyperlink" Target="http://www.sec.gov/Archives/edgar/data/1674862/000156459019027524/ash-ex108_26.htm" TargetMode="External"/><Relationship Id="rId119" Type="http://schemas.openxmlformats.org/officeDocument/2006/relationships/hyperlink" Target="http://www.sec.gov/Archives/edgar/data/1674862/000095015719001178/ex10-1.htm" TargetMode="External"/><Relationship Id="rId120" Type="http://schemas.openxmlformats.org/officeDocument/2006/relationships/hyperlink" Target="http://www.sec.gov/Archives/edgar/data/1674862/000095015719001178/ex10-2.htm" TargetMode="External"/><Relationship Id="rId121" Type="http://schemas.openxmlformats.org/officeDocument/2006/relationships/hyperlink" Target="http://www.sec.gov/Archives/edgar/data/0001674862/000095012320000628/ash-ex102_44.htm" TargetMode="External"/><Relationship Id="rId122" Type="http://schemas.openxmlformats.org/officeDocument/2006/relationships/hyperlink" Target="http://www.sec.gov/Archives/edgar/data/0001674862/000095012320000628/ash-ex103_45.htm" TargetMode="External"/><Relationship Id="rId123" Type="http://schemas.openxmlformats.org/officeDocument/2006/relationships/hyperlink" Target="http://www.sec.gov/Archives/edgar/data/0001674862/000095012320000628/ash-ex104_43.htm" TargetMode="External"/><Relationship Id="rId124" Type="http://schemas.openxmlformats.org/officeDocument/2006/relationships/hyperlink" Target="http://www.sec.gov/Archives/edgar/data/0001674862/000156459020021890/ash-ex101_60.htm" TargetMode="External"/><Relationship Id="rId125" Type="http://schemas.openxmlformats.org/officeDocument/2006/relationships/hyperlink" Target="http://www.sec.gov/Archives/edgar/data/1674862/000156459020026655/ash-ex101_27.htm" TargetMode="External"/><Relationship Id="rId126" Type="http://schemas.openxmlformats.org/officeDocument/2006/relationships/hyperlink" Target="http://www.sec.gov/Archives/edgar/data/1674862/000156459020026655/ash-ex102_28.htm" TargetMode="External"/><Relationship Id="rId127" Type="http://schemas.openxmlformats.org/officeDocument/2006/relationships/hyperlink" Target="http://www.sec.gov/Archives/edgar/data/1674862/000095015717000702/ex10-1.htm" TargetMode="External"/><Relationship Id="rId128" Type="http://schemas.openxmlformats.org/officeDocument/2006/relationships/hyperlink" Target="http://www.sec.gov/Archives/edgar/data/1674862/000095015717000903/ex10-1.htm" TargetMode="External"/><Relationship Id="rId129" Type="http://schemas.openxmlformats.org/officeDocument/2006/relationships/hyperlink" Target="http://www.sec.gov/Archives/edgar/data/1674862/000156459018014214/ash-ex101_6.htm" TargetMode="External"/><Relationship Id="rId130" Type="http://schemas.openxmlformats.org/officeDocument/2006/relationships/hyperlink" Target="http://www.sec.gov/Archives/edgar/data/1674862/000156459018016506/ash-ex101_52.htm" TargetMode="External"/><Relationship Id="rId132" Type="http://schemas.openxmlformats.org/officeDocument/2006/relationships/hyperlink" Target="http://www.sec.gov/Archives/edgar/data/1674862/000095015720000057/ex10-1.htm" TargetMode="External"/><Relationship Id="rId133" Type="http://schemas.openxmlformats.org/officeDocument/2006/relationships/hyperlink" Target="http://www.sec.gov/Archives/edgar/data/1674862/000119312516714093/d246354dex101.htm" TargetMode="External"/><Relationship Id="rId134" Type="http://schemas.openxmlformats.org/officeDocument/2006/relationships/hyperlink" Target="http://www.sec.gov/Archives/edgar/data/1305014/000119312516723813/d258812dex101.htm" TargetMode="External"/><Relationship Id="rId135" Type="http://schemas.openxmlformats.org/officeDocument/2006/relationships/hyperlink" Target="http://www.sec.gov/Archives/edgar/data/1305014/000119312516723813/d258812dex104.htm" TargetMode="External"/><Relationship Id="rId136" Type="http://schemas.openxmlformats.org/officeDocument/2006/relationships/hyperlink" Target="http://www.sec.gov/Archives/edgar/data/1305014/000119312516723813/d258812dex105.htm" TargetMode="External"/><Relationship Id="rId137" Type="http://schemas.openxmlformats.org/officeDocument/2006/relationships/hyperlink" Target="http://www.sec.gov/Archives/edgar/data/1674862/000095015717000674/ex2-1.htm" TargetMode="External"/><Relationship Id="rId138" Type="http://schemas.openxmlformats.org/officeDocument/2006/relationships/hyperlink" Target="http://www.sec.gov/Archives/edgar/data/1674862/000095015717000674/ex2-2.htm" TargetMode="External"/><Relationship Id="rId139" Type="http://schemas.openxmlformats.org/officeDocument/2006/relationships/hyperlink" Target="http://www.sec.gov/Archives/edgar/data/1674862/000167486217000090/a9302017exhibit1084.htm" TargetMode="External"/><Relationship Id="rId140" Type="http://schemas.openxmlformats.org/officeDocument/2006/relationships/hyperlink" Target="http://www.sec.gov/Archives/edgar/data/1674862/000095015719000078/ex10-1.htm" TargetMode="External"/><Relationship Id="rId141" Type="http://schemas.openxmlformats.org/officeDocument/2006/relationships/hyperlink" Target="http://www.sec.gov/Archives/edgar/data/1674862/00009501571900054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2020-11-23T15:33:05Z</dcterms:created>
  <dcterms:modified xsi:type="dcterms:W3CDTF">2020-11-23T15:33:05Z</dcterms:modified>
</cp:coreProperties>
</file>