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554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55422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Harrison Suzan F.</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01/23/2025</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01/23/2025</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7"/>
              </w:rPr>
              <w:t>1,931</w:t>
            </w:r>
            <w:r>
              <w:rPr>
                <w:rFonts w:ascii="Times New Roman" w:cs="Times New Roman" w:eastAsia="Times New Roman" w:hAnsi="Times New Roman"/>
                <w:sz w:val="21"/>
                <w:szCs w:val="21"/>
                <w:color w:val="008000"/>
                <w:w w:val="87"/>
                <w:vertAlign w:val="superscript"/>
              </w:rPr>
              <w:t>(1)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1,931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1,931</w:t>
            </w:r>
            <w:r>
              <w:rPr>
                <w:rFonts w:ascii="Times New Roman" w:cs="Times New Roman" w:eastAsia="Times New Roman" w:hAnsi="Times New Roman"/>
                <w:sz w:val="21"/>
                <w:szCs w:val="21"/>
                <w:color w:val="008000"/>
                <w:vertAlign w:val="superscript"/>
              </w:rPr>
              <w:t>(1)</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1,931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01/23/2025</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6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January 23, 2025 vesting of 1,897 restricted stock units granted on January 23, 2024, pursuant to Ashland's Omnibus Incentive Plan. Each unit represents the right to acquire one share of Common Stock. Balance includes additional Restricted Stock Units acquired in lieu of cash dividends.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Serena S. Kenost, Attorney-  </w:t>
      </w:r>
      <w:r>
        <w:rPr>
          <w:rFonts w:ascii="Times New Roman" w:cs="Times New Roman" w:eastAsia="Times New Roman" w:hAnsi="Times New Roman"/>
          <w:sz w:val="31"/>
          <w:szCs w:val="31"/>
          <w:color w:val="0000FF"/>
          <w:vertAlign w:val="subscript"/>
        </w:rPr>
        <w:t>01/24/2025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Suzan F. Harrison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37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76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6044"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2025-01-24T15:50:29Z</dcterms:created>
  <dcterms:modified xsi:type="dcterms:W3CDTF">2025-01-24T15:50:29Z</dcterms:modified>
</cp:coreProperties>
</file>