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107315</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(Mark One)</w:t>
      </w:r>
    </w:p>
    <w:p>
      <w:pPr>
        <w:spacing w:after="0" w:line="24" w:lineRule="exact"/>
        <w:rPr>
          <w:sz w:val="24"/>
          <w:szCs w:val="24"/>
          <w:color w:val="auto"/>
        </w:rPr>
      </w:pPr>
    </w:p>
    <w:p>
      <w:pPr>
        <w:ind w:left="1460" w:right="320" w:hanging="48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1460" w:right="300" w:hanging="480"/>
        <w:spacing w:after="0" w:line="262" w:lineRule="auto"/>
        <w:tabs>
          <w:tab w:leader="none" w:pos="1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6"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-7620</wp:posOffset>
            </wp:positionV>
            <wp:extent cx="1060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333-211719</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ASHLAND GLOBAL HOLDINGS INC.</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I.R.S. No. 81-2587835</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 E. RiverCenter Boulevard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Covington, Kentucky 41011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(859) 815-3333</w:t>
      </w:r>
    </w:p>
    <w:p>
      <w:pPr>
        <w:spacing w:after="0" w:line="126" w:lineRule="exact"/>
        <w:rPr>
          <w:sz w:val="24"/>
          <w:szCs w:val="24"/>
          <w:color w:val="auto"/>
        </w:rPr>
      </w:pPr>
    </w:p>
    <w:p>
      <w:pPr>
        <w:jc w:val="both"/>
        <w:ind w:firstLine="49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9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9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0"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firstLine="49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March 31, 2019, there were 62,712,232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 except per share data - unaudited)</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2018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1,243</w:t>
            </w:r>
          </w:p>
        </w:tc>
        <w:tc>
          <w:tcPr>
            <w:tcW w:w="720" w:type="dxa"/>
            <w:vAlign w:val="bottom"/>
            <w:tcBorders>
              <w:top w:val="single" w:sz="8" w:color="auto"/>
            </w:tcBorders>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income (loss)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expense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 periodic benefit income (loss)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on divestitures</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 Note 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7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 Note 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 w:name="page3"/>
    <w:bookmarkEnd w:id="2"/>
    <w:p>
      <w:pPr>
        <w:ind w:right="4400"/>
        <w:spacing w:after="0" w:line="273"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31, 2019</w:t>
            </w:r>
          </w:p>
        </w:tc>
        <w:tc>
          <w:tcPr>
            <w:tcW w:w="24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648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tcBorders>
            <w:shd w:val="clear" w:color="auto" w:fill="CFF0FC"/>
          </w:tcPr>
          <w:p>
            <w:pPr>
              <w:spacing w:after="0"/>
              <w:rPr>
                <w:sz w:val="17"/>
                <w:szCs w:val="17"/>
                <w:color w:val="auto"/>
              </w:rPr>
            </w:pPr>
          </w:p>
        </w:tc>
        <w:tc>
          <w:tcPr>
            <w:tcW w:w="1560" w:type="dxa"/>
            <w:vAlign w:val="bottom"/>
            <w:tcBorders>
              <w:top w:val="single" w:sz="8" w:color="auto"/>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7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4"/>
                <w:szCs w:val="14"/>
                <w:color w:val="auto"/>
              </w:rPr>
              <w:t>(a)</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 Note F</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 Note G</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 Note G</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investments - Note E</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insurance receivable - Note K</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Held for sale - Note B</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5,911</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63"/>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debt - Note H</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 Note H</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 - Note K</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obligations - Note J</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 for sale - Note B</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3,716</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 Note K</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 - Note M</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3,362</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Accounts receivable includes an allowance for doubtful accounts of $3 million at both March 31, 2019 and September 30, 2018.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 w:name="page4"/>
    <w:bookmarkEnd w:id="3"/>
    <w:p>
      <w:pPr>
        <w:ind w:right="440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comprehensive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income (loss)</w:t>
            </w:r>
          </w:p>
        </w:tc>
        <w:tc>
          <w:tcPr>
            <w:tcW w:w="6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946</w:t>
            </w:r>
          </w:p>
        </w:tc>
        <w:tc>
          <w:tcPr>
            <w:tcW w:w="3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2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3,406</w:t>
            </w: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(b)</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5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Regular dividends, $0.50 per common share</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Common shares issued under stock incentive and other plans </w:t>
            </w:r>
            <w:r>
              <w:rPr>
                <w:rFonts w:ascii="Times New Roman" w:cs="Times New Roman" w:eastAsia="Times New Roman" w:hAnsi="Times New Roman"/>
                <w:sz w:val="14"/>
                <w:szCs w:val="14"/>
                <w:color w:val="auto"/>
              </w:rPr>
              <w:t>(c)</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3,362</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both"/>
        <w:ind w:left="580" w:hanging="221"/>
        <w:spacing w:after="0" w:line="236" w:lineRule="auto"/>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and September 30, 2018, the after-tax accumulated other comprehensive loss attributable to Ashland of $371 million and $291 million, respectively, was each comprised of net unrealized translation losses of $368 million and $328 million, respectively, net unrealized gains on investment securities of zero and $34 million, respectively, and unrecognized prior service costs as a result of certain employee benefit plan amendments of $3 million and unrecognized prior services credits of $3 million, respectively.</w:t>
      </w:r>
    </w:p>
    <w:p>
      <w:pPr>
        <w:ind w:left="580" w:hanging="221"/>
        <w:spacing w:after="0" w:line="221" w:lineRule="auto"/>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accounting for equity securities and the tax effects of intercompany transfers during fiscal 2019. See Note A for more information.</w:t>
      </w:r>
    </w:p>
    <w:p>
      <w:pPr>
        <w:ind w:left="580" w:hanging="221"/>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234,352 for the six months ended March 31, 2019.</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 w:name="page5"/>
    <w:bookmarkEnd w:id="4"/>
    <w:p>
      <w:pPr>
        <w:ind w:right="4400"/>
        <w:spacing w:after="0" w:line="300" w:lineRule="auto"/>
        <w:rPr>
          <w:sz w:val="20"/>
          <w:szCs w:val="20"/>
          <w:color w:val="auto"/>
        </w:rPr>
      </w:pPr>
      <w:r>
        <w:rPr>
          <w:rFonts w:ascii="Times New Roman" w:cs="Times New Roman" w:eastAsia="Times New Roman" w:hAnsi="Times New Roman"/>
          <w:sz w:val="19"/>
          <w:szCs w:val="19"/>
          <w:b w:val="1"/>
          <w:bCs w:val="1"/>
          <w:color w:val="auto"/>
        </w:rPr>
        <w:t>ASHLAND GLOBAL HOLDINGS INC. AND CONSOLIDATED SUBSIDIARIES STATEMENTS OF CONDENSED CONSOLIDATED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9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9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OPERATING ACTIVITIES FROM</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9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Original issue discount and debt issuance costs amortization</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Distributions from affiliates</w:t>
            </w: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Excess tax benefit on stock based compensation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loss on divestitures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Pension contributions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Change in operating assets and liabilities </w:t>
            </w:r>
            <w:r>
              <w:rPr>
                <w:rFonts w:ascii="Times New Roman" w:cs="Times New Roman" w:eastAsia="Times New Roman" w:hAnsi="Times New Roman"/>
                <w:sz w:val="14"/>
                <w:szCs w:val="14"/>
                <w:color w:val="auto"/>
              </w:rPr>
              <w:t>(a)</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cash flows provided (used) by operating activities from 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INVESTING ACTIVITIES FROM</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9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operations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sales of operations</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Life insurance payments</w:t>
            </w: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purchase of funds restricted for specific transactions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Reimbursement from restricted investments</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the settlement of derivative instruments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Payments for the settlement of derivative instruments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cash flows used by investing activities from 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FINANCING ACTIVITIES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9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(repayment of) short-term debt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based compensation employee withholding taxes paid in cash</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cash flows used by financing activities from continuing operations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 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used by discontinued operations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9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cash flows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Investing cash flows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cash used by discontinued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9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9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changes resulting from operations acquired, sold or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5" w:name="page6"/>
    <w:bookmarkEnd w:id="5"/>
    <w:p>
      <w:pPr>
        <w:ind w:right="4000"/>
        <w:spacing w:after="0" w:line="300"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ind w:left="400"/>
        <w:spacing w:after="0" w:line="243"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 Global Holdings Inc.’s (Ashland or the Company) Annual Report on Form 10-K for the fiscal year ended September 30, 2018. Results of operations for the period ended March 31, 2019 are not necessarily indicative of the expected results for the remaining quarters in the fiscal year.</w:t>
      </w:r>
    </w:p>
    <w:p>
      <w:pPr>
        <w:spacing w:after="0" w:line="79" w:lineRule="exact"/>
        <w:rPr>
          <w:sz w:val="20"/>
          <w:szCs w:val="20"/>
          <w:color w:val="auto"/>
        </w:rPr>
      </w:pPr>
    </w:p>
    <w:p>
      <w:pPr>
        <w:jc w:val="both"/>
        <w:ind w:left="400"/>
        <w:spacing w:after="0" w:line="243" w:lineRule="auto"/>
        <w:rPr>
          <w:sz w:val="20"/>
          <w:szCs w:val="20"/>
          <w:color w:val="auto"/>
        </w:rPr>
      </w:pPr>
      <w:r>
        <w:rPr>
          <w:rFonts w:ascii="Times New Roman" w:cs="Times New Roman" w:eastAsia="Times New Roman" w:hAnsi="Times New Roman"/>
          <w:sz w:val="20"/>
          <w:szCs w:val="20"/>
          <w:color w:val="auto"/>
        </w:rPr>
        <w:t>On November 15, 2018, Ashland announced that it had signed a definitive agreement to sell substantially all of the assets and liabilities of its Composites segment and Intermediates and Solvents facility in Marl, Germany (Marl facility). This expected divestiture represents a strategic shift in Ashland's business and, in accordance with U.S. GAAP, qualified as a discontinued operation. As a result, the operating results and cash flows related to Composites and the Marl facility have been reflected as discontinued operations in the Statements of Consolidated Comprehensive Income (Loss) and Statements of Condensed Consolidated Cash Flows. The assets and liabilities that are to be sold have met the requirements to be classified within the Condensed Consolidated Balance Sheets under a held for sale designation. See Notes B and C for additional information on this expected divestiture.</w:t>
      </w:r>
    </w:p>
    <w:p>
      <w:pPr>
        <w:spacing w:after="0" w:line="8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As a result of classifying the Composites reporting segment as a discontinued operation, Ashland is now comprised of two reportable segments: Specialty Ingredients and Intermediates and Solvents. The financial information reported for Intermediates and Solvents excludes the activity from the Marl facility due to the expected divestiture.</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12" w:lineRule="exact"/>
        <w:rPr>
          <w:sz w:val="20"/>
          <w:szCs w:val="20"/>
          <w:color w:val="auto"/>
        </w:rPr>
      </w:pPr>
    </w:p>
    <w:p>
      <w:pPr>
        <w:jc w:val="both"/>
        <w:ind w:left="400"/>
        <w:spacing w:after="0" w:line="244"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8"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2018. The following standards relevant to Ashland were either issued or adopted in the current period or will become effective in a subsequent period.</w:t>
      </w:r>
    </w:p>
    <w:p>
      <w:pPr>
        <w:spacing w:after="0" w:line="1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56"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superseded most current revenue recognition guidance, in an effort to converge the revenue recognition principles within U.S. GAAP. This new guidance required entities to disclose certain quantitative and qualitative information regarding the nature, amount, timing and uncertainty of qualifying revenue and cash flows arising from contracts with customers. Entities had the option of using a full retrospective or a modified retrospective approach to adopt the new guidance. This guidance became effective for Ashland on October 1, 2018.</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 formed an implementation team that evaluated the impact of the new standard on the Condensed Consolidated Financial Statements and the adoption method options available as well as the overall impact the new guidance would have on the organization. The assessment process consisted of categorizing Ashland’s revenue streams and reviewing the current internal accounting policies and practices to determine potential differences that could result from applying the requirements of the new standard to revenue contracts. Additional discussions and meetings with each revenue stream team occurred to solicit input, identify potential impacts and appropriate changes to Ashland’s business processes, systems and controls to support the revenue recognition and disclosure requirements under the new standard.</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 elected to adopt this standard using the modified retrospective approach and determined that the overall impact was not material to the Condensed Consolidated Financial Statements. As a result, no cumulative-effect adjustment was made to retained earnings in the Condensed Consolidated Balance Sheets. Further, there has been no significant change to the manner and timing of recognizing revenue. However, there are significant additional disclosures within the Notes to Condensed Consolidated Financial Statements. ASC 606 requires disclosure of disaggregated revenue into categories that depict the nature of how Ashland's revenue and cash flows are affected by economic factors. Additionally, Ashland is required to disclose additional information related to its revenue recognition policy. See Note O for these additional disclosures.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February 2016, the FASB issued new accounting guidance related to lease transactions. The main objective of this guidance is to increase transparency and comparability among organizations by requiring lessees to recognize assets and liabilities on the balance sheet for the right to use assets and obligations created by leases and to disclose key information about leasing arrangements. The presentation of the Statements of Consolidated Comprehensive Income (Loss) and the Statements of Condensed Consolidated Cash Flows is largely unchanged under this guidance. This guidance retains a distinction between finance leases and operating leases, and the classification criteria for distinguishing between finance leases and operating leases are substantially similar to the classification criteria for distinguishing between capital leases and operating leases in the current accounting literature. The guidance will become effective for Ashland on October 1, 2019 and it will have a significant effect on Ashland’s Condensed Consolidated Balance Sheet and disclosures.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July 2018, the FASB amended this guidance to give entities the option to apply the standard at the adoption date and recognize a cumulative-effect adjustment to the opening balance of retained earnings in the period of adoption. Ashland currently intends to utilize this transition method upon adopting the guidance.</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Ashland has formed an implementation team and is quantifying the impact that this guidance will have within its Condensed Consolidated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0" w:right="6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20"/>
          <w:szCs w:val="20"/>
          <w:i w:val="1"/>
          <w:iCs w:val="1"/>
          <w:color w:val="auto"/>
        </w:rPr>
        <w:t>Other accounting pronouncements</w:t>
      </w:r>
    </w:p>
    <w:p>
      <w:pPr>
        <w:spacing w:after="0" w:line="11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period, the adoption of this guidance resulted in a significant impact to net income as Ashland recognized investment gains of $27 million for the three months ended March 31, 2019 and investment losses of $3 million for the six months ended March 31, 2019 within the net interest and other expense (income) caption on the Statement of Consolidated Comprehensive Income (Loss). The impact of this new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E.</w:t>
      </w:r>
    </w:p>
    <w:p>
      <w:pPr>
        <w:spacing w:after="0" w:line="80"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In October 2016, the FASB issued new accounting guidance which requires entities to recognize the income tax effects of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less than $1 million from other current assets and deferred taxes to retained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Composites and Marl facility</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On November 15, 2018, Ashland announced that it had signed a definitive agreement to sell its Composites segment and Intermediates and Solvents Marl facility to INEOS Enterprises in a transaction valued at $1.1 billion. Ashland will retain the remaining Intermediates and Solvents facility in Lima, Ohio primarily for its own internal business use. Ashland currently expects net proceeds from the sale to total approximately $1.0 billion and anticipates that the proceeds will be primarily used to reduce outstanding debt and other corporate purposes.</w:t>
      </w:r>
    </w:p>
    <w:p>
      <w:pPr>
        <w:spacing w:after="0" w:line="73"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The transaction is expected to close by late summer, contingent on certain customary regulatory approvals, standard closing conditions and completion of required employee information and consultation processes. Upon the closing of this transaction, Ashland currently expects to recognize a gain within the Statements of Consolidated Comprehensive Income (Loss).</w:t>
      </w:r>
    </w:p>
    <w:p>
      <w:pPr>
        <w:spacing w:after="0" w:line="67"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Since this transaction represents a strategic shift in Ashland’s business and had a major effect on Ashland’s operations and financial results, the operating results and cash flows related to Composites and the Marl facility have been reflected as discontinued operations in the Statements of Consolidated Comprehensive Income (Loss) and Statements of Condensed Consolidated Cash Flows. See Note C for the results of operations for Composites and the Marl facility for all periods presented.</w:t>
      </w:r>
    </w:p>
    <w:p>
      <w:pPr>
        <w:spacing w:after="0" w:line="72"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$12 million during both the three months ended March 31, 2019 and 2018, and $23 million during both the six months ended March 31, 2019 and 2018. Ashland is currently implementing plans to eliminate these costs as part of the global restructuring program.</w:t>
      </w:r>
    </w:p>
    <w:p>
      <w:pPr>
        <w:spacing w:after="0" w:line="1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0" w:right="639" w:bottom="1440" w:gutter="0" w:footer="0" w:header="0"/>
        </w:sectPr>
      </w:pPr>
    </w:p>
    <w:bookmarkStart w:id="8" w:name="page9"/>
    <w:bookmarkEnd w:id="8"/>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Other corporate assets</w:t>
      </w:r>
    </w:p>
    <w:p>
      <w:pPr>
        <w:spacing w:after="0" w:line="112" w:lineRule="exact"/>
        <w:rPr>
          <w:sz w:val="20"/>
          <w:szCs w:val="20"/>
          <w:color w:val="auto"/>
        </w:rPr>
      </w:pPr>
    </w:p>
    <w:p>
      <w:pPr>
        <w:jc w:val="both"/>
        <w:ind w:left="400" w:firstLine="31"/>
        <w:spacing w:after="0" w:line="247" w:lineRule="auto"/>
        <w:rPr>
          <w:sz w:val="20"/>
          <w:szCs w:val="20"/>
          <w:color w:val="auto"/>
        </w:rPr>
      </w:pPr>
      <w:r>
        <w:rPr>
          <w:rFonts w:ascii="Times New Roman" w:cs="Times New Roman" w:eastAsia="Times New Roman" w:hAnsi="Times New Roman"/>
          <w:sz w:val="20"/>
          <w:szCs w:val="20"/>
          <w:color w:val="auto"/>
        </w:rPr>
        <w:t>Ashland is currently in the process of pursuing options to divest several corporate assets, primarily related to land and buildings, that are expected to close within the next 12 months. The net property, plant and equipment value related to these sites was $6 million at March 31, 2019 and $9 million at September 30, 2018. During the three months ended March 31, 2019, a $5 million impairment charge was recorded within the selling, general and administrative expense caption of the Statement of Consolidated Comprehensive Income (Loss) for one of these corporate assets.</w:t>
      </w:r>
    </w:p>
    <w:p>
      <w:pPr>
        <w:spacing w:after="0" w:line="200" w:lineRule="exact"/>
        <w:rPr>
          <w:sz w:val="20"/>
          <w:szCs w:val="20"/>
          <w:color w:val="auto"/>
        </w:rPr>
      </w:pP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Held for sale classification</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The assets and liabilities of Composites and the Marl facility along with other corporate asset divestitures for current and prior periods have been reflected as assets and liabilities held for sale. As a result, in accordance with U.S. GAAP standards, depreciation and amortization are no longer being recorded within the Statements of Consolidated Comprehensive Income (Loss) and the Condensed Consolidated Balance Sheets. These assets and liabilities are comprised of the following components: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7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14"/>
                <w:szCs w:val="14"/>
                <w:color w:val="auto"/>
              </w:rPr>
              <w:t>(a)</w:t>
            </w:r>
          </w:p>
        </w:tc>
        <w:tc>
          <w:tcPr>
            <w:tcW w:w="25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72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9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r>
      <w:tr>
        <w:trPr>
          <w:trHeight w:val="210"/>
        </w:trPr>
        <w:tc>
          <w:tcPr>
            <w:tcW w:w="47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5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5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16"/>
        </w:trPr>
        <w:tc>
          <w:tcPr>
            <w:tcW w:w="47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Accounts receivable included an allowance for doubtful accounts of $3 million at both March 31, 2019 and September 30, 2018.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DISCONTINUED OPERATIONS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In previous periods, 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20"/>
          <w:szCs w:val="20"/>
          <w:color w:val="auto"/>
        </w:rPr>
        <w:t>operations caption in the Statements of Consolidated Comprehensive Income (Loss) for all periods presented and are discussed further within this note.</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previously described in Note B, Ashland announced that it had signed a definitive agreement on November 15, 2018 to sell its Composites segment and Intermediates and Solvents Marl facility. Ashland determined that this expected divestiture qualified as a discontinued operation, in accordance with U.S. GAAP, since it represents a strategic shift for Ashland and had a major effect on Ashland's operations and financial results. Accordingly, the operating results and cash flows for Composites and the Marl facility have been classified as discontinued operations within the Condensed Consolidated Financial Statements for all periods presented.</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completed the distribution of its remaining shares of common stock of Valvoline Inc. on May 12, 2017. Ashland determined that the Valvoline separation qualified as a discontinued operation, in accordance with U.S. GAAP, since it represented a strategic shift for Ashland and had a major effect on Ashland's operations and financial results. Ashland has made subsequent tax adjustments to the discontinued operations caption related to this transaction.</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Components of amounts reflected in the Statements of Consolidated Comprehensive Income (Loss) related to discontinued operations are presented in the following table for the three and six months ended March 31, 2019 and 2018.</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Six months ended</w:t>
            </w:r>
          </w:p>
        </w:tc>
        <w:tc>
          <w:tcPr>
            <w:tcW w:w="640" w:type="dxa"/>
            <w:vAlign w:val="bottom"/>
            <w:tcBorders>
              <w:top w:val="single" w:sz="8" w:color="auto"/>
            </w:tcBorders>
          </w:tcPr>
          <w:p>
            <w:pPr>
              <w:spacing w:after="0"/>
              <w:rPr>
                <w:sz w:val="20"/>
                <w:szCs w:val="20"/>
                <w:color w:val="auto"/>
              </w:rPr>
            </w:pPr>
          </w:p>
        </w:tc>
      </w:tr>
      <w:tr>
        <w:trPr>
          <w:trHeight w:val="234"/>
        </w:trPr>
        <w:tc>
          <w:tcPr>
            <w:tcW w:w="4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gridSpan w:val="2"/>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Valvoline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presents a reconciliation of the captions within Ashland's Statements of Consolidated Comprehensive Income (Loss) for the income (loss) from discontinued operations attributable to Composites and the Marl facility for the three and six months ended March 31, 2019 and 2018. Interest expense was allocated to discontinued operations based on Ashland’s mandatory debt prepayments upon the disposition of Composites and the Marl facility.</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8"/>
                <w:szCs w:val="18"/>
                <w:color w:val="auto"/>
              </w:rPr>
              <w:t>Six months ended</w:t>
            </w:r>
          </w:p>
        </w:tc>
        <w:tc>
          <w:tcPr>
            <w:tcW w:w="640" w:type="dxa"/>
            <w:vAlign w:val="bottom"/>
            <w:tcBorders>
              <w:top w:val="single" w:sz="8" w:color="auto"/>
            </w:tcBorders>
          </w:tcPr>
          <w:p>
            <w:pPr>
              <w:spacing w:after="0"/>
              <w:rPr>
                <w:sz w:val="20"/>
                <w:szCs w:val="20"/>
                <w:color w:val="auto"/>
              </w:rPr>
            </w:pPr>
          </w:p>
        </w:tc>
      </w:tr>
      <w:tr>
        <w:trPr>
          <w:trHeight w:val="234"/>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01"/>
        </w:trPr>
        <w:tc>
          <w:tcPr>
            <w:tcW w:w="47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 attributable to</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Composites/Marl facility</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6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52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5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 income (expense)</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 of discontinued operations</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interest and other (expense) income</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0" w:name="page11"/>
    <w:bookmarkEnd w:id="10"/>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112"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Severance costs</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During fiscal 2018, Ashland announced 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The VSO and involuntary programs resulted in a severance charge of $36 million during the September 2018 quarter of fiscal 2018.</w:t>
      </w:r>
    </w:p>
    <w:p>
      <w:pPr>
        <w:spacing w:after="0" w:line="73"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During the three and six months ended March 31, 2019, these programs resulted in additional severance expense of zero and $4 million, respectively, which was primarily recorded within the selling, general and administrative expense caption of the Statement of Consolidated Comprehensive Income (Loss). As of March 31, 2019, the severance reserve for the company-wide restructuring program was $22 million.</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Facility costs</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Ashland incurred $1 million and $8 million of lease abandonment charges during the three and six months ended March 31, 2019, respectively, due to the exit from certain office facilities in conjunction with the company-wide cost reduction program. No charges were incurred for the three or six months ended March 31, 2018. The costs related to these reserves were recorded within the selling, general and administrative expense caption of the Statements of Consolidated Comprehensive Income (Loss) and are paid over the remaining lease terms. As of March 31, 2019, the reserve for facility costs was $10 million.</w:t>
      </w:r>
    </w:p>
    <w:p>
      <w:pPr>
        <w:spacing w:after="0" w:line="73" w:lineRule="exact"/>
        <w:rPr>
          <w:sz w:val="20"/>
          <w:szCs w:val="20"/>
          <w:color w:val="auto"/>
        </w:rPr>
      </w:pPr>
    </w:p>
    <w:p>
      <w:pPr>
        <w:jc w:val="both"/>
        <w:ind w:left="400"/>
        <w:spacing w:after="0" w:line="274" w:lineRule="auto"/>
        <w:rPr>
          <w:sz w:val="20"/>
          <w:szCs w:val="20"/>
          <w:color w:val="auto"/>
        </w:rPr>
      </w:pPr>
      <w:r>
        <w:rPr>
          <w:rFonts w:ascii="Times New Roman" w:cs="Times New Roman" w:eastAsia="Times New Roman" w:hAnsi="Times New Roman"/>
          <w:sz w:val="19"/>
          <w:szCs w:val="19"/>
          <w:color w:val="auto"/>
        </w:rPr>
        <w:t>The following table details at March 31, 2019, the amount of restructuring reserves related to the programs discussed above, and the related activity in these reserves during the six months ended March 31, 2019. The severance and facility cost reserves were primarily recorded within accrued expenses and other liabilities in the Condensed Consolidated Balance Sheet as of March 31, 2019.</w:t>
      </w:r>
    </w:p>
    <w:p>
      <w:pPr>
        <w:spacing w:after="0" w:line="51"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Severance costs</w:t>
            </w: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Facility costs</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2018</w:t>
            </w: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4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4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2019</w:t>
            </w: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Plant restructuring</w:t>
      </w:r>
    </w:p>
    <w:p>
      <w:pPr>
        <w:spacing w:after="0" w:line="112" w:lineRule="exact"/>
        <w:rPr>
          <w:sz w:val="20"/>
          <w:szCs w:val="20"/>
          <w:color w:val="auto"/>
        </w:rPr>
      </w:pPr>
    </w:p>
    <w:p>
      <w:pPr>
        <w:jc w:val="both"/>
        <w:ind w:left="400"/>
        <w:spacing w:after="0" w:line="244" w:lineRule="auto"/>
        <w:rPr>
          <w:sz w:val="20"/>
          <w:szCs w:val="20"/>
          <w:color w:val="auto"/>
        </w:rPr>
      </w:pPr>
      <w:r>
        <w:rPr>
          <w:rFonts w:ascii="Times New Roman" w:cs="Times New Roman" w:eastAsia="Times New Roman" w:hAnsi="Times New Roman"/>
          <w:sz w:val="20"/>
          <w:szCs w:val="20"/>
          <w:color w:val="auto"/>
        </w:rPr>
        <w:t>During the three and six months ended March 31, 2019, Specialty Ingredients committed to a cost reduction plan within an existing manufacturing facility. As a result, Ashland incurred restructuring charges of $20 million and $47 million for the three and six months ended March 31, 2019, respectively. These charges were recorded primarily within the cost of sales caption of the Statements of Consolidated Comprehensive Income (Loss) consisting of $38 million of accelerated depreciation and amortization, $5 million of severance and $4 million of plant closure costs during the six months ended March 31, 2019. As of March 31, 2019, there was a restructuring reserve of $5 million related to the $5 million of severance costs and $4 million related to the $4 million of plant closure costs. The restructuring plan is expected to be completed during fiscal 2019.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1440" w:right="6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9"/>
          <w:szCs w:val="19"/>
          <w:color w:val="auto"/>
        </w:rPr>
        <w:t>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March 31, 2019.</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Quoted prices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in active</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markets for</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identical</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observable</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fair</w:t>
            </w: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Deferred compensation investments </w:t>
            </w:r>
            <w:r>
              <w:rPr>
                <w:rFonts w:ascii="Times New Roman" w:cs="Times New Roman" w:eastAsia="Times New Roman" w:hAnsi="Times New Roman"/>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auto"/>
            </w:tcBorders>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is $30 million classified in the other current assets caption on the Condensed Consolidated Balance Sheets.</w:t>
      </w:r>
    </w:p>
    <w:p>
      <w:pPr>
        <w:spacing w:after="0" w:line="3"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financial asset instruments subject to recurring fair value measurements as of September 30, 2018.</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 active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identical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observable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inputs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Deferred compensation investments </w:t>
            </w:r>
            <w:r>
              <w:rPr>
                <w:rFonts w:ascii="Times New Roman" w:cs="Times New Roman" w:eastAsia="Times New Roman" w:hAnsi="Times New Roman"/>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6732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46" w:lineRule="exact"/>
        <w:rPr>
          <w:sz w:val="20"/>
          <w:szCs w:val="20"/>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is $30 million classified in the other current assets caption on the Condensed Consolidated Balance Sheets.</w:t>
      </w:r>
    </w:p>
    <w:p>
      <w:pPr>
        <w:spacing w:after="0" w:line="3"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Investment income and realized gains and losses on these company-restricted investments are reported within the net interest and other financing expense caption on the Statements of Consolidated Comprehensive Income (Loss). In prior periods, the unrealized gains and losses on the equity securities were reported within the stockholders' equity section of the Condensed Consolidated Balance Sheets as a component of AOCI, net of the related deferred income taxes. Due to the accounting guidance adopted in the current year, as discussed in Note A, the unrealized gains and losses are now recognized in net income and are recorded within the net interest and other expense (income) caption in the Statements of Consolidated Comprehensive Income (Loss). The following table provides a summary of the activity within the investment portfolio as of March 31, 2019 and September 30, 2018:</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82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adjustments, net</w:t>
            </w: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cost, beginning of year </w:t>
            </w:r>
            <w:r>
              <w:rPr>
                <w:rFonts w:ascii="Times New Roman" w:cs="Times New Roman" w:eastAsia="Times New Roman" w:hAnsi="Times New Roman"/>
                <w:sz w:val="14"/>
                <w:szCs w:val="14"/>
                <w:color w:val="auto"/>
              </w:rPr>
              <w:t>(a)</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4"/>
                <w:szCs w:val="14"/>
                <w:color w:val="auto"/>
              </w:rPr>
              <w:t>(b)</w:t>
            </w:r>
          </w:p>
        </w:tc>
        <w:tc>
          <w:tcPr>
            <w:tcW w:w="8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unrealized gain </w:t>
            </w:r>
            <w:r>
              <w:rPr>
                <w:rFonts w:ascii="Times New Roman" w:cs="Times New Roman" w:eastAsia="Times New Roman" w:hAnsi="Times New Roman"/>
                <w:sz w:val="14"/>
                <w:szCs w:val="14"/>
                <w:color w:val="auto"/>
              </w:rPr>
              <w:t>(c)</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Realized gains </w:t>
            </w:r>
            <w:r>
              <w:rPr>
                <w:rFonts w:ascii="Times New Roman" w:cs="Times New Roman" w:eastAsia="Times New Roman" w:hAnsi="Times New Roman"/>
                <w:sz w:val="14"/>
                <w:szCs w:val="14"/>
                <w:color w:val="auto"/>
              </w:rPr>
              <w:t>(c)</w:t>
            </w:r>
          </w:p>
        </w:tc>
        <w:tc>
          <w:tcPr>
            <w:tcW w:w="8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funds</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82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6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6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accumulated adjustments include investment income, realized gains, disbursements and settlements recorded in previous periods.</w:t>
      </w:r>
    </w:p>
    <w:p>
      <w:pPr>
        <w:spacing w:after="0" w:line="3" w:lineRule="exact"/>
        <w:rPr>
          <w:rFonts w:ascii="Times New Roman" w:cs="Times New Roman" w:eastAsia="Times New Roman" w:hAnsi="Times New Roman"/>
          <w:sz w:val="14"/>
          <w:szCs w:val="14"/>
          <w:color w:val="auto"/>
        </w:rPr>
      </w:pPr>
    </w:p>
    <w:p>
      <w:pPr>
        <w:ind w:left="260" w:hanging="260"/>
        <w:spacing w:after="0" w:line="221"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income for the demand deposit includes interest income as well as dividend income transferred from the equity and corporate bond mutual funds.</w:t>
      </w: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under the original cost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 securities as of March 31, 2019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2018:</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Gross</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1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Adjusted Cost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color w:val="auto"/>
              </w:rPr>
              <w:t>Unrealized Gain</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Unrealized Loss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color w:val="auto"/>
              </w:rPr>
              <w:t>Fair Value</w:t>
            </w:r>
          </w:p>
        </w:tc>
      </w:tr>
      <w:tr>
        <w:trPr>
          <w:trHeight w:val="22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2019</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5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 mutual fund</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2018</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5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Corporate bond mutual fund</w:t>
            </w:r>
          </w:p>
        </w:tc>
        <w:tc>
          <w:tcPr>
            <w:tcW w:w="1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unrealized gains and losses of $54 million, net of the related deferred income taxes of $20 million, as of September 30, 2018, were reclassified from AOCI to retained earnings within the Condensed Consolidated Balance Sheets due to the new accounting guidance adopted in the first quarter of fiscal year 2019.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0" w:right="639" w:bottom="1440" w:gutter="0" w:footer="0" w:header="0"/>
        </w:sectPr>
      </w:pPr>
    </w:p>
    <w:bookmarkStart w:id="14" w:name="page15"/>
    <w:bookmarkEnd w:id="14"/>
    <w:p>
      <w:pPr>
        <w:ind w:left="400" w:right="42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investment income, net unrealized gains and losses, realized gains and disbursements related to the investments within the portfolio for the three and six months ended March 31, 2019 and 2018.</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Three months ended</w:t>
            </w: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660" w:type="dxa"/>
            <w:vAlign w:val="bottom"/>
            <w:tcBorders>
              <w:top w:val="single" w:sz="8" w:color="auto"/>
            </w:tcBorders>
          </w:tcPr>
          <w:p>
            <w:pPr>
              <w:spacing w:after="0"/>
              <w:rPr>
                <w:sz w:val="20"/>
                <w:szCs w:val="20"/>
                <w:color w:val="auto"/>
              </w:rPr>
            </w:pPr>
          </w:p>
        </w:tc>
      </w:tr>
      <w:tr>
        <w:trPr>
          <w:trHeight w:val="234"/>
        </w:trPr>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March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tcBorders>
              <w:bottom w:val="single" w:sz="8" w:color="auto"/>
            </w:tcBorders>
          </w:tcPr>
          <w:p>
            <w:pPr>
              <w:spacing w:after="0"/>
              <w:rPr>
                <w:sz w:val="20"/>
                <w:szCs w:val="20"/>
                <w:color w:val="auto"/>
              </w:rPr>
            </w:pPr>
          </w:p>
        </w:tc>
      </w:tr>
      <w:tr>
        <w:trPr>
          <w:trHeight w:val="22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unrealized gains (losses) </w:t>
            </w:r>
            <w:r>
              <w:rPr>
                <w:rFonts w:ascii="Times New Roman" w:cs="Times New Roman" w:eastAsia="Times New Roman" w:hAnsi="Times New Roman"/>
                <w:sz w:val="14"/>
                <w:szCs w:val="14"/>
                <w:color w:val="auto"/>
              </w:rPr>
              <w:t>(a)</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Realized gains </w:t>
            </w:r>
            <w:r>
              <w:rPr>
                <w:rFonts w:ascii="Times New Roman" w:cs="Times New Roman" w:eastAsia="Times New Roman" w:hAnsi="Times New Roman"/>
                <w:sz w:val="14"/>
                <w:szCs w:val="14"/>
                <w:color w:val="auto"/>
              </w:rPr>
              <w:t>(b)</w:t>
            </w: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82550</wp:posOffset>
            </wp:positionV>
            <wp:extent cx="6732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42" w:lineRule="exact"/>
        <w:rPr>
          <w:sz w:val="20"/>
          <w:szCs w:val="20"/>
          <w:color w:val="auto"/>
        </w:rPr>
      </w:pPr>
    </w:p>
    <w:p>
      <w:pPr>
        <w:jc w:val="both"/>
        <w:ind w:left="660" w:right="20" w:hanging="260"/>
        <w:spacing w:after="0" w:line="24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determined that all unrealized gains and losses were related to equity securities with readily determinable fair values. Due to the new accounting guidance adopted in the first quarter of fiscal year 2019, the net unrealized losses during the three and six months ended March 31, 2019 were recorded within the net interest and other expense (income) caption in the Statements of Consolidated Comprehensive Income (Loss). In 2018 these net unrealized gains (losses) were in AOCI.</w:t>
      </w:r>
    </w:p>
    <w:p>
      <w:pPr>
        <w:spacing w:after="0" w:line="1" w:lineRule="exact"/>
        <w:rPr>
          <w:rFonts w:ascii="Times New Roman" w:cs="Times New Roman" w:eastAsia="Times New Roman" w:hAnsi="Times New Roman"/>
          <w:sz w:val="14"/>
          <w:szCs w:val="14"/>
          <w:color w:val="auto"/>
        </w:rPr>
      </w:pPr>
    </w:p>
    <w:p>
      <w:pPr>
        <w:ind w:left="660" w:hanging="260"/>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only to the three and six months ended March 31, 2018 prior to the adoption of the new accounting guidance for equity securities.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Deferred compensation investments</w:t>
      </w:r>
    </w:p>
    <w:p>
      <w:pPr>
        <w:spacing w:after="0" w:line="112" w:lineRule="exact"/>
        <w:rPr>
          <w:sz w:val="20"/>
          <w:szCs w:val="20"/>
          <w:color w:val="auto"/>
        </w:rPr>
      </w:pPr>
    </w:p>
    <w:p>
      <w:pPr>
        <w:jc w:val="both"/>
        <w:ind w:left="400" w:right="420"/>
        <w:spacing w:after="0" w:line="247" w:lineRule="auto"/>
        <w:rPr>
          <w:sz w:val="20"/>
          <w:szCs w:val="20"/>
          <w:color w:val="auto"/>
        </w:rPr>
      </w:pPr>
      <w:r>
        <w:rPr>
          <w:rFonts w:ascii="Times New Roman" w:cs="Times New Roman" w:eastAsia="Times New Roman" w:hAnsi="Times New Roman"/>
          <w:sz w:val="20"/>
          <w:szCs w:val="20"/>
          <w:color w:val="auto"/>
        </w:rPr>
        <w:t>Deferred compensation investments consist of Level 2 measurements within the fair value hierarchy which are comprised primarily of a guaranteed interest fund, a common stock index fund and an intermediate investment grade bond fund. Gains and losses related to deferred compensation investments are immediately recognized within the selling, general and administrative expense caption on the Statements of Consolidated Comprehensive Income (Loss). These investments generated gains of $5 million and zero and $1 million and $4 million during the three and six months ended March 31, 2019 and 2018, respectively.</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12" w:lineRule="exact"/>
        <w:rPr>
          <w:sz w:val="20"/>
          <w:szCs w:val="20"/>
          <w:color w:val="auto"/>
        </w:rPr>
      </w:pPr>
    </w:p>
    <w:p>
      <w:pPr>
        <w:jc w:val="both"/>
        <w:ind w:left="400" w:right="420"/>
        <w:spacing w:after="0" w:line="243"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2019 and 2018 within the Statements of Consolidated Comprehensive Income (Loss).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8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gains (losses)</w:t>
            </w:r>
          </w:p>
        </w:tc>
        <w:tc>
          <w:tcPr>
            <w:tcW w:w="12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9"/>
                <w:szCs w:val="19"/>
                <w:color w:val="auto"/>
              </w:rPr>
            </w:pPr>
          </w:p>
        </w:tc>
      </w:tr>
    </w:tbl>
    <w:p>
      <w:pPr>
        <w:spacing w:after="0" w:line="274" w:lineRule="exact"/>
        <w:rPr>
          <w:sz w:val="20"/>
          <w:szCs w:val="20"/>
          <w:color w:val="auto"/>
        </w:rPr>
      </w:pPr>
    </w:p>
    <w:p>
      <w:pPr>
        <w:jc w:val="both"/>
        <w:ind w:left="400" w:right="42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foreign currency derivatives as of March 31, 2019 and September 30, 2018 included in accounts receivable and accrued expenses and other liabilities of the Condensed 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96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r>
      <w:tr>
        <w:trPr>
          <w:trHeight w:val="234"/>
        </w:trPr>
        <w:tc>
          <w:tcPr>
            <w:tcW w:w="4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0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02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w:t>
            </w:r>
          </w:p>
        </w:tc>
        <w:tc>
          <w:tcPr>
            <w:tcW w:w="6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0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0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42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4" w:right="21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At March 31, 2019 and September 30, 2018, Ashland's long-term debt (including the current portion and excluding debt issuance cost discounts) had a carrying value of $2,300 million and $2,307 million, respectively, compared to a fair value of $2,401 million and $2,372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INVENTORIES</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Ashland’s inventories as of the reported Condensed Consolidated Balance Sheet dates.</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2019</w:t>
            </w: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2018</w:t>
            </w:r>
          </w:p>
        </w:tc>
        <w:tc>
          <w:tcPr>
            <w:tcW w:w="120" w:type="dxa"/>
            <w:vAlign w:val="bottom"/>
            <w:tcBorders>
              <w:bottom w:val="single" w:sz="8" w:color="CFF0FC"/>
            </w:tcBorders>
          </w:tcPr>
          <w:p>
            <w:pPr>
              <w:spacing w:after="0"/>
              <w:rPr>
                <w:sz w:val="21"/>
                <w:szCs w:val="2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72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7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12" w:lineRule="exact"/>
        <w:rPr>
          <w:sz w:val="20"/>
          <w:szCs w:val="20"/>
          <w:color w:val="auto"/>
        </w:rPr>
      </w:pPr>
    </w:p>
    <w:p>
      <w:pPr>
        <w:jc w:val="both"/>
        <w:ind w:left="400"/>
        <w:spacing w:after="0" w:line="244" w:lineRule="auto"/>
        <w:rPr>
          <w:sz w:val="20"/>
          <w:szCs w:val="20"/>
          <w:color w:val="auto"/>
        </w:rPr>
      </w:pPr>
      <w:r>
        <w:rPr>
          <w:rFonts w:ascii="Times New Roman" w:cs="Times New Roman" w:eastAsia="Times New Roman" w:hAnsi="Times New Roman"/>
          <w:sz w:val="20"/>
          <w:szCs w:val="20"/>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2018 assessment, Ashland determined that its reporting units for the allocation of goodwill were its three reportable segments: Specialty Ingredients, Composites and Intermediates and Solvents. At that time, Ashland determined no additional impairment existed. Due to the expected divestiture of the Composites reporting unit, Ashland has two remaining reporting units as of March 31, 2019: Specialty Ingredients and Intermediates and Solvents. See Note B for more information on the expected divestiture.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six months ended March 31, 2019.</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Specialty</w:t>
            </w: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Intermediates</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Ingredients</w:t>
            </w:r>
          </w:p>
        </w:tc>
        <w:tc>
          <w:tcPr>
            <w:tcW w:w="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 Solvents</w:t>
            </w:r>
          </w:p>
        </w:tc>
        <w:tc>
          <w:tcPr>
            <w:tcW w:w="1100" w:type="dxa"/>
            <w:vAlign w:val="bottom"/>
            <w:tcBorders>
              <w:bottom w:val="single" w:sz="8" w:color="auto"/>
            </w:tcBorders>
            <w:gridSpan w:val="3"/>
          </w:tcPr>
          <w:p>
            <w:pPr>
              <w:jc w:val="right"/>
              <w:ind w:right="815"/>
              <w:spacing w:after="0"/>
              <w:rPr>
                <w:sz w:val="20"/>
                <w:szCs w:val="20"/>
                <w:color w:val="auto"/>
              </w:rPr>
            </w:pPr>
            <w:r>
              <w:rPr>
                <w:rFonts w:ascii="Times New Roman" w:cs="Times New Roman" w:eastAsia="Times New Roman" w:hAnsi="Times New Roman"/>
                <w:sz w:val="14"/>
                <w:szCs w:val="14"/>
                <w:color w:val="auto"/>
              </w:rPr>
              <w:t>(a)</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60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0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6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6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2,279</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2,279</w:t>
            </w:r>
          </w:p>
        </w:tc>
      </w:tr>
      <w:tr>
        <w:trPr>
          <w:trHeight w:val="20"/>
        </w:trPr>
        <w:tc>
          <w:tcPr>
            <w:tcW w:w="3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3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bl>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As of March 31, 2019 and September 30, 2018, there was accumulated impairment of $90 million related to the Intermediates and Solvents reportable segment.</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Intangibles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7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Ashland annually reviews indefinite-lived intangible assets for possible impairment or whenever events or changes in circumstances indicate that carrying amounts may not be recoverable.</w:t>
      </w:r>
    </w:p>
    <w:p>
      <w:pPr>
        <w:spacing w:after="0" w:line="16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2"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Intangible assets were comprised of the following as of March 31, 2019 and September 30, 2018.</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March 31, 2019</w:t>
            </w:r>
          </w:p>
        </w:tc>
        <w:tc>
          <w:tcPr>
            <w:tcW w:w="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r>
      <w:tr>
        <w:trPr>
          <w:trHeight w:val="218"/>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w:t>
            </w:r>
          </w:p>
        </w:tc>
      </w:tr>
      <w:tr>
        <w:trPr>
          <w:trHeight w:val="230"/>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carrying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720" w:type="dxa"/>
            <w:vAlign w:val="bottom"/>
            <w:gridSpan w:val="2"/>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39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720" w:type="dxa"/>
            <w:vAlign w:val="bottom"/>
            <w:tcBorders>
              <w:top w:val="single" w:sz="8" w:color="auto"/>
              <w:bottom w:val="single" w:sz="8" w:color="auto"/>
            </w:tcBorders>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r>
      <w:tr>
        <w:trPr>
          <w:trHeight w:val="20"/>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02"/>
        </w:trPr>
        <w:tc>
          <w:tcPr>
            <w:tcW w:w="3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8"/>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w:t>
            </w:r>
          </w:p>
        </w:tc>
      </w:tr>
      <w:tr>
        <w:trPr>
          <w:trHeight w:val="230"/>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carrying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720" w:type="dxa"/>
            <w:vAlign w:val="bottom"/>
            <w:gridSpan w:val="2"/>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39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Amortization expense recognized on intangible assets was $21 million and $23 million for the three months ended March 31, 2019 and 2018, respectively, and $43 million and $46 million for the six months ended March 31 2019 and 2018, respectively, and is included in the selling, general and administrative expense caption of the Statements of Consolidated Comprehensive Income (Loss). Estimated amortization expense for future periods is $86 million in 2019 (includes six months actual and six months estimated), $86 million in 2020, $85 million in 2021, $85 million in 2022 and $84 million in 2023.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NOTE H – DEBT</w:t>
      </w:r>
    </w:p>
    <w:p>
      <w:pPr>
        <w:spacing w:after="0" w:line="112" w:lineRule="exact"/>
        <w:rPr>
          <w:sz w:val="20"/>
          <w:szCs w:val="20"/>
          <w:color w:val="auto"/>
        </w:rPr>
      </w:pPr>
    </w:p>
    <w:p>
      <w:pPr>
        <w:ind w:left="400" w:right="20"/>
        <w:spacing w:after="0" w:line="269" w:lineRule="auto"/>
        <w:rPr>
          <w:sz w:val="20"/>
          <w:szCs w:val="20"/>
          <w:color w:val="auto"/>
        </w:rPr>
      </w:pPr>
      <w:r>
        <w:rPr>
          <w:rFonts w:ascii="Times New Roman" w:cs="Times New Roman" w:eastAsia="Times New Roman" w:hAnsi="Times New Roman"/>
          <w:sz w:val="20"/>
          <w:szCs w:val="20"/>
          <w:color w:val="auto"/>
        </w:rPr>
        <w:t>The following table summarizes Ashland’s current and long-term debt as of the dates reported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55880</wp:posOffset>
            </wp:positionV>
            <wp:extent cx="6732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March 31,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 2018</w:t>
            </w: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4.750% notes, due 2022</w:t>
            </w:r>
          </w:p>
        </w:tc>
        <w:tc>
          <w:tcPr>
            <w:tcW w:w="136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Term Loan B, due 2024</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Term Loan A, due 2022</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Medium-term notes, due 2019, interest of 9.4%</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(a)</w:t>
            </w:r>
          </w:p>
        </w:tc>
        <w:tc>
          <w:tcPr>
            <w:tcW w:w="8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8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860" w:type="dxa"/>
            <w:vAlign w:val="bottom"/>
          </w:tcPr>
          <w:p>
            <w:pPr>
              <w:spacing w:after="0"/>
              <w:rPr>
                <w:sz w:val="19"/>
                <w:szCs w:val="19"/>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2,275</w:t>
            </w:r>
          </w:p>
        </w:tc>
      </w:tr>
      <w:tr>
        <w:trPr>
          <w:trHeight w:val="20"/>
        </w:trPr>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16"/>
        </w:trPr>
        <w:tc>
          <w:tcPr>
            <w:tcW w:w="5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660" w:hanging="260"/>
        <w:spacing w:after="0" w:line="262"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 million and $21 million of debt issuance cost discounts as of March 31, 2019 and September 30, 2018, respectively, in addition to a European short-term loan facility with an outstanding balance of $23 million at both March 31, 2019 and September 30, 2018.</w:t>
      </w:r>
    </w:p>
    <w:p>
      <w:pPr>
        <w:spacing w:after="0" w:line="54"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The scheduled aggregate maturities of long-term debt by year (including the current portion and excluding debt issuance costs) are as follows: $3 million remaining in 2019, $6 million in 2020, $14 million in 2021, $1,279 million in 2022 and $6 million in 2023.</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Available borrowing capacity</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The borrowing capacity remaining under the 2017 Revolving Credit Facility was $727 million due to an outstanding balance of $25 million, as well as a reduction of $48 million for letters of credit outstanding at March 31, 2019. Ashland's total borrowing capacity at March 31, 2019 was $741 million, which included $14 million of available capacity from the two accounts receivable securitization facilities.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Covenants related to current Ashland debt agreements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2019, Ashland is in compliance with all debt agreement covenant restrictions.</w:t>
      </w:r>
    </w:p>
    <w:p>
      <w:pPr>
        <w:spacing w:after="0" w:line="7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most recent credit agreement (the 2017 Credit Agreement) is 4.5. At March 31, 2019, Ashland’s calculation of the consolidated net leverage ratio was 3.5.</w:t>
      </w:r>
    </w:p>
    <w:p>
      <w:pPr>
        <w:spacing w:after="0" w:line="52"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2017 Credit Agreement during its entire duration is 3.0. At March 31, 2019, Ashland’s calculation of the interest coverage ratio was 5.6.</w:t>
      </w: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0"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NOTE I – INCOME TAXES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Tax Law Changes</w:t>
      </w:r>
    </w:p>
    <w:p>
      <w:pPr>
        <w:spacing w:after="0" w:line="11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The Tax Cuts and Jobs Act (Tax Act) was enacted on December 22, 2017. The Tax Act reduced the U.S. federal corporate tax rate from 35% to 21%, required companies to pay a one-time transition tax on earnings of certain foreign subsidiaries that were previously tax deferred and created new taxes on certain foreign sourced earnings. Through September 30, 2018 we recorded provisional amounts for certain enactment date effects of the Tax Act by applying the guidance in SAB 118 because we had not yet completed our enactment date accounting for these effects. During 2019, Ashland completed its internal accounting assessment for the tax effects of enactment of the Tax Act and recorded adjustments to provisional amounts previously recorded. Ashland’s final assessment resulted in net unfavorable tax adjustments of $24 million during the three months ended December 31, 2018 primarily related to the one-time transition tax assessed on foreign cash and unremitted earnings. There could be additional guidance issued subsequent to December 31, 2018 that could impact our interpretation of the Tax Act and such changes could affect the amounts recorded. The impact, if any, of further transitional tax guidance that may be issued by the U.S. Treasury would be reflected in the Company’s provision for income tax in the period such guidance is effective.</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Deferred tax assets and liabilities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Ashland remeasured certain deferred tax assets and liabilities based on the rates at which they are expected to reverse in the future, which is 21%. Ashland finalized its assessment of the provisional amount previously recorded for the remeasurement of the deferred tax balance which resulted in an unfavorable tax adjustment of $2 million during the three months ended December 31, 2018.</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Foreign tax effects</w:t>
      </w:r>
    </w:p>
    <w:p>
      <w:pPr>
        <w:spacing w:after="0" w:line="112" w:lineRule="exact"/>
        <w:rPr>
          <w:sz w:val="20"/>
          <w:szCs w:val="20"/>
          <w:color w:val="auto"/>
        </w:rPr>
      </w:pPr>
    </w:p>
    <w:p>
      <w:pPr>
        <w:jc w:val="both"/>
        <w:ind w:left="400"/>
        <w:spacing w:after="0" w:line="243" w:lineRule="auto"/>
        <w:rPr>
          <w:sz w:val="20"/>
          <w:szCs w:val="20"/>
          <w:color w:val="auto"/>
        </w:rPr>
      </w:pPr>
      <w:r>
        <w:rPr>
          <w:rFonts w:ascii="Times New Roman" w:cs="Times New Roman" w:eastAsia="Times New Roman" w:hAnsi="Times New Roman"/>
          <w:sz w:val="20"/>
          <w:szCs w:val="20"/>
          <w:color w:val="auto"/>
        </w:rPr>
        <w:t>The one-time transition tax is based on Ashland's total post-1986 earnings and profits of foreign subsidiaries that were previously deferred from U.S. income taxes. Ashland finalized its assessment of the provisional amount previously recorded for this one-time transition tax liability which resulted in an unfavorable tax adjustment of $22 million during the three months ended December 31, 2018. After this final adjustment, the obligation for the one-time transition tax was $51 million as of December 31, 2018. No additional income taxes have been provided for any remaining undistributed foreign earnings not subject to the transition tax, or any additional outside basis difference inherent in these entities, as these amounts continue to be indefinitely reinvested in foreign operations. Ashland determined that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Global Intangible Low-Taxed Income</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Regarding new Global Intangible Low-Taxed Income (GILTI) tax rules, Ashland made an election to treat taxes due on future GILTI exclusions as a current period expense when incurred.</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Current fiscal year</w:t>
      </w:r>
    </w:p>
    <w:p>
      <w:pPr>
        <w:spacing w:after="0" w:line="112" w:lineRule="exact"/>
        <w:rPr>
          <w:sz w:val="20"/>
          <w:szCs w:val="20"/>
          <w:color w:val="auto"/>
        </w:rPr>
      </w:pPr>
    </w:p>
    <w:p>
      <w:pPr>
        <w:jc w:val="both"/>
        <w:ind w:left="400"/>
        <w:spacing w:after="0" w:line="260" w:lineRule="auto"/>
        <w:rPr>
          <w:sz w:val="20"/>
          <w:szCs w:val="20"/>
          <w:color w:val="auto"/>
        </w:rPr>
      </w:pPr>
      <w:r>
        <w:rPr>
          <w:rFonts w:ascii="Times New Roman" w:cs="Times New Roman" w:eastAsia="Times New Roman" w:hAnsi="Times New Roman"/>
          <w:sz w:val="19"/>
          <w:szCs w:val="19"/>
          <w:color w:val="auto"/>
        </w:rPr>
        <w:t>Ashland’s effective tax rate in any interim period is subject to adjustments related to discrete items and the mix of domestic and foreign operating results. The overall effective tax rate was 2% for the three months ended March 31, 2019 and a negative 2500% for the six months ended March 31, 2019. The current quarter tax rate was primarily impacted by income mix, certain nondeductible restructuring costs, as well as $11 million in favorable tax discrete items including nontaxable earnings in deferred compensation related investments and other items. The current six month period was primarily impacted by the items referenced in the three-month period, as well as a net $30 million from unfavorable tax discrete items including the final assessment of the Tax Act and other items.</w:t>
      </w:r>
    </w:p>
    <w:p>
      <w:pPr>
        <w:spacing w:after="0" w:line="1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2" w:right="6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20"/>
          <w:szCs w:val="20"/>
          <w:b w:val="1"/>
          <w:bCs w:val="1"/>
          <w:color w:val="auto"/>
        </w:rPr>
        <w:t>Prior fiscal year</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The overall effective tax rate was negative 5% for the three months ended March 31, 2018 and 44% for the six months ended March 31, 2018. The quarter rate was primarily impacted by income mix and net favorable tax discrete adjustments of $5 million related to a tax rate change in a foreign country and other items. The six-month period was primarily impacted by the items referenced in the quarter, as well as a net $16 million from unfavorable tax discrete items including the assessment of the Tax Act and other items.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Changes in unrecognized tax benefits are summarized as follows for the six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91440</wp:posOffset>
            </wp:positionV>
            <wp:extent cx="6732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8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2018</w:t>
            </w:r>
          </w:p>
        </w:tc>
        <w:tc>
          <w:tcPr>
            <w:tcW w:w="1020" w:type="dxa"/>
            <w:vAlign w:val="bottom"/>
            <w:tcBorders>
              <w:top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10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10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02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From a combination of statute expirations and audit settlements in the next twelve months, Ashland expects a decrease in the amount accrued for uncertain tax positions of between $2 million and $4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J - EMPLOYEE BENEFIT PLANS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Plan contributions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For the six months ended March 31, 2019, Ashland contributed $3 million to its non-U.S. pension plans and zero to its U.S. pension plans. Ashland expects to make additional contributions of approximately $3 million to its non-U.S. plans during the remainder of 2019.</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Plan remeasurement</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Ashland settled a non-U.S. pension plan during the first quarter of fiscal 2019, which required the plan to be remeasured. This remeasurement resulted in a curtailment gain of $18 million.</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Components of net periodic benefit costs (income)</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details the components of pension and other postretirement benefit costs for continuing operations.</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0" w:right="639" w:bottom="1440" w:gutter="0" w:footer="0" w:header="0"/>
        </w:sectPr>
      </w:pPr>
    </w:p>
    <w:bookmarkStart w:id="20" w:name="page21"/>
    <w:bookmarkEnd w:id="20"/>
    <w:tbl>
      <w:tblPr>
        <w:tblLayout w:type="fixed"/>
        <w:tblInd w:w="420" w:type="dxa"/>
        <w:tblCellMar>
          <w:top w:w="0" w:type="dxa"/>
          <w:left w:w="0" w:type="dxa"/>
          <w:bottom w:w="0" w:type="dxa"/>
          <w:right w:w="0" w:type="dxa"/>
        </w:tblCellMar>
      </w:tblPr>
      <w:tr>
        <w:trPr>
          <w:trHeight w:val="225"/>
        </w:trPr>
        <w:tc>
          <w:tcPr>
            <w:tcW w:w="3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Other postretirement</w:t>
            </w: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Pension benefits</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6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Curtailment</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gridSpan w:val="2"/>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Curtailment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costs (income)</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400" w:right="420"/>
        <w:spacing w:after="0" w:line="249" w:lineRule="auto"/>
        <w:rPr>
          <w:sz w:val="20"/>
          <w:szCs w:val="20"/>
          <w:color w:val="auto"/>
        </w:rPr>
      </w:pPr>
      <w:r>
        <w:rPr>
          <w:rFonts w:ascii="Times New Roman" w:cs="Times New Roman" w:eastAsia="Times New Roman" w:hAnsi="Times New Roman"/>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K – LITIGATION, CLAIMS AND CONTINGENCIES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12" w:lineRule="exact"/>
        <w:rPr>
          <w:sz w:val="20"/>
          <w:szCs w:val="20"/>
          <w:color w:val="auto"/>
        </w:rPr>
      </w:pPr>
    </w:p>
    <w:p>
      <w:pPr>
        <w:jc w:val="both"/>
        <w:ind w:left="400" w:right="420"/>
        <w:spacing w:after="0" w:line="242" w:lineRule="auto"/>
        <w:rPr>
          <w:sz w:val="20"/>
          <w:szCs w:val="20"/>
          <w:color w:val="auto"/>
        </w:rPr>
      </w:pPr>
      <w:r>
        <w:rPr>
          <w:rFonts w:ascii="Times New Roman" w:cs="Times New Roman" w:eastAsia="Times New Roman" w:hAnsi="Times New Roman"/>
          <w:sz w:val="20"/>
          <w:szCs w:val="20"/>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12" w:lineRule="exact"/>
        <w:rPr>
          <w:sz w:val="20"/>
          <w:szCs w:val="20"/>
          <w:color w:val="auto"/>
        </w:rPr>
      </w:pPr>
    </w:p>
    <w:p>
      <w:pPr>
        <w:jc w:val="both"/>
        <w:ind w:left="400" w:right="420"/>
        <w:spacing w:after="0" w:line="249"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Stoker Corporation (Riley). The amount and timing of settlements and number of open claims can fluctuate from period to period. A summary of Ashland asbestos claims activity, excluding Hercules claims,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Six months ended</w:t>
            </w: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34"/>
        </w:trPr>
        <w:tc>
          <w:tcPr>
            <w:tcW w:w="4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200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most recent annual update of this estimate completed during the June 2018 quarter, it was determined that the liability for Ashland asbestos-related claims should be decreased by $8 million. Total reserves for asbestos claims were $366 million at March 31, 2019 compared to $380 million at September 30, 2018.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34"/>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5"/>
              <w:spacing w:after="0"/>
              <w:rPr>
                <w:sz w:val="20"/>
                <w:szCs w:val="20"/>
                <w:color w:val="auto"/>
              </w:rPr>
            </w:pPr>
            <w:r>
              <w:rPr>
                <w:rFonts w:ascii="Times New Roman" w:cs="Times New Roman" w:eastAsia="Times New Roman" w:hAnsi="Times New Roman"/>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7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102870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260" w:hanging="260"/>
        <w:spacing w:after="0" w:line="262"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$31 million and $30 million classified in accrued expenses and other liabilities on the Condensed Consolidated Balance Sheets as of March 31, 2019 and September 30,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 March 31, 2019, Ashland’s receivable for recoveries of litigation defense and claim settlement costs from insurers amounted to $136 million (excluding the Hercules receivable for asbestos claims) compared to $140 million at September 30, 2018. During the June 2018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is presented in the following table.</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34"/>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5"/>
              <w:spacing w:after="0"/>
              <w:rPr>
                <w:sz w:val="20"/>
                <w:szCs w:val="20"/>
                <w:color w:val="auto"/>
              </w:rPr>
            </w:pPr>
            <w:r>
              <w:rPr>
                <w:rFonts w:ascii="Times New Roman" w:cs="Times New Roman" w:eastAsia="Times New Roman" w:hAnsi="Times New Roman"/>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7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settlement</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period </w:t>
            </w:r>
            <w:r>
              <w:rPr>
                <w:rFonts w:ascii="Times New Roman" w:cs="Times New Roman" w:eastAsia="Times New Roman" w:hAnsi="Times New Roman"/>
                <w:sz w:val="14"/>
                <w:szCs w:val="14"/>
                <w:color w:val="auto"/>
              </w:rPr>
              <w:t>(a)</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102870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$15 million classified in accounts receivable on the Condensed Consolidated Balance Sheets as of both March 31, 2019 and September 30, 2018.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639"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Six months ended</w:t>
            </w:r>
          </w:p>
        </w:tc>
        <w:tc>
          <w:tcPr>
            <w:tcW w:w="5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34"/>
        </w:trPr>
        <w:tc>
          <w:tcPr>
            <w:tcW w:w="42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90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2018 quarter, it was determined that the liability for Hercules asbestos-related claims should be decreased by $19 million. Total reserves for asbestos claims were $272 million at March 31, 2019 compared to $282 million at September 30, 2018.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34"/>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5"/>
              <w:spacing w:after="0"/>
              <w:rPr>
                <w:sz w:val="20"/>
                <w:szCs w:val="20"/>
                <w:color w:val="auto"/>
              </w:rPr>
            </w:pPr>
            <w:r>
              <w:rPr>
                <w:rFonts w:ascii="Times New Roman" w:cs="Times New Roman" w:eastAsia="Times New Roman" w:hAnsi="Times New Roman"/>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7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6"/>
        </w:trPr>
        <w:tc>
          <w:tcPr>
            <w:tcW w:w="4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Included $20 million classified in accrued expenses and other liabilities on the Condensed Consolidated Balance Sheets as of both March 31, 2019 and September 30, 2018.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March 31, 2019, Ashland’s receivable for recoveries of litigation defense and claims costs from insurers with respect to Hercules amounted to $54 million. During the June 2018 quarter, the annual update of the model used for purposes of valuing the asbestos reserve and its impact on valuation of future recoveries from insurers was completed. This model update resulted in a decrease of $14 million in the receivable for probable insurance recoveries.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0" w:right="6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is presented in the following table.</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34"/>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end of period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12" w:lineRule="exact"/>
        <w:rPr>
          <w:sz w:val="20"/>
          <w:szCs w:val="20"/>
          <w:color w:val="auto"/>
        </w:rPr>
      </w:pPr>
    </w:p>
    <w:p>
      <w:pPr>
        <w:jc w:val="both"/>
        <w:ind w:left="400" w:right="420"/>
        <w:spacing w:after="0" w:line="241"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$366 million) and approximately $450 million for the Hercules asbestos-related litigation (current reserve of $272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Environmental remediation and asset retirement obligations</w:t>
      </w:r>
    </w:p>
    <w:p>
      <w:pPr>
        <w:spacing w:after="0" w:line="112" w:lineRule="exact"/>
        <w:rPr>
          <w:sz w:val="20"/>
          <w:szCs w:val="20"/>
          <w:color w:val="auto"/>
        </w:rPr>
      </w:pPr>
    </w:p>
    <w:p>
      <w:pPr>
        <w:jc w:val="both"/>
        <w:ind w:left="400" w:right="420"/>
        <w:spacing w:after="0" w:line="247"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March 31, 2019, such locations included 81 waste treatment or disposal sites where Ashland has been identified as a potentially responsible party under Superfund or similar state laws, 116 current and former operating facilities and about 1,225 service station properties, of which 31 are being actively remediated.</w:t>
      </w:r>
    </w:p>
    <w:p>
      <w:pPr>
        <w:spacing w:after="0" w:line="73" w:lineRule="exact"/>
        <w:rPr>
          <w:sz w:val="20"/>
          <w:szCs w:val="20"/>
          <w:color w:val="auto"/>
        </w:rPr>
      </w:pPr>
    </w:p>
    <w:p>
      <w:pPr>
        <w:jc w:val="both"/>
        <w:ind w:left="400" w:right="420"/>
        <w:spacing w:after="0" w:line="249"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$179 million at March 31, 2019 compared to $187 million at September 30, 2018, of which $139 million at March 31, 2019 and $147 million at September 30, 2018 were classified in other noncurrent liabilities on the Condensed Consolidated Balance Sheets. The remaining reserves were classified in accrued expenses and other liabilities on the Condensed Consolidated Balance Sheets.</w:t>
      </w:r>
    </w:p>
    <w:p>
      <w:pPr>
        <w:spacing w:after="0" w:line="72" w:lineRule="exact"/>
        <w:rPr>
          <w:sz w:val="20"/>
          <w:szCs w:val="20"/>
          <w:color w:val="auto"/>
        </w:rPr>
      </w:pPr>
    </w:p>
    <w:p>
      <w:pPr>
        <w:jc w:val="both"/>
        <w:ind w:left="400" w:right="42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 during the six months ended March 31, 2019 and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26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8"/>
                <w:szCs w:val="18"/>
                <w:color w:val="auto"/>
              </w:rPr>
              <w:t>Six months ended</w:t>
            </w:r>
          </w:p>
        </w:tc>
        <w:tc>
          <w:tcPr>
            <w:tcW w:w="9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 beginning of period</w:t>
            </w:r>
          </w:p>
        </w:tc>
        <w:tc>
          <w:tcPr>
            <w:tcW w:w="312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Disbursements</w:t>
            </w: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24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 end of period</w:t>
            </w:r>
          </w:p>
        </w:tc>
        <w:tc>
          <w:tcPr>
            <w:tcW w:w="244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4" w:right="219" w:bottom="1440" w:gutter="0" w:footer="0" w:header="0"/>
        </w:sectPr>
      </w:pPr>
    </w:p>
    <w:bookmarkStart w:id="24" w:name="page25"/>
    <w:bookmarkEnd w:id="24"/>
    <w:p>
      <w:pPr>
        <w:jc w:val="both"/>
        <w:spacing w:after="0" w:line="243"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2019 and September 30, 2018, Ashland’s recorded receivable for these probable insurance recoveries was $12 million, of which $11 million at March 31, 2019 and September 30, 2018 were classified in other noncurrent assets on the Condensed Consolidated Balance Sheets.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March 31, 2019 and 2018.</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Six months ended</w:t>
            </w:r>
          </w:p>
        </w:tc>
        <w:tc>
          <w:tcPr>
            <w:tcW w:w="640" w:type="dxa"/>
            <w:vAlign w:val="bottom"/>
            <w:tcBorders>
              <w:top w:val="single" w:sz="8" w:color="auto"/>
            </w:tcBorders>
          </w:tcPr>
          <w:p>
            <w:pPr>
              <w:spacing w:after="0"/>
              <w:rPr>
                <w:sz w:val="20"/>
                <w:szCs w:val="20"/>
                <w:color w:val="auto"/>
              </w:rPr>
            </w:pPr>
          </w:p>
        </w:tc>
      </w:tr>
      <w:tr>
        <w:trPr>
          <w:trHeight w:val="234"/>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3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expense</w:t>
            </w:r>
          </w:p>
        </w:tc>
        <w:tc>
          <w:tcPr>
            <w:tcW w:w="3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14"/>
                <w:szCs w:val="14"/>
                <w:color w:val="auto"/>
              </w:rPr>
              <w:t>(a)</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Total expense, net of receivable activity </w:t>
            </w:r>
            <w:r>
              <w:rPr>
                <w:rFonts w:ascii="Times New Roman" w:cs="Times New Roman" w:eastAsia="Times New Roman" w:hAnsi="Times New Roman"/>
                <w:sz w:val="14"/>
                <w:szCs w:val="14"/>
                <w:color w:val="auto"/>
              </w:rPr>
              <w:t>(b)</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6"/>
        </w:trPr>
        <w:tc>
          <w:tcPr>
            <w:tcW w:w="4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18" w:lineRule="exact"/>
        <w:rPr>
          <w:sz w:val="20"/>
          <w:szCs w:val="20"/>
          <w:color w:val="auto"/>
        </w:rPr>
      </w:pPr>
    </w:p>
    <w:p>
      <w:pPr>
        <w:ind w:left="260" w:hanging="260"/>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of $0 denotes value less than $1 million.</w:t>
      </w:r>
    </w:p>
    <w:p>
      <w:pPr>
        <w:spacing w:after="0" w:line="28" w:lineRule="exact"/>
        <w:rPr>
          <w:rFonts w:ascii="Times New Roman" w:cs="Times New Roman" w:eastAsia="Times New Roman" w:hAnsi="Times New Roman"/>
          <w:sz w:val="14"/>
          <w:szCs w:val="14"/>
          <w:color w:val="auto"/>
        </w:rPr>
      </w:pPr>
    </w:p>
    <w:p>
      <w:pPr>
        <w:jc w:val="both"/>
        <w:ind w:left="260" w:hanging="260"/>
        <w:spacing w:after="0" w:line="241" w:lineRule="auto"/>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$1 million and $2 million for the three and six months ended March 31, 2019, and $1 million for both the three and six months ended March 31, 2018,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$421 million. The largest reserve for any site is 15% of the remediation reserve.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2019 and September 30, 2018. There is a reasonable possibility that a loss exceeding amounts already recognized may be incurred related to these actions; however, Ashland believes that such potential losses were immaterial as of March 31, 2019 and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562"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NOTE L – EARNINGS PER SHARE</w:t>
      </w:r>
    </w:p>
    <w:p>
      <w:pPr>
        <w:spacing w:after="0" w:line="112"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1.0 million and 0.7 million at March 31, 2019 and 2018, respectively. Earnings per share is reported under the treasury stock method.</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3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EPS -</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basic EPS - Weighted-</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Share based awards convertible to common shares </w:t>
            </w:r>
            <w:r>
              <w:rPr>
                <w:rFonts w:ascii="Times New Roman" w:cs="Times New Roman" w:eastAsia="Times New Roman" w:hAnsi="Times New Roman"/>
                <w:sz w:val="14"/>
                <w:szCs w:val="14"/>
                <w:color w:val="auto"/>
              </w:rPr>
              <w:t>(a)</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Denominator for diluted EPS - Adjusted weighted-</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average shares and assumed conversions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142875</wp:posOffset>
            </wp:positionV>
            <wp:extent cx="6732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36" w:lineRule="exact"/>
        <w:rPr>
          <w:sz w:val="20"/>
          <w:szCs w:val="20"/>
          <w:color w:val="auto"/>
        </w:rPr>
      </w:pPr>
    </w:p>
    <w:p>
      <w:pPr>
        <w:ind w:left="660" w:hanging="260"/>
        <w:spacing w:after="0" w:line="262"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attributable to Ashland during the six months ended March 31, 2019, the effect of the share-based awards convertible to common shares would be antidilutive. In accordance with U.S. GAAP, these shares have been excluded from the diluted EPS calculation.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M – EQUITY ITEMS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Stock repurchase programs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March 31, 2019, $1 billion remained available for repurchase under this authorization.</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In January 2019, the Board of Directors of Ashland announced a quarterly cash dividend of 25 cents per share or $16 million, to eligible stockholders at record, which was paid in the second quarter of fiscal 2019. Similarly dividends of 25 cents per share were paid in the first quarter of fiscal 2019 and the third and fourth quarters of fiscal 2018. These dividends represented an 11% increase over the previous quarterly cash dividend of 22.5 cents per share paid in the first and second quarters of fiscal 2018.</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Consolidated Comprehensive Income (Loss) are presented below, before tax and net of tax effects.</w:t>
      </w:r>
    </w:p>
    <w:p>
      <w:pPr>
        <w:spacing w:after="0" w:line="2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1099" w:right="6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43"/>
        </w:trPr>
        <w:tc>
          <w:tcPr>
            <w:tcW w:w="44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205"/>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Before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Net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Before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of</w:t>
            </w:r>
          </w:p>
        </w:tc>
      </w:tr>
      <w:tr>
        <w:trPr>
          <w:trHeight w:val="234"/>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benefit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benefit</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tax</w:t>
            </w: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Adjustment of unrecognized prior service costs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xml:space="preserve">Unrealized gains during periods </w:t>
            </w:r>
            <w:r>
              <w:rPr>
                <w:rFonts w:ascii="Times New Roman" w:cs="Times New Roman" w:eastAsia="Times New Roman" w:hAnsi="Times New Roman"/>
                <w:sz w:val="14"/>
                <w:szCs w:val="14"/>
                <w:color w:val="auto"/>
              </w:rPr>
              <w:t>(a)</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Reclassification adjustment for gains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4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 of unrecognized prior service costs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Unrealized gains during periods (a)</w:t>
            </w:r>
          </w:p>
        </w:tc>
        <w:tc>
          <w:tcPr>
            <w:tcW w:w="1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Reclassification adjustment for gains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8"/>
                <w:szCs w:val="18"/>
                <w:color w:val="auto"/>
              </w:rPr>
              <w:t>included in net income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60" w:hanging="260"/>
        <w:spacing w:after="0" w:line="262"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adoption of new accounting guidance in fiscal 2019, unrealized gains and losses on Ashland’s equity securities are now recognized in net income rather than AOCI. See Notes A and 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-216535</wp:posOffset>
            </wp:positionV>
            <wp:extent cx="6732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49" w:right="6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reconciliation of changes in stockholders’ equity are as follows:</w:t>
      </w: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c>
          <w:tcPr>
            <w:tcW w:w="8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7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Common shares issued under stock incentive and other plans </w:t>
            </w:r>
            <w:r>
              <w:rPr>
                <w:rFonts w:ascii="Times New Roman" w:cs="Times New Roman" w:eastAsia="Times New Roman" w:hAnsi="Times New Roman"/>
                <w:sz w:val="14"/>
                <w:szCs w:val="14"/>
                <w:color w:val="auto"/>
              </w:rPr>
              <w:t>(a)</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2,678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(b)</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2,780</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2,737</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2,780</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Adoption of new accounting pronouncements </w:t>
            </w:r>
            <w:r>
              <w:rPr>
                <w:rFonts w:ascii="Times New Roman" w:cs="Times New Roman" w:eastAsia="Times New Roman" w:hAnsi="Times New Roman"/>
                <w:sz w:val="14"/>
                <w:szCs w:val="14"/>
                <w:color w:val="auto"/>
              </w:rPr>
              <w:t>(b)</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3,362</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3,511</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3,362</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0.225</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-2540</wp:posOffset>
            </wp:positionV>
            <wp:extent cx="6732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00" w:hanging="400"/>
        <w:spacing w:after="0"/>
        <w:tabs>
          <w:tab w:leader="none" w:pos="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 issued were 93,738 and 154,421 for the three months ended March 31, 2019 and 2018 and 234,352 and 265,821 for the six months ended March 31, 2019 and 2018.</w:t>
      </w:r>
    </w:p>
    <w:p>
      <w:pPr>
        <w:spacing w:after="0" w:line="138" w:lineRule="exact"/>
        <w:rPr>
          <w:rFonts w:ascii="Times New Roman" w:cs="Times New Roman" w:eastAsia="Times New Roman" w:hAnsi="Times New Roman"/>
          <w:sz w:val="14"/>
          <w:szCs w:val="14"/>
          <w:color w:val="auto"/>
        </w:rPr>
      </w:pPr>
    </w:p>
    <w:p>
      <w:pPr>
        <w:ind w:left="800" w:hanging="400"/>
        <w:spacing w:after="0" w:line="239" w:lineRule="auto"/>
        <w:tabs>
          <w:tab w:leader="none" w:pos="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cumulative-effect adjustment related to the adoption of the new guidance related to the accounting for equity securities and tax effects of intercompany transfers during fiscal 2019. See Note A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STOCK INCENTIVE PLANS</w:t>
      </w:r>
    </w:p>
    <w:p>
      <w:pPr>
        <w:spacing w:after="0" w:line="112"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9"/>
          <w:szCs w:val="19"/>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components of Ashland’s pre-tax stock-based compensation expense included in continuing operations are as follows:</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5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5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4"/>
                <w:szCs w:val="14"/>
                <w:color w:val="auto"/>
              </w:rPr>
              <w:t>(a)</w:t>
            </w: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2018 </w:t>
            </w:r>
            <w:r>
              <w:rPr>
                <w:rFonts w:ascii="Times New Roman" w:cs="Times New Roman" w:eastAsia="Times New Roman" w:hAnsi="Times New Roman"/>
                <w:sz w:val="14"/>
                <w:szCs w:val="14"/>
                <w:color w:val="auto"/>
              </w:rPr>
              <w:t>(b)</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4"/>
                <w:szCs w:val="14"/>
                <w:color w:val="auto"/>
              </w:rPr>
              <w:t>(a)</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2018 </w:t>
            </w:r>
            <w:r>
              <w:rPr>
                <w:rFonts w:ascii="Times New Roman" w:cs="Times New Roman" w:eastAsia="Times New Roman" w:hAnsi="Times New Roman"/>
                <w:sz w:val="14"/>
                <w:szCs w:val="14"/>
                <w:color w:val="auto"/>
              </w:rPr>
              <w:t>(b)</w:t>
            </w: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5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5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45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ind w:left="660" w:hanging="260"/>
        <w:spacing w:after="0" w:line="233"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 million and $3 million of expense related to cash-settled nonvested restricted stock awards during the three and six months ended March 31, 2019 and $2 million of expense related to cash-settled performance units during the three ended March 31, 2019.</w:t>
      </w:r>
    </w:p>
    <w:p>
      <w:pPr>
        <w:ind w:left="660" w:hanging="260"/>
        <w:spacing w:after="0" w:line="239"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 million and $4 million of expense related to cash-settled nonvested restricted stock awards and $1 million and $3 million of expense related to cash-settled performance units during the three and six months ended March 31, 2018, respectively.</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SARs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SARs are granted to employees or directors at a price equal to the fair market value of the stock on the date of grant and typically become exercisable over periods of one to three years. Unexercised SARs generally lapse ten years after the date of grant. SARs granted for six months ended March 31, 2019 and 2018 were</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2" w:right="639" w:bottom="144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20"/>
          <w:szCs w:val="20"/>
          <w:color w:val="auto"/>
        </w:rPr>
        <w:t>300 thousand and 470 thousand, respectively. As of March 31, 2019, there was $10 million of total unrecognized compensation costs related to SARs. That cost is expected to be recognized over a weighted-average period of 2.1 years.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Nonvested stock awards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Stock-settled nonvested stock awards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Nonvested stock awards granted in the form of shares or units were 13 thousand and 2 thousand for the three months ended March 31, 2019 and 2018, respectively, and 94 thousand and 144 thousand for the six months ended March 31, 2019 and 2018, respectively. As of March 31, 2019, there was $11 million of total unrecognized compensation costs related to these nonvested stock awards. That cost is expected to be recognized over a weighted-average period of 1.9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Cash-settled nonvested stock awards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nonvested stock awards are granted to employees and are settled in cash upon vesting. As of March 31, 2019, 200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$2 million during the three months ended March 31, 2019 and 2018, and $3 million and $4 million during the six months ended March 31, 2019 and 2018,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performance incentive and retention program</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2016, certain executives were granted performance-based restricted shares of Ashland in order to provide an incentive to remain employed in the period after the full separation of Ashland and Valvoline. At March 31, 2019, there were 30 thousand shares outstanding in connection with these awards, which includes forfeitures and the cumulative value of forfeitable dividends. The expense recognition for these awards commenced upon completing the full separation of Valvoline which occurred on May 12, 2017 and resulted in $1 million and $1 million and $2 million and $3 million of expense for the three and six months ended March 31, 2019 and 2018, respectively. As of March 31, 2019, there was $1 million of total unrecognized compensation costs related to these awards.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awards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Ashland sponsors a long-term incentive plan that awards performance shares/units to certain key employees that are primarily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 Awards settled in shares are recorded as a component of stockholders’ equity while awards settled in cash are recorded as a liability within the Condensed Consolidated Balance Sheets.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can be potentially increased or decreased based on a total shareholder return (TSR) performance modifier relative to peers of Ashland. For awards granted in fiscal 2017, each performance unit will be settled in cash based on the fair value of Ashland common stock. For awards granted in fiscal 2018 and 2019, each performance share/unit is convertible to one share of Ashland Common Stock.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29" w:name="page30"/>
    <w:bookmarkEnd w:id="29"/>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Nonvested performance shares/units do not entitle employees to vote the shares or to receive any dividends thereon. No performance shares/units were granted for the three months ended March 31, 2019 and 2018. Performance shares/units granted for the six months ended March 31, 2019 and 2018 were 78 thousand and 101 thousand, respectively. As of March 31, 2019, there was $13 million of total unrecognized compensation costs related to performance shares/units. That cost is expected to be recognized over a weighted-average period of 2.0 years.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 – REVENUE</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Effective October 1, 2018, Ashland adopted accounting guidance outlining a single comprehensive five step model for entities to use in accounting for revenue arising from contracts with customers (ASC 606 Revenue from Contracts with Customers). As a result of the adoption, there was no material impact to Ashland’s Condensed Consolidated Financial Statements. The additional disclosures that Ashland is required to disclose on an interim and annual basis are contained within this Note O.</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within each purchase order, unless a separate agreement has been entered into with a customer that supersedes the standard language within the purchase order.</w:t>
      </w:r>
    </w:p>
    <w:p>
      <w:pPr>
        <w:spacing w:after="0" w:line="7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rights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were not material. Standalone selling prices are based on prices Ashland charges to customers, which in some cases are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85"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7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Costs incurred to obtain contracts with customers have historically not been significant and are expensed immediately as the period of performance is generally one year or less. Ashland records bad debt expense in specific situations when it is determined that the customer is unable to meet its financial obligation.</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Practical expedients</w:t>
      </w:r>
    </w:p>
    <w:p>
      <w:pPr>
        <w:spacing w:after="0" w:line="112"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Upon adoption, Ashland utilized the following applicable practical expedients, as permitted by ASC 606, Revenue from Contracts with Customers:</w:t>
      </w:r>
    </w:p>
    <w:p>
      <w:pPr>
        <w:spacing w:after="0" w:line="52" w:lineRule="exact"/>
        <w:rPr>
          <w:sz w:val="20"/>
          <w:szCs w:val="20"/>
          <w:color w:val="auto"/>
        </w:rPr>
      </w:pPr>
    </w:p>
    <w:p>
      <w:pPr>
        <w:ind w:left="800" w:hanging="400"/>
        <w:spacing w:after="0"/>
        <w:tabs>
          <w:tab w:leader="none" w:pos="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other similar taxes collected from customers on behalf of third parties are excluded from the contract price;</w:t>
      </w:r>
    </w:p>
    <w:p>
      <w:pPr>
        <w:spacing w:after="0" w:line="107" w:lineRule="exact"/>
        <w:rPr>
          <w:rFonts w:ascii="Times New Roman" w:cs="Times New Roman" w:eastAsia="Times New Roman" w:hAnsi="Times New Roman"/>
          <w:sz w:val="20"/>
          <w:szCs w:val="20"/>
          <w:color w:val="auto"/>
        </w:rPr>
      </w:pPr>
    </w:p>
    <w:p>
      <w:pPr>
        <w:ind w:left="800" w:hanging="400"/>
        <w:spacing w:after="0" w:line="269" w:lineRule="auto"/>
        <w:tabs>
          <w:tab w:leader="none" w:pos="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for shipping and handling activities, whether performed before or after the customer obtains control of the goods, are accounted for as fulfillment costs when not reimbursed; and</w:t>
      </w:r>
    </w:p>
    <w:p>
      <w:pPr>
        <w:spacing w:after="0" w:line="51"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incurred to obtain contracts with customers are expensed immediately when the amortization period is one year or less.</w:t>
      </w: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112" w:lineRule="exact"/>
        <w:rPr>
          <w:sz w:val="20"/>
          <w:szCs w:val="20"/>
          <w:color w:val="auto"/>
        </w:rPr>
      </w:pPr>
    </w:p>
    <w:p>
      <w:pPr>
        <w:jc w:val="both"/>
        <w:ind w:left="400" w:right="420"/>
        <w:spacing w:after="0" w:line="254"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caption within the Condensed Consolidated Balance Sheets. Ashland’s trade receivables were $491 million and $482 million as of March 31, 2019 and September 30, 2018, respectively.</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12" w:lineRule="exact"/>
        <w:rPr>
          <w:sz w:val="20"/>
          <w:szCs w:val="20"/>
          <w:color w:val="auto"/>
        </w:rPr>
      </w:pPr>
    </w:p>
    <w:p>
      <w:pPr>
        <w:jc w:val="both"/>
        <w:ind w:left="400" w:right="420"/>
        <w:spacing w:after="0" w:line="254" w:lineRule="auto"/>
        <w:rPr>
          <w:sz w:val="20"/>
          <w:szCs w:val="20"/>
          <w:color w:val="auto"/>
        </w:rPr>
      </w:pPr>
      <w:r>
        <w:rPr>
          <w:rFonts w:ascii="Times New Roman" w:cs="Times New Roman" w:eastAsia="Times New Roman" w:hAnsi="Times New Roman"/>
          <w:sz w:val="20"/>
          <w:szCs w:val="20"/>
          <w:color w:val="auto"/>
        </w:rPr>
        <w:t>Ashland disaggregates its revenue from contracts with customers by segment, geographical region and product category, as Ashland believes these categories best depict how management reviews the financial performance of its operations for the three and six months ended March 31, 2018 and 2019. See the following tables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65405</wp:posOffset>
            </wp:positionV>
            <wp:extent cx="6732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5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Specialty Ingredients</w:t>
            </w: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7"/>
                <w:szCs w:val="17"/>
                <w:color w:val="auto"/>
              </w:rPr>
              <w:t>Intermediates and Solvents</w:t>
            </w:r>
          </w:p>
        </w:tc>
        <w:tc>
          <w:tcPr>
            <w:tcW w:w="7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223"/>
        </w:trPr>
        <w:tc>
          <w:tcPr>
            <w:tcW w:w="4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Geography</w:t>
            </w: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2019</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rPr>
              <w:t>2018</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2019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rPr>
              <w:t>2018</w:t>
            </w:r>
          </w:p>
        </w:tc>
        <w:tc>
          <w:tcPr>
            <w:tcW w:w="42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tcPr>
          <w:p>
            <w:pPr>
              <w:spacing w:after="0"/>
              <w:rPr>
                <w:sz w:val="19"/>
                <w:szCs w:val="19"/>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9"/>
                <w:szCs w:val="19"/>
                <w:color w:val="auto"/>
              </w:rPr>
            </w:pP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20" w:type="dxa"/>
            <w:vAlign w:val="bottom"/>
            <w:gridSpan w:val="2"/>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Europe</w:t>
            </w:r>
          </w:p>
        </w:tc>
        <w:tc>
          <w:tcPr>
            <w:tcW w:w="5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220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5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5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r>
      <w:tr>
        <w:trPr>
          <w:trHeight w:val="263"/>
        </w:trPr>
        <w:tc>
          <w:tcPr>
            <w:tcW w:w="420" w:type="dxa"/>
            <w:vAlign w:val="bottom"/>
          </w:tcPr>
          <w:p>
            <w:pPr>
              <w:spacing w:after="0"/>
              <w:rPr>
                <w:sz w:val="22"/>
                <w:szCs w:val="22"/>
                <w:color w:val="auto"/>
              </w:rPr>
            </w:pPr>
          </w:p>
        </w:tc>
        <w:tc>
          <w:tcPr>
            <w:tcW w:w="28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637</w:t>
            </w:r>
          </w:p>
        </w:tc>
        <w:tc>
          <w:tcPr>
            <w:tcW w:w="1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2"/>
                <w:szCs w:val="22"/>
                <w:color w:val="auto"/>
              </w:rPr>
            </w:pPr>
          </w:p>
        </w:tc>
      </w:tr>
      <w:tr>
        <w:trPr>
          <w:trHeight w:val="210"/>
        </w:trPr>
        <w:tc>
          <w:tcPr>
            <w:tcW w:w="420" w:type="dxa"/>
            <w:vAlign w:val="bottom"/>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Six months ended March 31</w:t>
            </w: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466</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12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rPr>
              <w:t>27</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5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rPr>
              <w:t>13</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5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rPr>
              <w:t>14</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rPr>
              <w:t>3</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53</w:t>
            </w:r>
          </w:p>
        </w:tc>
        <w:tc>
          <w:tcPr>
            <w:tcW w:w="12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rPr>
              <w:t>57</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710"/>
        </w:trPr>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6" w:right="219" w:bottom="1440" w:gutter="0" w:footer="0" w:header="0"/>
        </w:sectPr>
      </w:pPr>
    </w:p>
    <w:bookmarkStart w:id="31" w:name="page32"/>
    <w:bookmarkEnd w:id="31"/>
    <w:p>
      <w:pPr>
        <w:jc w:val="center"/>
        <w:ind w:righ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414655</wp:posOffset>
            </wp:positionH>
            <wp:positionV relativeFrom="page">
              <wp:posOffset>234950</wp:posOffset>
            </wp:positionV>
            <wp:extent cx="67322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270" cy="8890"/>
                    </a:xfrm>
                    <a:prstGeom prst="rect">
                      <a:avLst/>
                    </a:prstGeom>
                    <a:noFill/>
                  </pic:spPr>
                </pic:pic>
              </a:graphicData>
            </a:graphic>
          </wp:anchor>
        </w:drawing>
        <w:t>Sales by product category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Ashland Specialty Ingredients</w:t>
            </w: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Cellulosics</w:t>
            </w: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Poly-vinyl pyrrolidones</w:t>
            </w:r>
          </w:p>
        </w:tc>
        <w:tc>
          <w:tcPr>
            <w:tcW w:w="520" w:type="dxa"/>
            <w:vAlign w:val="bottom"/>
          </w:tcPr>
          <w:p>
            <w:pPr>
              <w:spacing w:after="0"/>
              <w:rPr>
                <w:sz w:val="19"/>
                <w:szCs w:val="19"/>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Adhesives</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Actives</w:t>
            </w:r>
          </w:p>
        </w:tc>
        <w:tc>
          <w:tcPr>
            <w:tcW w:w="520" w:type="dxa"/>
            <w:vAlign w:val="bottom"/>
          </w:tcPr>
          <w:p>
            <w:pPr>
              <w:spacing w:after="0"/>
              <w:rPr>
                <w:sz w:val="19"/>
                <w:szCs w:val="19"/>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Vinyl ethers</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Pharmachem</w:t>
            </w:r>
          </w:p>
        </w:tc>
        <w:tc>
          <w:tcPr>
            <w:tcW w:w="520" w:type="dxa"/>
            <w:vAlign w:val="bottom"/>
          </w:tcPr>
          <w:p>
            <w:pPr>
              <w:spacing w:after="0"/>
              <w:rPr>
                <w:sz w:val="19"/>
                <w:szCs w:val="19"/>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FF0FC"/>
          </w:tcPr>
          <w:p>
            <w:pPr>
              <w:spacing w:after="0"/>
              <w:rPr>
                <w:sz w:val="19"/>
                <w:szCs w:val="19"/>
                <w:color w:val="auto"/>
              </w:rPr>
            </w:pPr>
          </w:p>
        </w:tc>
        <w:tc>
          <w:tcPr>
            <w:tcW w:w="2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7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7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52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Butanediol</w:t>
            </w:r>
          </w:p>
        </w:tc>
        <w:tc>
          <w:tcPr>
            <w:tcW w:w="520" w:type="dxa"/>
            <w:vAlign w:val="bottom"/>
            <w:tcBorders>
              <w:bottom w:val="single" w:sz="8" w:color="auto"/>
            </w:tcBorders>
            <w:shd w:val="clear" w:color="auto" w:fill="CFF0FC"/>
          </w:tcPr>
          <w:p>
            <w:pPr>
              <w:spacing w:after="0"/>
              <w:rPr>
                <w:sz w:val="19"/>
                <w:szCs w:val="19"/>
                <w:color w:val="auto"/>
              </w:rPr>
            </w:pPr>
          </w:p>
        </w:tc>
        <w:tc>
          <w:tcPr>
            <w:tcW w:w="2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7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Sales by product category</w:t>
            </w: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Ashland Specialty Ingredients</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Cellulosics</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7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Poly-vinyl pyrrolidones</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Adhesives</w:t>
            </w:r>
          </w:p>
        </w:tc>
        <w:tc>
          <w:tcPr>
            <w:tcW w:w="520" w:type="dxa"/>
            <w:vAlign w:val="bottom"/>
          </w:tcPr>
          <w:p>
            <w:pPr>
              <w:spacing w:after="0"/>
              <w:rPr>
                <w:sz w:val="19"/>
                <w:szCs w:val="19"/>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Actives</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Vinyl ethers</w:t>
            </w:r>
          </w:p>
        </w:tc>
        <w:tc>
          <w:tcPr>
            <w:tcW w:w="520" w:type="dxa"/>
            <w:vAlign w:val="bottom"/>
          </w:tcPr>
          <w:p>
            <w:pPr>
              <w:spacing w:after="0"/>
              <w:rPr>
                <w:sz w:val="19"/>
                <w:szCs w:val="19"/>
                <w:color w:val="auto"/>
              </w:rPr>
            </w:pP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Pharmachem</w:t>
            </w:r>
          </w:p>
        </w:tc>
        <w:tc>
          <w:tcPr>
            <w:tcW w:w="520" w:type="dxa"/>
            <w:vAlign w:val="bottom"/>
            <w:shd w:val="clear" w:color="auto" w:fill="CFF0FC"/>
          </w:tcPr>
          <w:p>
            <w:pPr>
              <w:spacing w:after="0"/>
              <w:rPr>
                <w:sz w:val="19"/>
                <w:szCs w:val="19"/>
                <w:color w:val="auto"/>
              </w:rPr>
            </w:pP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c>
          <w:tcPr>
            <w:tcW w:w="7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Derivatives</w:t>
            </w: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Butanediol</w:t>
            </w: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7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00"/>
          </w:cols>
          <w:pgMar w:left="660" w:top="378"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NOTE P – REPORTABLE SEGMENT INFORMATION</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Change in Reportable Segments</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Ashland’s reportable segments were impacted in the current year due to the expected divestiture of the Composites reportable segment and Intermediates and Solvents Marl facility and reclassification to discontinued operations. As a result, Ashland's operations are managed by the chief operating decision maker within the following two reportable segments: Specialty Ingredients and Intermediates and Solvents. The financial information for Intermediates and Solvents excludes the activity from the Marl facility due to the expected divestiture and has therefore been restated in prior periods.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12"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7" w:lineRule="exact"/>
        <w:rPr>
          <w:sz w:val="20"/>
          <w:szCs w:val="20"/>
          <w:color w:val="auto"/>
        </w:rPr>
      </w:pPr>
    </w:p>
    <w:p>
      <w:pPr>
        <w:jc w:val="both"/>
        <w:ind w:left="400"/>
        <w:spacing w:after="0" w:line="244" w:lineRule="auto"/>
        <w:rPr>
          <w:sz w:val="20"/>
          <w:szCs w:val="20"/>
          <w:color w:val="auto"/>
        </w:rPr>
      </w:pPr>
      <w:r>
        <w:rPr>
          <w:rFonts w:ascii="Times New Roman" w:cs="Times New Roman" w:eastAsia="Times New Roman" w:hAnsi="Times New Roman"/>
          <w:sz w:val="20"/>
          <w:szCs w:val="20"/>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On November 15, 2018, Ashland announced that it had signed a definitive agreement to sell its Composites segment and Intermediates and Solvents Marl facility. As a result, the financial information for Intermediates and Solvents excludes the activity from the Marl facility due to the expected divestiture and has been restated in prior periods.</w:t>
      </w:r>
    </w:p>
    <w:p>
      <w:pPr>
        <w:spacing w:after="0" w:line="78"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1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including stranded costs,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42" w:right="639" w:bottom="1440" w:gutter="0" w:footer="0" w:header="0"/>
        </w:sectPr>
      </w:pPr>
    </w:p>
    <w:bookmarkStart w:id="33" w:name="page34"/>
    <w:bookmarkEnd w:id="33"/>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 for the three and six months ended March 31, 2019 and 2018.</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6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8"/>
                <w:szCs w:val="18"/>
                <w:color w:val="auto"/>
              </w:rPr>
              <w:t>Six months ended</w:t>
            </w: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104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72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72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Q – SUBSEQUENT EVENTS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On April 30, 2019, Ashland announced an intention to commence a $200 million share repurchase program under Ashland’s Board of Directors approved $1 billion stock repurchase program in fiscal 2018. Under the program, shares may be repurchased in privately negotiated and/or open market transactions, including under plans complying with Rule 10b5-1 of the Exchange Act. The $200 million repurchase will be the first repurchases made under the $1 billion program.</w:t>
      </w:r>
    </w:p>
    <w:p>
      <w:pPr>
        <w:spacing w:after="0" w:line="200" w:lineRule="exact"/>
        <w:rPr>
          <w:sz w:val="20"/>
          <w:szCs w:val="20"/>
          <w:color w:val="auto"/>
        </w:rPr>
      </w:pPr>
    </w:p>
    <w:p>
      <w:pPr>
        <w:spacing w:after="0" w:line="28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ind w:left="400"/>
        <w:spacing w:after="0" w:line="241" w:lineRule="auto"/>
        <w:rPr>
          <w:sz w:val="20"/>
          <w:szCs w:val="20"/>
          <w:color w:val="auto"/>
        </w:rPr>
      </w:pPr>
      <w:r>
        <w:rPr>
          <w:rFonts w:ascii="Times New Roman" w:cs="Times New Roman" w:eastAsia="Times New Roman" w:hAnsi="Times New Roman"/>
          <w:sz w:val="20"/>
          <w:szCs w:val="20"/>
          <w:color w:val="auto"/>
        </w:rPr>
        <w:t>This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In addition, Ashland may from time to time make forward-looking statements in its annual reports,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the butanediol (BDO) manufacturing facility in Marl, Germany, and related merchant Intermediates and Solvents (I&amp;S) products (including, in each case, the possibility that a transaction may not occur or that, if a transaction does occur, Ashland may not realize the anticipated benefits from such transaction),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and severe weather, natural disasters, cyber events and legal proceedings and claims (including product recalls, environmental and asbestos matters). Various risks and uncertainties may cause actual results to differ materially from those stated, projected or implied by any forward-looking statements, including,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56"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42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right="440"/>
        <w:spacing w:after="0" w:line="269"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Condensed Consolidated Financial Statements and the accompanying Notes to Condensed Consolidated Financial Statements herein.</w:t>
      </w:r>
    </w:p>
    <w:p>
      <w:pPr>
        <w:spacing w:after="0" w:line="61"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9"/>
          <w:szCs w:val="19"/>
          <w:b w:val="1"/>
          <w:bCs w:val="1"/>
          <w:color w:val="auto"/>
        </w:rPr>
        <w:t>BUSINESS OVERVIEW</w:t>
      </w:r>
    </w:p>
    <w:p>
      <w:pPr>
        <w:spacing w:after="0" w:line="119"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112" w:lineRule="exact"/>
        <w:rPr>
          <w:sz w:val="20"/>
          <w:szCs w:val="20"/>
          <w:color w:val="auto"/>
        </w:rPr>
      </w:pPr>
    </w:p>
    <w:p>
      <w:pPr>
        <w:jc w:val="both"/>
        <w:ind w:left="400" w:right="420"/>
        <w:spacing w:after="0" w:line="254" w:lineRule="auto"/>
        <w:rPr>
          <w:sz w:val="20"/>
          <w:szCs w:val="20"/>
          <w:color w:val="auto"/>
        </w:rPr>
      </w:pPr>
      <w:r>
        <w:rPr>
          <w:rFonts w:ascii="Times New Roman" w:cs="Times New Roman" w:eastAsia="Times New Roman" w:hAnsi="Times New Roman"/>
          <w:sz w:val="20"/>
          <w:szCs w:val="20"/>
          <w:color w:val="auto"/>
        </w:rPr>
        <w:t>Ashland is a premier global leader in providing specialty chemical solutions to customers in a wide range of consumer and industrial markets, including adhesives, architectural coatings, construction, energy, food and beverage, personal care and pharmaceutical. With approximately 6,000 employees worldwide, Ashland serves customers in more than 100 countries.</w:t>
      </w:r>
    </w:p>
    <w:p>
      <w:pPr>
        <w:spacing w:after="0" w:line="67" w:lineRule="exact"/>
        <w:rPr>
          <w:sz w:val="20"/>
          <w:szCs w:val="20"/>
          <w:color w:val="auto"/>
        </w:rPr>
      </w:pPr>
    </w:p>
    <w:p>
      <w:pPr>
        <w:jc w:val="both"/>
        <w:ind w:left="400" w:right="420"/>
        <w:spacing w:after="0" w:line="254" w:lineRule="auto"/>
        <w:rPr>
          <w:sz w:val="20"/>
          <w:szCs w:val="20"/>
          <w:color w:val="auto"/>
        </w:rPr>
      </w:pPr>
      <w:r>
        <w:rPr>
          <w:rFonts w:ascii="Times New Roman" w:cs="Times New Roman" w:eastAsia="Times New Roman" w:hAnsi="Times New Roman"/>
          <w:sz w:val="20"/>
          <w:szCs w:val="20"/>
          <w:color w:val="auto"/>
        </w:rPr>
        <w:t>Ashland’s sales generated outside of North America were 61% and 60% for the three and six months ended March 31, 2019 and 2018, respectively. Sales by region expressed as a percentage of total consolidated sales for the three and six months ended March 31 were as follows:</w:t>
      </w:r>
    </w:p>
    <w:p>
      <w:pPr>
        <w:spacing w:after="0" w:line="8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29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by Geography</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14"/>
                <w:szCs w:val="14"/>
                <w:color w:val="auto"/>
              </w:rPr>
              <w: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vMerge w:val="continue"/>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Ashland includes only U.S. and Canada in its North America designation.</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12" w:lineRule="exact"/>
        <w:rPr>
          <w:sz w:val="20"/>
          <w:szCs w:val="20"/>
          <w:color w:val="auto"/>
        </w:rPr>
      </w:pPr>
    </w:p>
    <w:p>
      <w:pPr>
        <w:jc w:val="both"/>
        <w:ind w:left="400" w:right="420"/>
        <w:spacing w:after="0" w:line="254" w:lineRule="auto"/>
        <w:rPr>
          <w:sz w:val="20"/>
          <w:szCs w:val="20"/>
          <w:color w:val="auto"/>
        </w:rPr>
      </w:pPr>
      <w:r>
        <w:rPr>
          <w:rFonts w:ascii="Times New Roman" w:cs="Times New Roman" w:eastAsia="Times New Roman" w:hAnsi="Times New Roman"/>
          <w:sz w:val="20"/>
          <w:szCs w:val="20"/>
          <w:color w:val="auto"/>
        </w:rPr>
        <w:t>Ashland’s businesses are managed within the following two reportable segments: Specialty Ingredients and Intermediates and Solvents. For further descriptions of each reportable segment, see “Results of Operations – Reportable Segment Review” beginning on page 48.</w:t>
      </w:r>
    </w:p>
    <w:p>
      <w:pPr>
        <w:spacing w:after="0" w:line="80" w:lineRule="exact"/>
        <w:rPr>
          <w:sz w:val="20"/>
          <w:szCs w:val="20"/>
          <w:color w:val="auto"/>
        </w:rPr>
      </w:pPr>
    </w:p>
    <w:p>
      <w:pPr>
        <w:jc w:val="both"/>
        <w:ind w:left="400" w:right="420"/>
        <w:spacing w:after="0" w:line="269" w:lineRule="auto"/>
        <w:rPr>
          <w:sz w:val="20"/>
          <w:szCs w:val="20"/>
          <w:color w:val="auto"/>
        </w:rPr>
      </w:pPr>
      <w:r>
        <w:rPr>
          <w:rFonts w:ascii="Times New Roman" w:cs="Times New Roman" w:eastAsia="Times New Roman" w:hAnsi="Times New Roman"/>
          <w:sz w:val="20"/>
          <w:szCs w:val="20"/>
          <w:color w:val="auto"/>
        </w:rPr>
        <w:t>The contribution to sales by each reportable segment expressed as a percentage of total consolidated sales for the three and six months ended March 31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7"/>
              </w:rPr>
              <w:t>March 31</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7" w:right="219" w:bottom="1440" w:gutter="0" w:footer="0" w:header="0"/>
        </w:sectPr>
      </w:pPr>
    </w:p>
    <w:bookmarkStart w:id="36" w:name="page37"/>
    <w:bookmarkEnd w:id="36"/>
    <w:p>
      <w:pPr>
        <w:jc w:val="center"/>
        <w:ind w:right="8880"/>
        <w:spacing w:after="0"/>
        <w:rPr>
          <w:sz w:val="20"/>
          <w:szCs w:val="20"/>
          <w:color w:val="auto"/>
        </w:rPr>
      </w:pPr>
      <w:r>
        <w:rPr>
          <w:rFonts w:ascii="Times New Roman" w:cs="Times New Roman" w:eastAsia="Times New Roman" w:hAnsi="Times New Roman"/>
          <w:sz w:val="19"/>
          <w:szCs w:val="19"/>
          <w:b w:val="1"/>
          <w:bCs w:val="1"/>
          <w:color w:val="auto"/>
        </w:rPr>
        <w:t>KEY DEVELOPMENTS</w:t>
      </w:r>
    </w:p>
    <w:p>
      <w:pPr>
        <w:spacing w:after="0" w:line="119"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20"/>
          <w:szCs w:val="20"/>
          <w:b w:val="1"/>
          <w:bCs w:val="1"/>
          <w:color w:val="auto"/>
        </w:rPr>
        <w:t>Business results</w:t>
      </w:r>
    </w:p>
    <w:p>
      <w:pPr>
        <w:spacing w:after="0" w:line="112"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Ashland recorded net income of $76 million, or an increase of 4%, in the current quarter ($45 million in continuing operations and $31 million in discontinued operations) compared to net income of $73 million ($42 million in continuing operations and $31 million in discontinued operations) in the prior year quarter. Results for Ashland’s continuing operations were primarily driven by the performance of Specialty Ingredients and the Intermediates and Solvents operating results, as well as Corporate costs, between periods. Discontinued operations were primarily driven by the results of the Composites segment and Marl facility. Ashland’s Adjusted EBITDA increased by 3% to $142 million (see U.S. GAAP reconciliation on page 40).</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Composites segment and Marl facility</w:t>
      </w:r>
    </w:p>
    <w:p>
      <w:pPr>
        <w:spacing w:after="0" w:line="112"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On November 15, 2018, Ashland announced that it had signed a definitive agreement to sell its Composites segment and Intermediates and Solvents Marl facility to INEOS Enterprises in a transaction valued at $1.1 billion. Ashland will retain the remaining Intermediates and Solvents facility in Lima, Ohio primarily for its own internal business use. Ashland currently expects net proceeds from the sale to total approximately $1.0 billion and anticipates that the proceeds will be primarily used to reduce outstanding debt and other corporate purposes.</w:t>
      </w:r>
    </w:p>
    <w:p>
      <w:pPr>
        <w:spacing w:after="0" w:line="73"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The transaction is expected to close by late summer, contingent on certain customary regulatory approvals, standard closing conditions and completion of required employee information and consultation processes. Upon the closing of this transaction, Ashland currently expects to recognize a gain within the Statements of Consolidated Comprehensive Income (Loss).</w:t>
      </w:r>
    </w:p>
    <w:p>
      <w:pPr>
        <w:spacing w:after="0" w:line="67"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20"/>
          <w:szCs w:val="20"/>
          <w:color w:val="auto"/>
        </w:rPr>
        <w:t>Since this transaction signifies a strategic shift in Ashland’s business and had a major effect on Ashland’s operations and financial results, the operating results and cash flows related to Composites and the Marl facility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for all periods presented.</w:t>
      </w:r>
    </w:p>
    <w:p>
      <w:pPr>
        <w:spacing w:after="0" w:line="73"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$12 million during both the three months ended March 31, 2019 and 2018, and $23 million during both the six months ended March 31, 2019 and 2018, respectively. Ashland is currently implementing plans to eliminate these costs as part of the global restructuring program.</w:t>
      </w:r>
    </w:p>
    <w:p>
      <w:pPr>
        <w:spacing w:after="0" w:line="77"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Cost Reduction Program</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In early May 2018, Ashland announced a cost reduction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72" w:lineRule="exact"/>
        <w:rPr>
          <w:sz w:val="20"/>
          <w:szCs w:val="20"/>
          <w:color w:val="auto"/>
        </w:rPr>
      </w:pPr>
    </w:p>
    <w:p>
      <w:pPr>
        <w:jc w:val="both"/>
        <w:ind w:left="800" w:hanging="400"/>
        <w:spacing w:after="0" w:line="254" w:lineRule="auto"/>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26" w:right="639" w:bottom="1440" w:gutter="0" w:footer="0" w:header="0"/>
        </w:sectPr>
      </w:pPr>
    </w:p>
    <w:bookmarkStart w:id="37" w:name="page38"/>
    <w:bookmarkEnd w:id="37"/>
    <w:p>
      <w:pPr>
        <w:ind w:left="800" w:hanging="400"/>
        <w:spacing w:after="0" w:line="269" w:lineRule="auto"/>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$50 million of additional costs are expected to be eliminated to drive improved profitability in Specialty Ingredients and accelerate achievement of its adjusted EBITDA margin target of 25-27 percent.</w:t>
      </w:r>
    </w:p>
    <w:p>
      <w:pPr>
        <w:spacing w:after="0" w:line="5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Ashland continues to expect to achieve the full $120 million in run-rate savings by the end of calendar year 2019. Ashland met its expectation for capturing the targeted $20 million in annualized run-rate savings under this program by the end of the September 2018 quarter. An additional $30 million and $20 million in run-rate savings were captured in the December 2018 and March 2019 quarters, respectively, bringing the total annualized run-rate savings to $70 million as of March 31,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Use of non-GAAP measures</w:t>
      </w:r>
    </w:p>
    <w:p>
      <w:pPr>
        <w:spacing w:after="0" w:line="112"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7" w:lineRule="exact"/>
        <w:rPr>
          <w:sz w:val="20"/>
          <w:szCs w:val="20"/>
          <w:color w:val="auto"/>
        </w:rPr>
      </w:pPr>
    </w:p>
    <w:p>
      <w:pPr>
        <w:ind w:left="800" w:hanging="400"/>
        <w:spacing w:after="0" w:line="269" w:lineRule="auto"/>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 net income (loss), plus income tax expense (benefit), net interest and other financing expenses, and depreciation and amortization.</w:t>
      </w:r>
    </w:p>
    <w:p>
      <w:pPr>
        <w:spacing w:after="0" w:line="51"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66"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 Adjusted EBITDA divided by sales.</w:t>
      </w:r>
    </w:p>
    <w:p>
      <w:pPr>
        <w:spacing w:after="0" w:line="107" w:lineRule="exact"/>
        <w:rPr>
          <w:rFonts w:ascii="Times New Roman" w:cs="Times New Roman" w:eastAsia="Times New Roman" w:hAnsi="Times New Roman"/>
          <w:sz w:val="20"/>
          <w:szCs w:val="20"/>
          <w:color w:val="auto"/>
        </w:rPr>
      </w:pPr>
    </w:p>
    <w:p>
      <w:pPr>
        <w:ind w:left="800" w:hanging="400"/>
        <w:spacing w:after="0" w:line="269" w:lineRule="auto"/>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(EPS) – income (loss) from continuing operations, adjusted for key items, net of tax, divided by the average outstanding diluted shares for the applicable period.</w:t>
      </w:r>
    </w:p>
    <w:p>
      <w:pPr>
        <w:spacing w:after="0" w:line="51"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80"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The Adjusted diluted EPS measure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2" w:lineRule="exact"/>
        <w:rPr>
          <w:sz w:val="20"/>
          <w:szCs w:val="20"/>
          <w:color w:val="auto"/>
        </w:rPr>
      </w:pPr>
    </w:p>
    <w:p>
      <w:pPr>
        <w:jc w:val="both"/>
        <w:ind w:left="400"/>
        <w:spacing w:after="0" w:line="245" w:lineRule="auto"/>
        <w:rPr>
          <w:sz w:val="20"/>
          <w:szCs w:val="20"/>
          <w:color w:val="auto"/>
        </w:rPr>
      </w:pPr>
      <w:r>
        <w:rPr>
          <w:rFonts w:ascii="Times New Roman" w:cs="Times New Roman" w:eastAsia="Times New Roman" w:hAnsi="Times New Roman"/>
          <w:sz w:val="20"/>
          <w:szCs w:val="20"/>
          <w:color w:val="auto"/>
        </w:rPr>
        <w:t>The free cash flow measure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1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1" w:right="639" w:bottom="1440" w:gutter="0" w:footer="0" w:header="0"/>
        </w:sectPr>
      </w:pPr>
    </w:p>
    <w:bookmarkStart w:id="38" w:name="page39"/>
    <w:bookmarkEnd w:id="38"/>
    <w:p>
      <w:pPr>
        <w:jc w:val="both"/>
        <w:spacing w:after="0" w:line="244" w:lineRule="auto"/>
        <w:rPr>
          <w:sz w:val="20"/>
          <w:szCs w:val="20"/>
          <w:color w:val="auto"/>
        </w:rPr>
      </w:pPr>
      <w:r>
        <w:rPr>
          <w:rFonts w:ascii="Times New Roman" w:cs="Times New Roman" w:eastAsia="Times New Roman" w:hAnsi="Times New Roman"/>
          <w:sz w:val="20"/>
          <w:szCs w:val="20"/>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Ashland’s net income is primarily affected by results within operating income, net interest and other financing expense, income taxes, discontinued operations and other significant events or transactions that are unusual or nonrecurring.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Key financial results for the three months ended March 31, 2019 and 2018 included the following:</w:t>
      </w:r>
    </w:p>
    <w:p>
      <w:pPr>
        <w:spacing w:after="0" w:line="108" w:lineRule="exact"/>
        <w:rPr>
          <w:sz w:val="20"/>
          <w:szCs w:val="20"/>
          <w:color w:val="auto"/>
        </w:rPr>
      </w:pPr>
    </w:p>
    <w:p>
      <w:pPr>
        <w:ind w:left="400" w:hanging="400"/>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net income amounted to $76 million and $73 million for the three months ended March 31, 2019 and 2018, respectively, or $1.19 and $1.15 diluted earnings per share, respectively.</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income of $31 million during both the three months ended March 31, 2019 and 2018.</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continuing operations, which excludes results from discontinued operations, amounted to $45 million and $42 million for the three months ended March 31, 2019 and 2018, respectively.</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2% and negative 5% for the three months ended March 31, 2019 and 2018, respectively, and were significantly impacted by certain tax discrete items in both the current and prior year quarters.</w:t>
      </w:r>
    </w:p>
    <w:p>
      <w:pPr>
        <w:spacing w:after="0" w:line="51" w:lineRule="exact"/>
        <w:rPr>
          <w:rFonts w:ascii="Times New Roman" w:cs="Times New Roman" w:eastAsia="Times New Roman" w:hAnsi="Times New Roman"/>
          <w:sz w:val="20"/>
          <w:szCs w:val="20"/>
          <w:color w:val="auto"/>
        </w:rPr>
      </w:pPr>
    </w:p>
    <w:p>
      <w:pPr>
        <w:jc w:val="both"/>
        <w:ind w:left="400" w:hanging="400"/>
        <w:spacing w:after="0" w:line="254"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financing income of $3 million and expense of $24 million for the three months ended March 31, 2019 and 2018, respectively. Due to the adoption of new accounting guidance, the current quarter included $27 million of unrealized gains on restricted investments.</w:t>
      </w:r>
    </w:p>
    <w:p>
      <w:pPr>
        <w:spacing w:after="0" w:line="66"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$44 million and $63 million for the three months ended March 31, 2019 and 2018,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Key financial results for the six months ended March 31, 2019 and 2018 included the following:</w:t>
      </w:r>
    </w:p>
    <w:p>
      <w:pPr>
        <w:spacing w:after="0" w:line="108" w:lineRule="exact"/>
        <w:rPr>
          <w:sz w:val="20"/>
          <w:szCs w:val="20"/>
          <w:color w:val="auto"/>
        </w:rPr>
      </w:pPr>
    </w:p>
    <w:p>
      <w:pPr>
        <w:ind w:left="400" w:hanging="400"/>
        <w:spacing w:after="0" w:line="269" w:lineRule="auto"/>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recorded net income of $28 million and $69 million for the six months ended March 31, 2019 and 2018, respectively, or $0.45 and $1.08 diluted earnings per share, respectively.</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income of $54 million and $59 million during the six months ended March 31, 2019 and 2018, respectively.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39" w:name="page40"/>
    <w:bookmarkEnd w:id="39"/>
    <w:p>
      <w:pPr>
        <w:ind w:left="400" w:hanging="400"/>
        <w:spacing w:after="0" w:line="269" w:lineRule="auto"/>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results from continuing operations, which excludes results from discontinued operations, amounted to a loss of $26 million and income of $10 million for the six months ended March 31, 2019 and 2018, respectively.</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negative 2500% and 44% for the six months ended March 31, 2019 and 2018, respectively, and were significantly impacted by certain tax discrete items in both the current and prior periods.</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financing expense of $52 million and $49 million for the six months ended March 31, 2019 and 2018, respectively.</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periodic benefit income totaled $17 million and $1 million for the six months ended March 31, 2019 and 2018, respectively.</w:t>
      </w:r>
    </w:p>
    <w:p>
      <w:pPr>
        <w:spacing w:after="0" w:line="51"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on divestitures totaled $3 million and $1 million for the six months ended March 31, 2019 and 2018, respectively.</w:t>
      </w:r>
    </w:p>
    <w:p>
      <w:pPr>
        <w:spacing w:after="0" w:line="107"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amounted to $37 million and $67 million for the six months ended March 31, 2019 and 2018, respectively.</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Consolidated Comprehensive Income (Loss) caption review analysis.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income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Operating income was $44 million and $63 million for the three months ended March 31, 2019 and 2018, respectively. The current and prior year quarters’ operating income included certain key items that were excluded to arrive at Adjusted EBITDA and are quantified in the table on page 40. These operating key items for the applicable periods are summarized as follows:</w:t>
      </w:r>
    </w:p>
    <w:p>
      <w:pPr>
        <w:spacing w:after="0" w:line="72" w:lineRule="exact"/>
        <w:rPr>
          <w:sz w:val="20"/>
          <w:szCs w:val="20"/>
          <w:color w:val="auto"/>
        </w:rPr>
      </w:pPr>
    </w:p>
    <w:p>
      <w:pPr>
        <w:jc w:val="both"/>
        <w:ind w:left="400" w:hanging="400"/>
        <w:spacing w:after="0" w:line="247" w:lineRule="auto"/>
        <w:tabs>
          <w:tab w:leader="none" w:pos="4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company-wide cost reduction program.</w:t>
      </w:r>
    </w:p>
    <w:p>
      <w:pPr>
        <w:spacing w:after="0" w:line="72" w:lineRule="exact"/>
        <w:rPr>
          <w:rFonts w:ascii="Times New Roman" w:cs="Times New Roman" w:eastAsia="Times New Roman" w:hAnsi="Times New Roman"/>
          <w:sz w:val="20"/>
          <w:szCs w:val="20"/>
          <w:color w:val="auto"/>
        </w:rPr>
      </w:pPr>
    </w:p>
    <w:p>
      <w:pPr>
        <w:jc w:val="both"/>
        <w:ind w:left="400" w:hanging="400"/>
        <w:spacing w:after="0" w:line="254" w:lineRule="auto"/>
        <w:tabs>
          <w:tab w:leader="none" w:pos="4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depreciation – As a result of various restructuring activities at certain office facilities and manufacturing facilities during both the current and prior year quarters, Ashland recorded accelerated depreciation due to changes in the expected useful life of certain property, plant and equipment.</w:t>
      </w:r>
    </w:p>
    <w:p>
      <w:pPr>
        <w:spacing w:after="0" w:line="66"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Proxy costs – Ashland incurred significant consulting and other costs associated with the 2019 Annual Meeting of Stockholders and agreement with Cruiser Capital.</w:t>
      </w:r>
    </w:p>
    <w:p>
      <w:pPr>
        <w:spacing w:after="0" w:line="51"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settlement – Ashland received one-time proceeds from a legal settlement during the prior year quarter.</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income for the three months ended March 31, 2019 and 2018 included depreciation and amortization of $62 million and $67 million, respectively (which excluded accelerated depreciation and amortization of $20 million and $5 million for the three months ended March 31, 2019 and 2018, respectively).</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Operating income was $37 million and $67 million for the six months ended March 31, 2019 and 2018, respectively. The current and prior year quarters’ operating income included certain key items that were excluded to arrive at Adjusted EBITDA and are quantified in the table on page 40. These operating key items for the applicable periods are summarized as follows:</w:t>
      </w:r>
    </w:p>
    <w:p>
      <w:pPr>
        <w:spacing w:after="0" w:line="67" w:lineRule="exact"/>
        <w:rPr>
          <w:sz w:val="20"/>
          <w:szCs w:val="20"/>
          <w:color w:val="auto"/>
        </w:rPr>
      </w:pPr>
    </w:p>
    <w:p>
      <w:pPr>
        <w:jc w:val="both"/>
        <w:ind w:left="400" w:hanging="400"/>
        <w:spacing w:after="0" w:line="249" w:lineRule="auto"/>
        <w:tabs>
          <w:tab w:leader="none" w:pos="4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20"/>
          <w:szCs w:val="20"/>
          <w:color w:val="auto"/>
        </w:rPr>
        <w:t>Notes to Condensed Consolidated Financial Statements for further information on the company-wide cost reduction program.</w:t>
      </w:r>
    </w:p>
    <w:p>
      <w:pPr>
        <w:spacing w:after="0" w:line="108" w:lineRule="exact"/>
        <w:rPr>
          <w:sz w:val="20"/>
          <w:szCs w:val="20"/>
          <w:color w:val="auto"/>
        </w:rPr>
      </w:pPr>
    </w:p>
    <w:p>
      <w:pPr>
        <w:jc w:val="both"/>
        <w:ind w:left="400" w:hanging="400"/>
        <w:spacing w:after="0" w:line="254" w:lineRule="auto"/>
        <w:tabs>
          <w:tab w:leader="none" w:pos="4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depreciation – As a result of various restructuring activities at certain office facilities and manufacturing facilities during both the current and prior year quarters, Ashland recorded accelerated depreciation due to changes in the expected useful life of certain property, plant and equipment.</w:t>
      </w:r>
    </w:p>
    <w:p>
      <w:pPr>
        <w:spacing w:after="0" w:line="66"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Proxy costs – Ashland incurred significant consulting and other costs associated with the 2019 Annual Meeting of Stockholders and agreement with Cruiser Capital.</w:t>
      </w:r>
    </w:p>
    <w:p>
      <w:pPr>
        <w:spacing w:after="0" w:line="51" w:lineRule="exact"/>
        <w:rPr>
          <w:rFonts w:ascii="Times New Roman" w:cs="Times New Roman" w:eastAsia="Times New Roman" w:hAnsi="Times New Roman"/>
          <w:sz w:val="20"/>
          <w:szCs w:val="20"/>
          <w:color w:val="auto"/>
        </w:rPr>
      </w:pPr>
    </w:p>
    <w:p>
      <w:pPr>
        <w:jc w:val="both"/>
        <w:ind w:left="400" w:hanging="400"/>
        <w:spacing w:after="0" w:line="247" w:lineRule="auto"/>
        <w:tabs>
          <w:tab w:leader="none" w:pos="4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the prior year quarter to its environmental liabilities and receivables related to previously divested businesses or non-operational sites. See Note K of the Notes to Condensed Consolidated Financial Statements for more information.</w:t>
      </w:r>
    </w:p>
    <w:p>
      <w:pPr>
        <w:spacing w:after="0" w:line="72"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settlement – Ashland received one-time proceeds from a legal settlement during the prior year period.</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income for the six months ended March 31, 2019 and 2018 included depreciation and amortization of $124 million and $131 million, respectively (which excluded accelerated depreciation and amortization of $39 million and $11 million for the six months ended March 31, 2019 and 2018,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Year-to-Date</w:t>
      </w:r>
    </w:p>
    <w:p>
      <w:pPr>
        <w:spacing w:after="0" w:line="108" w:lineRule="exact"/>
        <w:rPr>
          <w:sz w:val="20"/>
          <w:szCs w:val="20"/>
          <w:color w:val="auto"/>
        </w:rPr>
      </w:pPr>
    </w:p>
    <w:p>
      <w:pPr>
        <w:jc w:val="both"/>
        <w:ind w:left="400" w:hanging="400"/>
        <w:spacing w:after="0" w:line="254" w:lineRule="auto"/>
        <w:tabs>
          <w:tab w:leader="none" w:pos="4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on pension and other postretirement plan remeasurements – Ashland recognized a remeasurement gain due to the settlement of a non-U.S. pension plan during the first quarter of fiscal 2019. See Note J of the Notes to Condensed Consolidated Financial Statements for more information.</w:t>
      </w:r>
    </w:p>
    <w:p>
      <w:pPr>
        <w:spacing w:after="0" w:line="66"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on divestitures – Ashland recorded a loss during the first quarter of fiscal 2019 related to the impairment of an investment.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EBITDA totaled $136 million and $162 million for the three months ended March 31, 2019 and 2018, respectively, and $229 million and $257 million for the six months ended March 31, 2019 and 2018,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40" w:type="dxa"/>
            <w:vAlign w:val="bottom"/>
            <w:tcBorders>
              <w:top w:val="single" w:sz="8" w:color="auto"/>
            </w:tcBorders>
          </w:tcPr>
          <w:p>
            <w:pPr>
              <w:spacing w:after="0"/>
              <w:rPr>
                <w:sz w:val="20"/>
                <w:szCs w:val="20"/>
                <w:color w:val="auto"/>
              </w:rPr>
            </w:pPr>
          </w:p>
        </w:tc>
      </w:tr>
      <w:tr>
        <w:trPr>
          <w:trHeight w:val="234"/>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interest and other expense (income)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Proxy costs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depreciation</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Legal settlement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divestitures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r>
      <w:tr>
        <w:trPr>
          <w:trHeight w:val="210"/>
        </w:trPr>
        <w:tc>
          <w:tcPr>
            <w:tcW w:w="5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securities (b)</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16"/>
        </w:trPr>
        <w:tc>
          <w:tcPr>
            <w:tcW w:w="5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pacing w:after="0" w:line="274" w:lineRule="exact"/>
        <w:rPr>
          <w:sz w:val="20"/>
          <w:szCs w:val="20"/>
          <w:color w:val="auto"/>
        </w:rPr>
      </w:pPr>
    </w:p>
    <w:p>
      <w:pPr>
        <w:ind w:left="260" w:hanging="260"/>
        <w:spacing w:after="0" w:line="233"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$20 million and $5 million of accelerated depreciation for the three months ended March 31, 2019 and 2018, respectively, and $39 million and $11 million for the six months ended March 31, 2019 and 2018, respectively.</w:t>
      </w:r>
    </w:p>
    <w:p>
      <w:pPr>
        <w:jc w:val="both"/>
        <w:ind w:left="260" w:hanging="260"/>
        <w:spacing w:after="0" w:line="233" w:lineRule="auto"/>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adoption of new accounting guidance in the current year, the unrealized losses on certain investment securities directly impact earnings and are recorded within the net interest and other expense (income) caption on the Statements of Consolidated Comprehensive Income (Loss). See Notes A and E of the Notes to Condensed Consolidated Financial Statements for more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37" w:right="6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2" w:lineRule="exact"/>
        <w:rPr>
          <w:sz w:val="20"/>
          <w:szCs w:val="20"/>
          <w:color w:val="auto"/>
        </w:rPr>
      </w:pPr>
    </w:p>
    <w:p>
      <w:pPr>
        <w:jc w:val="both"/>
        <w:ind w:left="400" w:right="420"/>
        <w:spacing w:after="0" w:line="243"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9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40" w:type="dxa"/>
            <w:vAlign w:val="bottom"/>
            <w:tcBorders>
              <w:top w:val="single" w:sz="8" w:color="auto"/>
            </w:tcBorders>
          </w:tcPr>
          <w:p>
            <w:pPr>
              <w:spacing w:after="0"/>
              <w:rPr>
                <w:sz w:val="20"/>
                <w:szCs w:val="20"/>
                <w:color w:val="auto"/>
              </w:rPr>
            </w:pPr>
          </w:p>
        </w:tc>
      </w:tr>
      <w:tr>
        <w:trPr>
          <w:trHeight w:val="234"/>
        </w:trPr>
        <w:tc>
          <w:tcPr>
            <w:tcW w:w="5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7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Proxy costs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settlement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on divestitures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Tax effect of key items </w:t>
            </w:r>
            <w:r>
              <w:rPr>
                <w:rFonts w:ascii="Times New Roman" w:cs="Times New Roman" w:eastAsia="Times New Roman" w:hAnsi="Times New Roman"/>
                <w:sz w:val="14"/>
                <w:szCs w:val="14"/>
                <w:color w:val="auto"/>
              </w:rPr>
              <w:t>(a)</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rate changes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One-time transition tax</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tax reform</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5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pacing w:after="0" w:line="274" w:lineRule="exact"/>
        <w:rPr>
          <w:sz w:val="20"/>
          <w:szCs w:val="20"/>
          <w:color w:val="auto"/>
        </w:rPr>
      </w:pPr>
    </w:p>
    <w:p>
      <w:pPr>
        <w:ind w:left="660" w:hanging="260"/>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previously identified above.</w:t>
      </w:r>
    </w:p>
    <w:p>
      <w:pPr>
        <w:spacing w:after="0" w:line="3" w:lineRule="exact"/>
        <w:rPr>
          <w:rFonts w:ascii="Times New Roman" w:cs="Times New Roman" w:eastAsia="Times New Roman" w:hAnsi="Times New Roman"/>
          <w:sz w:val="14"/>
          <w:szCs w:val="14"/>
          <w:color w:val="auto"/>
        </w:rPr>
      </w:pPr>
    </w:p>
    <w:p>
      <w:pPr>
        <w:ind w:left="660" w:right="420" w:hanging="260"/>
        <w:spacing w:after="0" w:line="239"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Statements of Consolidated Comprehensive Income (Loss) – caption review</w:t>
      </w:r>
    </w:p>
    <w:p>
      <w:pPr>
        <w:spacing w:after="0" w:line="112" w:lineRule="exact"/>
        <w:rPr>
          <w:sz w:val="20"/>
          <w:szCs w:val="20"/>
          <w:color w:val="auto"/>
        </w:rPr>
      </w:pPr>
    </w:p>
    <w:p>
      <w:pPr>
        <w:ind w:left="400" w:right="420"/>
        <w:spacing w:after="0" w:line="269" w:lineRule="auto"/>
        <w:rPr>
          <w:sz w:val="20"/>
          <w:szCs w:val="20"/>
          <w:color w:val="auto"/>
        </w:rPr>
      </w:pPr>
      <w:r>
        <w:rPr>
          <w:rFonts w:ascii="Times New Roman" w:cs="Times New Roman" w:eastAsia="Times New Roman" w:hAnsi="Times New Roman"/>
          <w:sz w:val="20"/>
          <w:szCs w:val="20"/>
          <w:color w:val="auto"/>
        </w:rPr>
        <w:t>A comparative analysis of the Statements of Consolidated Comprehensive Income (Loss) by caption is provided as follows for the three and six months ended March 31, 2019 and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6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42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672</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1,243</w:t>
            </w: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1,253</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43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7" w:right="21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sales between the three and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March 31, 2019</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2019</w:t>
            </w:r>
          </w:p>
        </w:tc>
      </w:tr>
      <w:tr>
        <w:trPr>
          <w:trHeight w:val="22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exchange</w:t>
            </w:r>
          </w:p>
        </w:tc>
        <w:tc>
          <w:tcPr>
            <w:tcW w:w="22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65"/>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Volume/product mix</w:t>
            </w:r>
          </w:p>
        </w:tc>
        <w:tc>
          <w:tcPr>
            <w:tcW w:w="1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Pricing</w:t>
            </w:r>
          </w:p>
        </w:tc>
        <w:tc>
          <w:tcPr>
            <w:tcW w:w="15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Change in sales</w:t>
            </w:r>
          </w:p>
        </w:tc>
        <w:tc>
          <w:tcPr>
            <w:tcW w:w="15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Sales for the current quarter decreased $5 million compared to the prior year quarter. Unfavorable foreign currency exchange decreased sales by $18 million. These decreases were partially offset by volume/product mix and product pricing which increased sales by $5 million and $8 million, respectively.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Sales for the current year decreased $10 million compared to the prior year period. Unfavorable foreign currency exchange and volume/product mix each decreased sales by $26 million and $2 million, respectively. These decreases were partially offset by improvements to product pricing and product mix which increased sales by $18 million.</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469</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893</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851</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and six months ended March 31, 2019 and 2018.</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 2019</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2019</w:t>
            </w: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Severance and other restructuring costs</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Production and raw material costs</w:t>
            </w:r>
          </w:p>
        </w:tc>
        <w:tc>
          <w:tcPr>
            <w:tcW w:w="520" w:type="dxa"/>
            <w:vAlign w:val="bottom"/>
          </w:tcPr>
          <w:p>
            <w:pPr>
              <w:spacing w:after="0"/>
              <w:rPr>
                <w:sz w:val="19"/>
                <w:szCs w:val="19"/>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Volume/product mix</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Currency exchange</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cost of sales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Cost of sales for the current quarter increased $20 million compared to the prior year quarter. Due to the planned closure of a manufacturing facility during the prior quarter, accelerated depreciation increased cost of sales by $19 million while severance and other restructuring costs increased cost of sales by $1 million. Unfavorable production costs and volume/product mix increased cost of sales by $2 million and $7 million, respectively. These increases were partially offset by favorable foreign currency exchange, which decreased cost of sales by $9 million.</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Cost of sales for the current year increased $42 million compared to the prior year period. Due to the planned closure of a manufacturing facility during the current period, accelerated depreciation increased cost of sales by $38 million while severance and other restructuring costs increased cost of sales by $8 million. Unfavorable production costs and volume/product mix increased cost of sales by $9 million and $1 million, respectively. These increases were partially offset by favorable foreign currency exchange, which decreased cost of sales by $14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33" w:right="63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243"/>
        </w:trPr>
        <w:tc>
          <w:tcPr>
            <w:tcW w:w="38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Selling, general and administrative expense for the current quarter decreased $10 million compared to the prior year quarter with expenses as a percent of sales decreasing 1.3 percentage points. Key drivers of the fluctuation in selling, general and administrative expense compared to the prior year quarter were:</w:t>
      </w:r>
    </w:p>
    <w:p>
      <w:pPr>
        <w:spacing w:after="0" w:line="67" w:lineRule="exact"/>
        <w:rPr>
          <w:sz w:val="20"/>
          <w:szCs w:val="20"/>
          <w:color w:val="auto"/>
        </w:rPr>
      </w:pPr>
    </w:p>
    <w:p>
      <w:pPr>
        <w:ind w:left="400" w:hanging="400"/>
        <w:spacing w:after="0" w:line="269" w:lineRule="auto"/>
        <w:tabs>
          <w:tab w:leader="none" w:pos="4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million and $10 million of key items for restructuring, separation and other costs during the current and prior year quarters, respectively, comprised of the following:</w:t>
      </w:r>
    </w:p>
    <w:p>
      <w:pPr>
        <w:spacing w:after="0" w:line="51" w:lineRule="exact"/>
        <w:rPr>
          <w:rFonts w:ascii="Times New Roman" w:cs="Times New Roman" w:eastAsia="Times New Roman" w:hAnsi="Times New Roman"/>
          <w:sz w:val="20"/>
          <w:szCs w:val="20"/>
          <w:color w:val="auto"/>
        </w:rPr>
      </w:pPr>
    </w:p>
    <w:p>
      <w:pPr>
        <w:ind w:left="800" w:hanging="392"/>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$12 million of severance, lease abandonment and other restructuring costs related to company-wide cost-savings initiatives during the current quarter;</w:t>
      </w:r>
    </w:p>
    <w:p>
      <w:pPr>
        <w:spacing w:after="0" w:line="5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$2 million of costs related to the separation of Valvoline during the prior year quarter;</w:t>
      </w:r>
    </w:p>
    <w:p>
      <w:pPr>
        <w:spacing w:after="0" w:line="107" w:lineRule="exact"/>
        <w:rPr>
          <w:rFonts w:ascii="Times New Roman" w:cs="Times New Roman" w:eastAsia="Times New Roman" w:hAnsi="Times New Roman"/>
          <w:sz w:val="20"/>
          <w:szCs w:val="20"/>
          <w:color w:val="auto"/>
        </w:rPr>
      </w:pPr>
    </w:p>
    <w:p>
      <w:pPr>
        <w:ind w:left="400" w:right="100"/>
        <w:spacing w:after="0" w:line="3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$4 million of accelerated depreciation related to the planned closure of an office building during the prior year quarter; and o $4 million of Pharmachem integration costs during the prior year quarter.</w:t>
      </w:r>
    </w:p>
    <w:p>
      <w:pPr>
        <w:ind w:left="400" w:hanging="400"/>
        <w:spacing w:after="0"/>
        <w:tabs>
          <w:tab w:leader="none" w:pos="4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million of consulting and other costs associated with the 2019 proxy during the current quarter.</w:t>
      </w:r>
    </w:p>
    <w:p>
      <w:pPr>
        <w:spacing w:after="0" w:line="107"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currency exchange of $3 million as well as achieved cost savings during the current quarter.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Selling, general and administrative expense for the current quarter decreased $21 million compared to the prior year quarter with expenses as a percent of sales decreasing 1.5 percentage points. Key drivers of the fluctuation in selling, general and administrative expense compared to the prior year quarter were:</w:t>
      </w:r>
    </w:p>
    <w:p>
      <w:pPr>
        <w:spacing w:after="0" w:line="67" w:lineRule="exact"/>
        <w:rPr>
          <w:sz w:val="20"/>
          <w:szCs w:val="20"/>
          <w:color w:val="auto"/>
        </w:rPr>
      </w:pPr>
    </w:p>
    <w:p>
      <w:pPr>
        <w:ind w:left="400" w:hanging="400"/>
        <w:spacing w:after="0" w:line="269" w:lineRule="auto"/>
        <w:tabs>
          <w:tab w:leader="none" w:pos="4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million and $18 million in net environmental-related expenses during the current and prior year quarters, respectively (see Note K for more information);</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million and $21 million of key items for restructuring, separation and other costs during the current and prior year quarters, respectively, comprised of the following:</w:t>
      </w:r>
    </w:p>
    <w:p>
      <w:pPr>
        <w:spacing w:after="0" w:line="51" w:lineRule="exact"/>
        <w:rPr>
          <w:rFonts w:ascii="Times New Roman" w:cs="Times New Roman" w:eastAsia="Times New Roman" w:hAnsi="Times New Roman"/>
          <w:sz w:val="20"/>
          <w:szCs w:val="20"/>
          <w:color w:val="auto"/>
        </w:rPr>
      </w:pPr>
    </w:p>
    <w:p>
      <w:pPr>
        <w:ind w:left="800" w:hanging="392"/>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$30 million of severance, lease abandonment and other restructuring costs related to company-wide cost-savings initiatives during the current year period;</w:t>
      </w:r>
    </w:p>
    <w:p>
      <w:pPr>
        <w:spacing w:after="0" w:line="5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$8 million of costs related to the separation of Valvoline during the prior year period;</w:t>
      </w:r>
    </w:p>
    <w:p>
      <w:pPr>
        <w:spacing w:after="0" w:line="107" w:lineRule="exact"/>
        <w:rPr>
          <w:rFonts w:ascii="Times New Roman" w:cs="Times New Roman" w:eastAsia="Times New Roman" w:hAnsi="Times New Roman"/>
          <w:sz w:val="20"/>
          <w:szCs w:val="20"/>
          <w:color w:val="auto"/>
        </w:rPr>
      </w:pPr>
    </w:p>
    <w:p>
      <w:pPr>
        <w:ind w:left="400" w:right="100"/>
        <w:spacing w:after="0" w:line="3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$8 million of accelerated depreciation related to the planned closure of an office building during the prior year quarter; and o $5 million of Pharmachem integration costs during the prior year quarter.</w:t>
      </w:r>
    </w:p>
    <w:p>
      <w:pPr>
        <w:ind w:left="400" w:hanging="400"/>
        <w:spacing w:after="0"/>
        <w:tabs>
          <w:tab w:leader="none" w:pos="4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million of consulting and other costs associated with the 2019 proxy during the current year period.</w:t>
      </w:r>
    </w:p>
    <w:p>
      <w:pPr>
        <w:spacing w:after="0" w:line="107"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currency exchange of $4 million as well as achieved cost savings during the current year period.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Research and development expense declined compared to the prior year quarter, primarily due to the overall company-wide cost reduction program.</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36" w:right="639" w:bottom="1440" w:gutter="0" w:footer="0" w:header="0"/>
        </w:sectPr>
      </w:pPr>
    </w:p>
    <w:bookmarkStart w:id="45" w:name="page46"/>
    <w:bookmarkEnd w:id="45"/>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Research and development expense declined compared to the prior year period, primarily due to the overall company-wide cost reduction program.</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80" w:type="dxa"/>
            <w:vAlign w:val="bottom"/>
            <w:tcBorders>
              <w:top w:val="single" w:sz="8" w:color="auto"/>
            </w:tcBorders>
          </w:tcPr>
          <w:p>
            <w:pPr>
              <w:spacing w:after="0"/>
              <w:rPr>
                <w:sz w:val="21"/>
                <w:szCs w:val="21"/>
                <w:color w:val="auto"/>
              </w:rPr>
            </w:pPr>
          </w:p>
        </w:tc>
      </w:tr>
      <w:tr>
        <w:trPr>
          <w:trHeight w:val="22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 (loss)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Equity income </w:t>
            </w:r>
            <w:r>
              <w:rPr>
                <w:rFonts w:ascii="Times New Roman" w:cs="Times New Roman" w:eastAsia="Times New Roman" w:hAnsi="Times New Roman"/>
                <w:sz w:val="14"/>
                <w:szCs w:val="14"/>
                <w:color w:val="auto"/>
              </w:rPr>
              <w:t>(a)</w:t>
            </w:r>
          </w:p>
        </w:tc>
        <w:tc>
          <w:tcPr>
            <w:tcW w:w="10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4"/>
        </w:trPr>
        <w:tc>
          <w:tcPr>
            <w:tcW w:w="3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Activity of $0 denotes value less than $1 million.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Other income decreased compared to the prior year primarily due to $5 million of proceeds from a legal settlement in the prior year.</w:t>
      </w:r>
    </w:p>
    <w:p>
      <w:pPr>
        <w:spacing w:after="0" w:line="3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Other income in the prior year period includes the previously discussed legal settlement, partially offset by accelerated depreciation for the termination of a contract at a manufacturing facility.</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7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financing costs</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Net interest and other expense decreased by $27 million during the current quarter compared to the prior year quarter. Interest expense decreased slightly due to lower debt levels during the current quarter compared to the prior year quarter. In the current quarter, restricted investments included gains on equity securities of $27 million due to new accounting standard that was effective as of October 1, 2018. See Note E of the Notes to Condensed Consolidated Financial Statements for more information on the restricted investments.</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Net interest and other expense increased by $3 million during the current year compared to the prior year period. Interest expense decreased $5 million due to lower debt levels during the current year compared to the prior year period. In the current year, restricted investments included losses on equity securities of $3 million due to new accounting standard that was effective as of October 1, 2018. See Note E of the Notes to Condensed Consolidated Financial Statements for more information on the restricted investments.</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income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Other net periodic benefit remained relatively consistent for the current quarter compared to the prior quarter. </w:t>
      </w: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Other net periodic benefit income during the current year period primarily related to the curtailment gain from the settlement of a non-U.S. pension plan in the first quarter of fiscal 2019.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33" w:right="6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43"/>
        </w:trPr>
        <w:tc>
          <w:tcPr>
            <w:tcW w:w="3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960" w:type="dxa"/>
            <w:vAlign w:val="bottom"/>
            <w:tcBorders>
              <w:top w:val="single" w:sz="8" w:color="auto"/>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on divestitures</w:t>
            </w: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The activity in the current period related to the impairment of an investment during the first quarter of fiscal 2019, while activity in the prior year period primarily related to post-closing adjustments for certain divestitures.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6"/>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4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60" w:type="dxa"/>
            <w:vAlign w:val="bottom"/>
            <w:tcBorders>
              <w:top w:val="single" w:sz="8" w:color="auto"/>
            </w:tcBorders>
          </w:tcPr>
          <w:p>
            <w:pPr>
              <w:spacing w:after="0"/>
              <w:rPr>
                <w:sz w:val="21"/>
                <w:szCs w:val="21"/>
                <w:color w:val="auto"/>
              </w:rPr>
            </w:pPr>
          </w:p>
        </w:tc>
      </w:tr>
      <w:tr>
        <w:trPr>
          <w:trHeight w:val="22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4"/>
              </w:rPr>
              <w:t>Change</w:t>
            </w: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Ashland’s effective tax rate in any interim period is subject to adjustments related to discrete items and the mix of domestic and foreign operating results. The overall effective tax rate was 2% for the three months ended March 31, 2019 and was primarily impacted by income mix, certain nondeductible restructuring costs as well as $11 million in favorable tax discrete items including nontaxable earnings in deferred compensation related investments and other items.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overall effective tax rate was negative 5% for the three months ended March 31, 2018 and was primarily impacted by the current quarter income mix and net unfavorable tax discrete adjustments of $5 million related to a tax rate change in a foreign country and other items.</w:t>
      </w:r>
    </w:p>
    <w:p>
      <w:pPr>
        <w:spacing w:after="0" w:line="2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Ashland’s effective tax rate in any interim period is subject to adjustments related to discrete items and the mix of domestic and foreign operating results. The overall effective tax rate was negative 2500% for the six months ended March 31, 2019 and was primarily impacted by the items referenced in the three month period as well as a net $30 million from unfavorable tax discrete items including the final assessment of the Tax Act and other items.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overall effective tax rate was 44% for the six months ended March 31, 2018 and was primarily impacted by the items referenced in the quarter, as well as a net $16 million from unfavorable tax discrete items including the final assessment of the Tax Act and other items.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tax expense (benefit)</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effective tax rate during the three and six months ended March 31, 2019 and 2018 was significantly impacted by the following tax specific key items:</w:t>
      </w:r>
    </w:p>
    <w:p>
      <w:pPr>
        <w:spacing w:after="0" w:line="160" w:lineRule="exact"/>
        <w:rPr>
          <w:sz w:val="20"/>
          <w:szCs w:val="20"/>
          <w:color w:val="auto"/>
        </w:rPr>
      </w:pPr>
    </w:p>
    <w:p>
      <w:pPr>
        <w:ind w:left="400" w:hanging="400"/>
        <w:spacing w:after="0" w:line="269" w:lineRule="auto"/>
        <w:tabs>
          <w:tab w:leader="none" w:pos="4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687" w:right="639" w:bottom="1440" w:gutter="0" w:footer="0" w:header="0"/>
        </w:sectPr>
      </w:pPr>
    </w:p>
    <w:bookmarkStart w:id="47" w:name="page48"/>
    <w:bookmarkEnd w:id="47"/>
    <w:p>
      <w:pPr>
        <w:ind w:left="400" w:hanging="400"/>
        <w:spacing w:after="0"/>
        <w:tabs>
          <w:tab w:leader="none" w:pos="4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One-time transition tax – Includes the impact from the one-time transition tax resulting from the enactment of the Tax Act;</w:t>
      </w:r>
    </w:p>
    <w:p>
      <w:pPr>
        <w:spacing w:after="0" w:line="215"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separation activity – Includes the impact from company-wide cost reduction programs; and</w:t>
      </w:r>
    </w:p>
    <w:p>
      <w:pPr>
        <w:spacing w:after="0" w:line="215"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tax reform – Includes the impact from other items related to the Tax Act and other tax law changes. These adjustments include the impact from the deductibility of compensation items and miscellaneous state tax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these key items.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Six months ended</w:t>
            </w:r>
          </w:p>
        </w:tc>
        <w:tc>
          <w:tcPr>
            <w:tcW w:w="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Key items (pre-tax) </w:t>
            </w:r>
            <w:r>
              <w:rPr>
                <w:rFonts w:ascii="Times New Roman" w:cs="Times New Roman" w:eastAsia="Times New Roman" w:hAnsi="Times New Roman"/>
                <w:sz w:val="14"/>
                <w:szCs w:val="14"/>
                <w:color w:val="auto"/>
              </w:rPr>
              <w:t>(a)</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before income taxes</w:t>
            </w:r>
          </w:p>
        </w:tc>
        <w:tc>
          <w:tcPr>
            <w:tcW w:w="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 of key items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tax rate changes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One-time transition tax</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tax reform</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tax expense</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Effective tax rate, excluding key items (Non-GAAP) </w:t>
            </w:r>
            <w:r>
              <w:rPr>
                <w:rFonts w:ascii="Times New Roman" w:cs="Times New Roman" w:eastAsia="Times New Roman" w:hAnsi="Times New Roman"/>
                <w:sz w:val="16"/>
                <w:szCs w:val="16"/>
                <w:b w:val="1"/>
                <w:bCs w:val="1"/>
                <w:color w:val="auto"/>
              </w:rPr>
              <w:t>(c)</w:t>
            </w: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previously disclosed in this Management, Discussion and Analysis for a summary of the key items, before tax.</w:t>
      </w:r>
    </w:p>
    <w:p>
      <w:pPr>
        <w:spacing w:after="0" w:line="3" w:lineRule="exact"/>
        <w:rPr>
          <w:rFonts w:ascii="Times New Roman" w:cs="Times New Roman" w:eastAsia="Times New Roman" w:hAnsi="Times New Roman"/>
          <w:sz w:val="14"/>
          <w:szCs w:val="14"/>
          <w:color w:val="auto"/>
        </w:rPr>
      </w:pPr>
    </w:p>
    <w:p>
      <w:pPr>
        <w:ind w:left="260" w:hanging="260"/>
        <w:spacing w:after="0" w:line="221"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previously disclosed in this Management Discussion and Analysis.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 (net of taxes)</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Composites/Marl facility</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Valvoline</w:t>
            </w: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Water Technologies</w:t>
            </w: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As a result of the expected divestiture of the Composites segment and Marl facility, the related operating results have been reflected as discontinued operations (net of tax) within the Statements of Consolidated Comprehensive Income (Loss). See Note B for more information on this expected divestiture. In the current quarter, the sales and pre-tax operating income included in discontinued operations were $284 million and $45 million, respectively. In the prior year quarter, the sales and pre-tax operating income included in discontinued operations were $302 million and $31 million,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48" w:name="page49"/>
    <w:bookmarkEnd w:id="48"/>
    <w:p>
      <w:pPr>
        <w:jc w:val="both"/>
        <w:spacing w:after="0" w:line="269" w:lineRule="auto"/>
        <w:rPr>
          <w:sz w:val="20"/>
          <w:szCs w:val="20"/>
          <w:color w:val="auto"/>
        </w:rPr>
      </w:pPr>
      <w:r>
        <w:rPr>
          <w:rFonts w:ascii="Times New Roman" w:cs="Times New Roman" w:eastAsia="Times New Roman" w:hAnsi="Times New Roman"/>
          <w:sz w:val="20"/>
          <w:szCs w:val="20"/>
          <w:color w:val="auto"/>
        </w:rPr>
        <w:t>The activity within discontinued operations for Valvoline during the prior year quarter was primarily related to adjustments in conjunction with a Tax Matters Agreement established at the time of Valvoline’s separation from Ashland.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for Water Technologies and Distribution during the current quarter was related to post-closing adjustments.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As a result of the expected divestiture of the Composites segment and Marl facility, the related operating results have been reflected as discontinued operations (net of tax) within the Statements of Consolidated Comprehensive Income (Loss). See Note B for more information on this expected divestiture. In the current year period, the sales and pre-tax operating income included in discontinued operations were $559 million and $80 million, respectively. In the prior year period, the sales and pre-tax operating income included in discontinued operations were $562 million and $66 million, respectively.</w:t>
      </w:r>
    </w:p>
    <w:p>
      <w:pPr>
        <w:spacing w:after="0" w:line="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activity within discontinued operations for Valvoline during the prior year was primarily related to adjustments in conjunction with a Tax Matters Agreement established at the time of Valvoline’s separation from Ashland.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related to Water Technologies and Distribution during the current quarter was related to post-closing adjustments.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 comparative analysis of the components of other comprehensive income (loss) is provided below for the three and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7"/>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investment securities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 -</w:t>
      </w:r>
      <w:r>
        <w:rPr>
          <w:rFonts w:ascii="Times New Roman" w:cs="Times New Roman" w:eastAsia="Times New Roman" w:hAnsi="Times New Roman"/>
          <w:sz w:val="20"/>
          <w:szCs w:val="20"/>
          <w:color w:val="auto"/>
        </w:rPr>
        <w:t xml:space="preserve"> Total other comprehensive income, net of tax, for the current quarter decreased $58 million compared to the prior year quarter as a result of the following components:</w:t>
      </w:r>
    </w:p>
    <w:p>
      <w:pPr>
        <w:spacing w:after="0" w:line="52" w:lineRule="exact"/>
        <w:rPr>
          <w:sz w:val="20"/>
          <w:szCs w:val="20"/>
          <w:color w:val="auto"/>
        </w:rPr>
      </w:pPr>
    </w:p>
    <w:p>
      <w:pPr>
        <w:jc w:val="both"/>
        <w:ind w:left="400" w:hanging="400"/>
        <w:spacing w:after="0" w:line="249" w:lineRule="auto"/>
        <w:tabs>
          <w:tab w:leader="none" w:pos="4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2019, the change in unrealized gain (loss) from foreign currency translation adjustments resulted in a loss of $9 million compared to a gain of $55 million for the three months ended March 31, 2018. The fluctuations in unrealized translation gains and losses are primarily due to translating foreign subsidiary financial statements from local currencies to U.S. Dollars.</w:t>
      </w:r>
    </w:p>
    <w:p>
      <w:pPr>
        <w:spacing w:after="0" w:line="71" w:lineRule="exact"/>
        <w:rPr>
          <w:rFonts w:ascii="Times New Roman" w:cs="Times New Roman" w:eastAsia="Times New Roman" w:hAnsi="Times New Roman"/>
          <w:sz w:val="20"/>
          <w:szCs w:val="20"/>
          <w:color w:val="auto"/>
        </w:rPr>
      </w:pPr>
    </w:p>
    <w:p>
      <w:pPr>
        <w:jc w:val="both"/>
        <w:ind w:left="400" w:hanging="400"/>
        <w:spacing w:after="0" w:line="249" w:lineRule="auto"/>
        <w:tabs>
          <w:tab w:leader="none" w:pos="4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2018, the net change in investment securities related to restricted investments amounted to a loss of $6 million. Due to the adoption of new accounting guidance in the current year, unrealized gains and losses on Ashland’s equity securities are now recognized in net income rather than AOCI. See Notes A and E of the Notes to Condensed Consolidated Financial Statements for more information.</w:t>
      </w:r>
    </w:p>
    <w:p>
      <w:pPr>
        <w:spacing w:after="0" w:line="3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 -</w:t>
      </w:r>
      <w:r>
        <w:rPr>
          <w:rFonts w:ascii="Times New Roman" w:cs="Times New Roman" w:eastAsia="Times New Roman" w:hAnsi="Times New Roman"/>
          <w:sz w:val="20"/>
          <w:szCs w:val="20"/>
          <w:color w:val="auto"/>
        </w:rPr>
        <w:t xml:space="preserve"> Total other comprehensive income, net of tax, for the current period decreased $100 million compared to the prior year period as a result of the following components:</w:t>
      </w:r>
    </w:p>
    <w:p>
      <w:pPr>
        <w:spacing w:after="0" w:line="52" w:lineRule="exact"/>
        <w:rPr>
          <w:sz w:val="20"/>
          <w:szCs w:val="20"/>
          <w:color w:val="auto"/>
        </w:rPr>
      </w:pPr>
    </w:p>
    <w:p>
      <w:pPr>
        <w:jc w:val="both"/>
        <w:ind w:left="400" w:hanging="400"/>
        <w:spacing w:after="0" w:line="249" w:lineRule="auto"/>
        <w:tabs>
          <w:tab w:leader="none" w:pos="4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six months ended March 31, 2019, the change in unrealized gain (loss) from foreign currency translation adjustments resulted in a loss of $40 million compared to a gain of $58 million for the three months ended March 31, 2018. The fluctuations in unrealized translation gains and losses are primarily due to translating foreign subsidiary financial statements from local currencies to U.S. Dollars.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49" w:name="page50"/>
    <w:bookmarkEnd w:id="49"/>
    <w:p>
      <w:pPr>
        <w:ind w:left="800" w:hanging="400"/>
        <w:spacing w:after="0" w:line="269" w:lineRule="auto"/>
        <w:tabs>
          <w:tab w:leader="none" w:pos="8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six months ended March 31, 2019, the pension and postretirement obligation adjustment included $6 million of prior service costs recognized within other comprehensive income (loss) due to pension plan remeasurements.</w:t>
      </w:r>
    </w:p>
    <w:p>
      <w:pPr>
        <w:spacing w:after="0" w:line="51" w:lineRule="exact"/>
        <w:rPr>
          <w:rFonts w:ascii="Times New Roman" w:cs="Times New Roman" w:eastAsia="Times New Roman" w:hAnsi="Times New Roman"/>
          <w:sz w:val="20"/>
          <w:szCs w:val="20"/>
          <w:color w:val="auto"/>
        </w:rPr>
      </w:pPr>
    </w:p>
    <w:p>
      <w:pPr>
        <w:jc w:val="both"/>
        <w:ind w:left="800" w:hanging="400"/>
        <w:spacing w:after="0" w:line="249" w:lineRule="auto"/>
        <w:tabs>
          <w:tab w:leader="none" w:pos="8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change in investment securities related to restricted investments amounted to gains of $2 million during the six months ended March 31, 2018. Due to the adoption of new accounting guidance in the current year, unrealized gains and losses on Ashland’s equity securities are now recognized in net income rather than AOCI. See Notes A and E of the Notes to Condensed Consolidated Financial Statements for more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Ashland’s operations are managed within the following two reportable segments: Specialty Ingredients and Intermediates and Solvents.</w:t>
      </w:r>
    </w:p>
    <w:p>
      <w:pPr>
        <w:spacing w:after="0" w:line="5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including stranded costs,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85"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9"/>
          <w:szCs w:val="19"/>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1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1" w:right="639" w:bottom="1440" w:gutter="0" w:footer="0" w:header="0"/>
        </w:sectPr>
      </w:pPr>
    </w:p>
    <w:bookmarkStart w:id="50" w:name="page51"/>
    <w:bookmarkEnd w:id="50"/>
    <w:p>
      <w:pPr>
        <w:spacing w:after="0" w:line="269" w:lineRule="auto"/>
        <w:rPr>
          <w:sz w:val="20"/>
          <w:szCs w:val="20"/>
          <w:color w:val="auto"/>
        </w:rPr>
      </w:pPr>
      <w:r>
        <w:rPr>
          <w:rFonts w:ascii="Times New Roman" w:cs="Times New Roman" w:eastAsia="Times New Roman" w:hAnsi="Times New Roman"/>
          <w:sz w:val="20"/>
          <w:szCs w:val="20"/>
          <w:color w:val="auto"/>
        </w:rPr>
        <w:t>The following table discloses sales, operating income, depreciation and amortization and statistical operating information by reportable segment for the three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w:t>
            </w: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information</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Sales per shipping day</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Metric tons sold (thousands)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155.4</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 xml:space="preserve">Gross profit as a percent of sales </w:t>
            </w:r>
            <w:r>
              <w:rPr>
                <w:rFonts w:ascii="Times New Roman" w:cs="Times New Roman" w:eastAsia="Times New Roman" w:hAnsi="Times New Roman"/>
                <w:sz w:val="14"/>
                <w:szCs w:val="14"/>
                <w:color w:val="auto"/>
              </w:rPr>
              <w:t>(a)</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 and Solvents</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Sales per shipping day</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Metric tons sold (thousands)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 xml:space="preserve">Gross profit as a percent of sales </w:t>
            </w:r>
            <w:r>
              <w:rPr>
                <w:rFonts w:ascii="Times New Roman" w:cs="Times New Roman" w:eastAsia="Times New Roman" w:hAnsi="Times New Roman"/>
                <w:sz w:val="14"/>
                <w:szCs w:val="14"/>
                <w:color w:val="auto"/>
              </w:rPr>
              <w:t>(a)</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35"/>
        </w:trPr>
        <w:tc>
          <w:tcPr>
            <w:tcW w:w="3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Gross profit is defined as sales, less cost of sales divided by sales.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Sales by region expressed as a percentage of reportable segment sales for the three and six months ended March 31, 2019 and 2018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6629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366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7"/>
                <w:szCs w:val="17"/>
                <w:color w:val="auto"/>
              </w:rPr>
              <w:t>Three months ended March 31, 2019</w:t>
            </w:r>
          </w:p>
        </w:tc>
        <w:tc>
          <w:tcPr>
            <w:tcW w:w="360" w:type="dxa"/>
            <w:vAlign w:val="bottom"/>
            <w:gridSpan w:val="2"/>
          </w:tcPr>
          <w:p>
            <w:pPr>
              <w:spacing w:after="0"/>
              <w:rPr>
                <w:sz w:val="19"/>
                <w:szCs w:val="19"/>
                <w:color w:val="auto"/>
              </w:rPr>
            </w:pPr>
          </w:p>
        </w:tc>
        <w:tc>
          <w:tcPr>
            <w:tcW w:w="368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7"/>
                <w:szCs w:val="17"/>
                <w:color w:val="auto"/>
              </w:rPr>
              <w:t>Six months ended March 31, 2019</w:t>
            </w:r>
          </w:p>
        </w:tc>
        <w:tc>
          <w:tcPr>
            <w:tcW w:w="16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200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Specialty</w:t>
            </w:r>
          </w:p>
        </w:tc>
        <w:tc>
          <w:tcPr>
            <w:tcW w:w="20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Intermediates</w:t>
            </w:r>
          </w:p>
        </w:tc>
        <w:tc>
          <w:tcPr>
            <w:tcW w:w="202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Specialty</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Intermediates</w:t>
            </w:r>
          </w:p>
        </w:tc>
      </w:tr>
      <w:tr>
        <w:trPr>
          <w:trHeight w:val="22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Sales by Geography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Ingredients</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and Solvents</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Ingredients</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and Solvents</w:t>
            </w:r>
          </w:p>
        </w:tc>
        <w:tc>
          <w:tcPr>
            <w:tcW w:w="160" w:type="dxa"/>
            <w:vAlign w:val="bottom"/>
            <w:tcBorders>
              <w:bottom w:val="single" w:sz="8" w:color="CFF0FC"/>
            </w:tcBorders>
          </w:tcPr>
          <w:p>
            <w:pPr>
              <w:spacing w:after="0"/>
              <w:rPr>
                <w:sz w:val="19"/>
                <w:szCs w:val="19"/>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27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0"/>
        </w:trPr>
        <w:tc>
          <w:tcPr>
            <w:tcW w:w="27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r>
        <w:trPr>
          <w:trHeight w:val="278"/>
        </w:trPr>
        <w:tc>
          <w:tcPr>
            <w:tcW w:w="2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tcBorders>
              <w:bottom w:val="single" w:sz="8" w:color="auto"/>
            </w:tcBorders>
            <w:gridSpan w:val="5"/>
          </w:tcPr>
          <w:p>
            <w:pPr>
              <w:spacing w:after="0"/>
              <w:rPr>
                <w:sz w:val="24"/>
                <w:szCs w:val="24"/>
                <w:color w:val="auto"/>
              </w:rPr>
            </w:pPr>
          </w:p>
        </w:tc>
      </w:tr>
      <w:tr>
        <w:trPr>
          <w:trHeight w:val="222"/>
        </w:trPr>
        <w:tc>
          <w:tcPr>
            <w:tcW w:w="2740" w:type="dxa"/>
            <w:vAlign w:val="bottom"/>
          </w:tcPr>
          <w:p>
            <w:pPr>
              <w:spacing w:after="0"/>
              <w:rPr>
                <w:sz w:val="19"/>
                <w:szCs w:val="19"/>
                <w:color w:val="auto"/>
              </w:rPr>
            </w:pPr>
          </w:p>
        </w:tc>
        <w:tc>
          <w:tcPr>
            <w:tcW w:w="4020" w:type="dxa"/>
            <w:vAlign w:val="bottom"/>
            <w:gridSpan w:val="6"/>
          </w:tcPr>
          <w:p>
            <w:pPr>
              <w:jc w:val="right"/>
              <w:ind w:right="940"/>
              <w:spacing w:after="0"/>
              <w:rPr>
                <w:sz w:val="20"/>
                <w:szCs w:val="20"/>
                <w:color w:val="auto"/>
              </w:rPr>
            </w:pPr>
            <w:r>
              <w:rPr>
                <w:rFonts w:ascii="Times New Roman" w:cs="Times New Roman" w:eastAsia="Times New Roman" w:hAnsi="Times New Roman"/>
                <w:sz w:val="17"/>
                <w:szCs w:val="17"/>
                <w:color w:val="auto"/>
              </w:rPr>
              <w:t>Three months ended March 31, 2018</w:t>
            </w:r>
          </w:p>
        </w:tc>
        <w:tc>
          <w:tcPr>
            <w:tcW w:w="384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color w:val="auto"/>
              </w:rPr>
              <w:t>Six months ended March 31, 2018</w:t>
            </w:r>
          </w:p>
        </w:tc>
      </w:tr>
      <w:tr>
        <w:trPr>
          <w:trHeight w:val="202"/>
        </w:trPr>
        <w:tc>
          <w:tcPr>
            <w:tcW w:w="2740" w:type="dxa"/>
            <w:vAlign w:val="bottom"/>
          </w:tcPr>
          <w:p>
            <w:pPr>
              <w:spacing w:after="0"/>
              <w:rPr>
                <w:sz w:val="17"/>
                <w:szCs w:val="17"/>
                <w:color w:val="auto"/>
              </w:rPr>
            </w:pPr>
          </w:p>
        </w:tc>
        <w:tc>
          <w:tcPr>
            <w:tcW w:w="200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Specialty</w:t>
            </w:r>
          </w:p>
        </w:tc>
        <w:tc>
          <w:tcPr>
            <w:tcW w:w="18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Intermediates</w:t>
            </w:r>
          </w:p>
        </w:tc>
        <w:tc>
          <w:tcPr>
            <w:tcW w:w="180" w:type="dxa"/>
            <w:vAlign w:val="bottom"/>
          </w:tcPr>
          <w:p>
            <w:pPr>
              <w:spacing w:after="0"/>
              <w:rPr>
                <w:sz w:val="17"/>
                <w:szCs w:val="17"/>
                <w:color w:val="auto"/>
              </w:rPr>
            </w:pPr>
          </w:p>
        </w:tc>
        <w:tc>
          <w:tcPr>
            <w:tcW w:w="202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Specialty</w:t>
            </w:r>
          </w:p>
        </w:tc>
        <w:tc>
          <w:tcPr>
            <w:tcW w:w="18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Intermediates</w:t>
            </w:r>
          </w:p>
        </w:tc>
      </w:tr>
      <w:tr>
        <w:trPr>
          <w:trHeight w:val="22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Sales by Geography</w:t>
            </w:r>
          </w:p>
        </w:tc>
        <w:tc>
          <w:tcPr>
            <w:tcW w:w="20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Ingredients</w:t>
            </w:r>
          </w:p>
        </w:tc>
        <w:tc>
          <w:tcPr>
            <w:tcW w:w="20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and Solvents</w:t>
            </w:r>
          </w:p>
        </w:tc>
        <w:tc>
          <w:tcPr>
            <w:tcW w:w="2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Ingredients</w:t>
            </w:r>
          </w:p>
        </w:tc>
        <w:tc>
          <w:tcPr>
            <w:tcW w:w="18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and Solvents</w:t>
            </w: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r>
      <w:tr>
        <w:trPr>
          <w:trHeight w:val="216"/>
        </w:trPr>
        <w:tc>
          <w:tcPr>
            <w:tcW w:w="2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Latin America &amp; other</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274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2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Specialty Ingredients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2019 quarter compared to March 2018 quarter</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Specialty Ingredients’ sales decreased $9 million to $637 million in the current quarter. Unfavorable foreign currency exchange reduced sales by $18 million. This decrease was partially offset by improved product pricing of $7 million, and volume/product mix of $2 million, which includes a negative impact associated with Colgate-Gantrez product reformulation of 1%.</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Gross profit during the current quarter decreased $27 million compared to the prior year quarter. Foreign currency exchange decreased gross profit by $9 million with volume/product mix adding an additional $3 million decline. The unfavorable impact of pricing and cost, which was $15 million, included a $20 million impact from the following key item during the current quarter:</w:t>
      </w:r>
    </w:p>
    <w:p>
      <w:pPr>
        <w:spacing w:after="0" w:line="67" w:lineRule="exact"/>
        <w:rPr>
          <w:sz w:val="20"/>
          <w:szCs w:val="20"/>
          <w:color w:val="auto"/>
        </w:rPr>
      </w:pPr>
    </w:p>
    <w:p>
      <w:pPr>
        <w:ind w:left="400" w:hanging="400"/>
        <w:spacing w:after="0" w:line="269" w:lineRule="auto"/>
        <w:tabs>
          <w:tab w:leader="none" w:pos="4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million of restructuring costs related to the planned closure of a manufacturing facility during the current quarter (which included $19 million of accelerated depreciation and amortization).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total, gross profit margin during the current quarter decreased 3.8 percentage points as compared to the prior year quarter to 29.8%.</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Selling, general and administrative expenses (which include research and development expenses throughout the reportable segment discussion and analysis) decreased $7 million compared to the prior year quarter, primarily related to the company-wide cost reduction program as well as a favorable foreign currency exchange. Equity and other income increased $1 million compared to the prior year quarter.</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income totaled $70 million for the current quarter compared to $89 million in the prior year quarter. Current quarter EBITDA decreased $23 million to $128 million, while Adjusted EBITDA decreased $5 million to $148 million. Adjusted EBITDA margin decreased 0.5 percentage points in the current quarter to 23.2%.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2019 year-to-date compared to fiscal 2018 year-to-date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Specialty Ingredients’ sales decreased $6 million to $1,190 million in the current period. Unfavorable foreign currency exchange decreased sales by $25 million. This decrease was partially offset by product pricing and volume/product mix which increased sales by $14 million and $5 million, respectively. Volume/product mix includes a negative impact associated with Colgate-Gantrez product reformulation of 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Gross profit during the current year decreased $51 million compared to the prior year period. The net impact of pricing and costs decreased gross profit by $36 million, which included a $44 million net impact from the following key items during the current and prior year period:</w:t>
      </w:r>
    </w:p>
    <w:p>
      <w:pPr>
        <w:spacing w:after="0" w:line="67" w:lineRule="exact"/>
        <w:rPr>
          <w:sz w:val="20"/>
          <w:szCs w:val="20"/>
          <w:color w:val="auto"/>
        </w:rPr>
      </w:pPr>
    </w:p>
    <w:p>
      <w:pPr>
        <w:ind w:left="400" w:hanging="400"/>
        <w:spacing w:after="0" w:line="269" w:lineRule="auto"/>
        <w:tabs>
          <w:tab w:leader="none" w:pos="4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million of restructuring costs related to the planned closure of a manufacturing facility during the prior quarter (which included $38 million of accelerated depreciation and amortization); and</w:t>
      </w:r>
    </w:p>
    <w:p>
      <w:pPr>
        <w:spacing w:after="0" w:line="159"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million of severance and the restructuring costs related to the closure of a manufacturing facility during the prior year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unfavorable foreign currency exchange and volume decreased gross profit by $13 million and $2 million,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total, gross profit margin during the current period decreased 4.1 percentage points as compared to the prior year period to 28.5%.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626" w:right="6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expenses decreased $14 million compared to the prior year period, primarily related to the company-wide cost reduction program as well as a favorable foreign currency exchange. Equity and other income increased $2 million compared to the prior year period.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income totaled $96 million for the current year compared to $131 million in the prior. Current quarter EBITDA decreased $41 million to $212 million, while Adjusted EBITDA increased $2 million to $260 million. Adjusted EBITDA margin increased 0.2 percentage points in the current year period to 21.8%.</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EBITDA and Adjusted EBITDA presentation for the three and six months ended March 31, 2019 and 2018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during the current year period related to $20 million and $48 million of restructuring costs associated with the planned closure of a manufacturing facility (which included $19 million and $38 million of accelerated depreciation) for the three and six months ended March 31, 2019, respectively. The key items within the prior year period related to $2 million and $4 million of accelerated depreciation for the termination of a contract at a manufacturing facility and zero and $1 million of severance and other restructuring costs for the closure of a manufacturing plant for the three and six months ended 2018, respectively.</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Three months ended</w:t>
            </w: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w:t>
            </w:r>
          </w:p>
        </w:tc>
        <w:tc>
          <w:tcPr>
            <w:tcW w:w="760" w:type="dxa"/>
            <w:vAlign w:val="bottom"/>
            <w:tcBorders>
              <w:top w:val="single" w:sz="8" w:color="auto"/>
            </w:tcBorders>
          </w:tcPr>
          <w:p>
            <w:pPr>
              <w:spacing w:after="0"/>
              <w:rPr>
                <w:sz w:val="20"/>
                <w:szCs w:val="20"/>
                <w:color w:val="auto"/>
              </w:rPr>
            </w:pPr>
          </w:p>
        </w:tc>
      </w:tr>
      <w:tr>
        <w:trPr>
          <w:trHeight w:val="234"/>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(a)</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depreciation</w:t>
            </w:r>
          </w:p>
        </w:tc>
        <w:tc>
          <w:tcPr>
            <w:tcW w:w="4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and other restructuring costs</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
        </w:trPr>
        <w:tc>
          <w:tcPr>
            <w:tcW w:w="3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274" w:lineRule="exact"/>
        <w:rPr>
          <w:sz w:val="20"/>
          <w:szCs w:val="20"/>
          <w:color w:val="auto"/>
        </w:rPr>
      </w:pPr>
    </w:p>
    <w:p>
      <w:pPr>
        <w:ind w:left="260" w:hanging="260"/>
        <w:spacing w:after="0" w:line="262"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$19 million and $2 million of accelerated depreciation for the three months ended March 31, 2019 and 2018, respectively, and $38 million and $4 million of accelerated depreciation for the six months ended March 31, 2019 and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Intermediates and Solvents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15, 2018, Ashland announced that it had signed a definitive agreement to sell its Composites segment and Marl facility. As a result, the financial information for Intermediates and Solvents excludes the activity from the Marl facility due to the expected divestiture and has been restated in prior periods.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2019 quarter compared to March 2018 quarter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Intermediates and Solvents’ sales increased $4 million to $30 million in the current quarter primarily due to increased volumes.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 increased $2 million during the current quarter compared to the prior year quarter, primarily due to increased volumes.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 margin increased 3.3 percentage points as compared to the prior year quarter to 26.1%.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expenses remained consistent with the prior year quarter.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was $5 million in the current quarter compared to $3 million in the prior year quarter. EBITDA increased $2 million to $8 million in the current quarter, while EBITDA margin increased 3.6 percentage points in the current quarter to 26.7%.</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2019 year-to-date compared to fiscal 2018 year-to-date</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Intermediates and Solvents’ sales decreased $4 million to $53 million in the current period. Lower volume/product mix and unfavorable foreign currency exchange decreased sales by $7 million and $1 million, respectively. These decreases were partially offset by improved product pricing which increased sales by $4 million.</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Gross profit decreased $1 million during the current period compared to the prior year period. Volume declines and unfavorable foreign currency exchange decreased gross profit by $2 million and $1 million, respectively. The net impact of pricing and costs offset those decreases by $2 million. In total, gross profit margin decreased 1.2 percentage points as compared to the prior year period to 19.2%.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expenses remained consistent with the prior year period.</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totaled $5 million in the current period as compared to $6 million in the prior year period. EBITDA decreased $2 million to $11 million in the current period, while EBITDA margin increased 2.0 percentage points in the current period to 20.8%.</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reconciliation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for the three and six months ended March 31, 2019 and 2018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w:t>
            </w: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 segment’s operating income (loss) for the three and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Three months ended</w:t>
            </w: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8"/>
                <w:szCs w:val="18"/>
                <w:color w:val="auto"/>
              </w:rPr>
              <w:t>Six months ended</w:t>
            </w:r>
          </w:p>
        </w:tc>
        <w:tc>
          <w:tcPr>
            <w:tcW w:w="760" w:type="dxa"/>
            <w:vAlign w:val="bottom"/>
            <w:tcBorders>
              <w:top w:val="single" w:sz="8" w:color="auto"/>
            </w:tcBorders>
          </w:tcPr>
          <w:p>
            <w:pPr>
              <w:spacing w:after="0"/>
              <w:rPr>
                <w:sz w:val="20"/>
                <w:szCs w:val="20"/>
                <w:color w:val="auto"/>
              </w:rPr>
            </w:pPr>
          </w:p>
        </w:tc>
      </w:tr>
      <w:tr>
        <w:trPr>
          <w:trHeight w:val="234"/>
        </w:trPr>
        <w:tc>
          <w:tcPr>
            <w:tcW w:w="2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154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Proxy costs</w:t>
            </w: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10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2019 quarter compared to March 2018 quarter</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Unallocated and other recorded expense of $31 million and $29 million for the three months ended March 31, 2019 and 2018, respectively. The current and prior year quarters included charges for restructuring activities of $24 million, which were comprised of the following items: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54" w:name="page55"/>
    <w:bookmarkEnd w:id="54"/>
    <w:p>
      <w:pPr>
        <w:ind w:left="800" w:hanging="400"/>
        <w:spacing w:after="0" w:line="269" w:lineRule="auto"/>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million and $14 million of stranded divestiture costs during the current and prior year quarters, respectively, primarily related to the planned divestiture of the Composites segment and Marl facility;</w:t>
      </w:r>
    </w:p>
    <w:p>
      <w:pPr>
        <w:spacing w:after="0" w:line="51" w:lineRule="exact"/>
        <w:rPr>
          <w:rFonts w:ascii="Times New Roman" w:cs="Times New Roman" w:eastAsia="Times New Roman" w:hAnsi="Times New Roman"/>
          <w:sz w:val="20"/>
          <w:szCs w:val="20"/>
          <w:color w:val="auto"/>
        </w:rPr>
      </w:pPr>
    </w:p>
    <w:p>
      <w:pPr>
        <w:ind w:left="800" w:hanging="400"/>
        <w:spacing w:after="0" w:line="269" w:lineRule="auto"/>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million and $4 million of severance, lease abandonment and other restructuring costs related to company-wide cost reduction programs during the current and prior quarters, respectively;</w:t>
      </w:r>
    </w:p>
    <w:p>
      <w:pPr>
        <w:spacing w:after="0" w:line="51"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million of impairment related to the planned sale of an office building during the current year quarter;</w:t>
      </w:r>
    </w:p>
    <w:p>
      <w:pPr>
        <w:spacing w:after="0" w:line="107"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million of costs related to the separation of Valvoline during the prior year quarter; and</w:t>
      </w:r>
    </w:p>
    <w:p>
      <w:pPr>
        <w:spacing w:after="0" w:line="107"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million of integration costs related to the acquisition of Pharmachem during the prior year quarter.</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Fiscal 2019 year-to-date compared to fiscal 2018 year-to-date</w:t>
      </w:r>
    </w:p>
    <w:p>
      <w:pPr>
        <w:spacing w:after="0" w:line="200" w:lineRule="exact"/>
        <w:rPr>
          <w:sz w:val="20"/>
          <w:szCs w:val="20"/>
          <w:color w:val="auto"/>
        </w:rPr>
      </w:pPr>
    </w:p>
    <w:p>
      <w:pPr>
        <w:spacing w:after="0" w:line="249"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Unallocated and other recorded expense of $64 million and $70 million for the six months ended March 31, 2019 and 2018, respectively. The current and prior year periods included charges for restructuring activities of $53 million and $49 million, respectively, which were comprised of the following items:</w:t>
      </w:r>
    </w:p>
    <w:p>
      <w:pPr>
        <w:spacing w:after="0" w:line="67" w:lineRule="exact"/>
        <w:rPr>
          <w:sz w:val="20"/>
          <w:szCs w:val="20"/>
          <w:color w:val="auto"/>
        </w:rPr>
      </w:pPr>
    </w:p>
    <w:p>
      <w:pPr>
        <w:ind w:left="800" w:hanging="4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 million and $28 million of stranded divestiture costs during the current and prior year periods, respectively;</w:t>
      </w:r>
    </w:p>
    <w:p>
      <w:pPr>
        <w:spacing w:after="0" w:line="107" w:lineRule="exact"/>
        <w:rPr>
          <w:rFonts w:ascii="Times New Roman" w:cs="Times New Roman" w:eastAsia="Times New Roman" w:hAnsi="Times New Roman"/>
          <w:sz w:val="20"/>
          <w:szCs w:val="20"/>
          <w:color w:val="auto"/>
        </w:rPr>
      </w:pPr>
    </w:p>
    <w:p>
      <w:pPr>
        <w:ind w:left="800" w:hanging="400"/>
        <w:spacing w:after="0" w:line="269" w:lineRule="auto"/>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million and $4 million of severance, lease abandonment and other restructuring costs related to company-wide cost reduction programs during the current and prior year periods, respectively;</w:t>
      </w:r>
    </w:p>
    <w:p>
      <w:pPr>
        <w:spacing w:after="0" w:line="51"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million of impairment related to the planned sale of an office building during the current year period;</w:t>
      </w:r>
    </w:p>
    <w:p>
      <w:pPr>
        <w:spacing w:after="0" w:line="107"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million of accelerated depreciation related to the planned closure of an office building during the prior period;</w:t>
      </w:r>
    </w:p>
    <w:p>
      <w:pPr>
        <w:spacing w:after="0" w:line="107"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million of integration costs related to the acquisition of Pharmachem during the prior period; and</w:t>
      </w:r>
    </w:p>
    <w:p>
      <w:pPr>
        <w:spacing w:after="0" w:line="107" w:lineRule="exact"/>
        <w:rPr>
          <w:rFonts w:ascii="Times New Roman" w:cs="Times New Roman" w:eastAsia="Times New Roman" w:hAnsi="Times New Roman"/>
          <w:sz w:val="20"/>
          <w:szCs w:val="20"/>
          <w:color w:val="auto"/>
        </w:rPr>
      </w:pPr>
    </w:p>
    <w:p>
      <w:pPr>
        <w:ind w:left="800" w:hanging="400"/>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million of costs related to the separation of Valvoline during the current year period.</w:t>
      </w:r>
    </w:p>
    <w:p>
      <w:pPr>
        <w:spacing w:after="0" w:line="108"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20"/>
          <w:szCs w:val="20"/>
          <w:color w:val="auto"/>
        </w:rPr>
        <w:t>The remaining unallocated items during the current period primarily included $6 million for environmental expenses and $5 million in proxy defense costs. The remaining items during the prior year period primarily included $18 million for environmental expenses and $5 million of income related to proceeds from a legal settlement.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12"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9"/>
          <w:szCs w:val="19"/>
          <w:color w:val="auto"/>
        </w:rPr>
        <w:t>Ashland had $164 million in cash and cash equivalents as of March 31, 2019, of which $156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58"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Condensed Consolidated Cash Flows, are summarized as follows for the six months ended March 31, 2019 and 2018.</w:t>
      </w:r>
    </w:p>
    <w:p>
      <w:pPr>
        <w:spacing w:after="0" w:line="2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41" w:right="63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238"/>
        </w:trPr>
        <w:tc>
          <w:tcPr>
            <w:tcW w:w="7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8"/>
                <w:szCs w:val="18"/>
                <w:color w:val="auto"/>
              </w:rPr>
              <w:t>Six months ended</w:t>
            </w:r>
          </w:p>
        </w:tc>
        <w:tc>
          <w:tcPr>
            <w:tcW w:w="820" w:type="dxa"/>
            <w:vAlign w:val="bottom"/>
            <w:tcBorders>
              <w:top w:val="single" w:sz="8" w:color="auto"/>
            </w:tcBorders>
          </w:tcPr>
          <w:p>
            <w:pPr>
              <w:spacing w:after="0"/>
              <w:rPr>
                <w:sz w:val="20"/>
                <w:szCs w:val="20"/>
                <w:color w:val="auto"/>
              </w:rPr>
            </w:pPr>
          </w:p>
        </w:tc>
      </w:tr>
      <w:tr>
        <w:trPr>
          <w:trHeight w:val="234"/>
        </w:trPr>
        <w:tc>
          <w:tcPr>
            <w:tcW w:w="7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7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discloses the cash flows associated with Ashland’s operating activities for the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r>
      <w:tr>
        <w:trPr>
          <w:trHeight w:val="234"/>
        </w:trPr>
        <w:tc>
          <w:tcPr>
            <w:tcW w:w="7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operating activities from continuing operations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Original issue discount and debt issuance costs amortization</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Distribution from affiliates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Excess tax benefit on stock based compensation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loss on divestitures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Impairments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Pension contributions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Gain on pension and other postretirement plan remeasurements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 xml:space="preserve">Change in operating assets and liabilities </w:t>
            </w:r>
            <w:r>
              <w:rPr>
                <w:rFonts w:ascii="Times New Roman" w:cs="Times New Roman" w:eastAsia="Times New Roman" w:hAnsi="Times New Roman"/>
                <w:sz w:val="14"/>
                <w:szCs w:val="14"/>
                <w:color w:val="auto"/>
              </w:rPr>
              <w:t>(a)</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cash flows provided (used) by operating activities from continuing operations</w:t>
            </w:r>
          </w:p>
        </w:tc>
        <w:tc>
          <w:tcPr>
            <w:tcW w:w="108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6"/>
        </w:trPr>
        <w:tc>
          <w:tcPr>
            <w:tcW w:w="70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changes resulting from operations acquired or sold.</w:t>
      </w:r>
    </w:p>
    <w:p>
      <w:pPr>
        <w:spacing w:after="0" w:line="1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Cash flows provided from operating activities from continuing operations, a major source of Ashland’s liquidity, amounted to a cash inflow of $6 million and outflow of $3 million during the current and prior year quarters,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 – Operating Assets and Liabilities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cash results during each quarter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336" w:right="639" w:bottom="1440" w:gutter="0" w:footer="0" w:header="0"/>
        </w:sectPr>
      </w:pPr>
    </w:p>
    <w:bookmarkStart w:id="56" w:name="page57"/>
    <w:bookmarkEnd w:id="56"/>
    <w:p>
      <w:pPr>
        <w:spacing w:after="0" w:line="269" w:lineRule="auto"/>
        <w:rPr>
          <w:sz w:val="20"/>
          <w:szCs w:val="20"/>
          <w:color w:val="auto"/>
        </w:rPr>
      </w:pPr>
      <w:r>
        <w:rPr>
          <w:rFonts w:ascii="Times New Roman" w:cs="Times New Roman" w:eastAsia="Times New Roman" w:hAnsi="Times New Roman"/>
          <w:sz w:val="20"/>
          <w:szCs w:val="20"/>
          <w:color w:val="auto"/>
        </w:rPr>
        <w:t>Changes in net working capital accounted for outflows of $137 and $164 million for the six months ended March 31, 2019 and 2018, respectively, and were driven by the following:</w:t>
      </w:r>
    </w:p>
    <w:p>
      <w:pPr>
        <w:spacing w:after="0" w:line="52" w:lineRule="exact"/>
        <w:rPr>
          <w:sz w:val="20"/>
          <w:szCs w:val="20"/>
          <w:color w:val="auto"/>
        </w:rPr>
      </w:pPr>
    </w:p>
    <w:p>
      <w:pPr>
        <w:ind w:left="400" w:hanging="400"/>
        <w:spacing w:after="0" w:line="296" w:lineRule="auto"/>
        <w:tabs>
          <w:tab w:leader="none" w:pos="4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Accounts receivable – There was a cash inflow of $2 million and an outflow $51 million during the current and prior year periods, respectively, which were primarily due to the net of collections and sales during the first six months of each fiscal year.</w:t>
      </w:r>
    </w:p>
    <w:p>
      <w:pPr>
        <w:spacing w:after="0" w:line="28" w:lineRule="exact"/>
        <w:rPr>
          <w:rFonts w:ascii="Times New Roman" w:cs="Times New Roman" w:eastAsia="Times New Roman" w:hAnsi="Times New Roman"/>
          <w:sz w:val="19"/>
          <w:szCs w:val="19"/>
          <w:color w:val="auto"/>
        </w:rPr>
      </w:pPr>
    </w:p>
    <w:p>
      <w:pPr>
        <w:ind w:left="400" w:hanging="400"/>
        <w:spacing w:after="0" w:line="269" w:lineRule="auto"/>
        <w:tabs>
          <w:tab w:leader="none" w:pos="4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 There were cash outflows of $1 million and $11 million during the current and prior year periods, respectively, which were primarily driven by sales volumes and inventory management strategies.</w:t>
      </w:r>
    </w:p>
    <w:p>
      <w:pPr>
        <w:spacing w:after="0" w:line="51" w:lineRule="exact"/>
        <w:rPr>
          <w:rFonts w:ascii="Times New Roman" w:cs="Times New Roman" w:eastAsia="Times New Roman" w:hAnsi="Times New Roman"/>
          <w:sz w:val="20"/>
          <w:szCs w:val="20"/>
          <w:color w:val="auto"/>
        </w:rPr>
      </w:pPr>
    </w:p>
    <w:p>
      <w:pPr>
        <w:ind w:left="400" w:hanging="400"/>
        <w:spacing w:after="0" w:line="269" w:lineRule="auto"/>
        <w:tabs>
          <w:tab w:leader="none" w:pos="4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and other payables – There were cash outflows of $116 million and $66 million during the current and prior year periods, respectively, and primarily related to the timing of certain payments.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remaining changes to operating assets and liabilities resulted in outflows of $22 million and $36 million in the current and prior year periods, respectively, and were primarily due to income taxes paid or income tax refunds, interest paid, and adjustments to certain accruals and other long-term assets and liabilities.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 – Summary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cash flows for the current year period included a loss from continuing operations of $26 million. Additionally, the current period included non-cash adjustments of $163 million for depreciation and amortization, $3 million for a loss on restricted investments, $5 million for an impairment of a held for sale facility and $18 million for the gain on pension and other postretirement plan remeasurements.</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cash flows for the prior year period included an income from continuing operations of $10 million. Additionally, the prior year period included a non-cash adjustment of $142 million for depreciation and amortization.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discloses the cash flows associated with Ashland’s investing activities for the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r>
      <w:tr>
        <w:trPr>
          <w:trHeight w:val="234"/>
        </w:trPr>
        <w:tc>
          <w:tcPr>
            <w:tcW w:w="7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investing activities from continuing operations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operations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sales of operations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Life insurance payments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purchase of funds restricted for specific transactions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Reimbursement from restricted investments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securities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the settlement of derivative instruments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Payments for the settlement of derivative instruments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used by investing activities from continuing operations</w:t>
            </w:r>
          </w:p>
        </w:tc>
        <w:tc>
          <w:tcPr>
            <w:tcW w:w="1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Cash used by investing activities was $49 million and $92 million for the current and prior periods, respectively. The significant cash investing activities for the current period primarily related to cash outflows of $70 million for property additions compared to $52 million in the prior year period. The prior period also included cash outflows of $37 million related to payments for a corporate-owned life insurance policy loan and $11 million for the purchase of Vornia Limited. Additionally, there were reimbursements from the restricted renewable annual asbestos trust of $20 million during the current period compared to $17 million in the prior year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discloses the cash flows associated with Ashland’s financing activities for the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r>
      <w:tr>
        <w:trPr>
          <w:trHeight w:val="234"/>
        </w:trPr>
        <w:tc>
          <w:tcPr>
            <w:tcW w:w="7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(used) by financing activities from continuing operations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(repayment of) short-term debt</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paid</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based compensation employee withholding taxes paid in cash</w:t>
            </w:r>
          </w:p>
        </w:tc>
        <w:tc>
          <w:tcPr>
            <w:tcW w:w="1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cash flows used by financing activities from continuing operations</w:t>
            </w:r>
          </w:p>
        </w:tc>
        <w:tc>
          <w:tcPr>
            <w:tcW w:w="1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7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Cash flows used by financing activities resulted in outflows $36 million and $220 million for the current and prior year periods, respectively.</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Significant cash financing activities for the current period included long-term cash outflows of $8 million, primarily related to repayments of term loans and debentures. The current period included cash dividends paid of $0.50 per share, for a total of $31 million. Additionally, $11 million of inflows were drawn out the 2017 Revolving Credit Facility.</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Significant cash financing activities for the prior year period included short-term debt net repayments of $181 million related to the 2017 Revolving Credit Facility and the accounts receivable securitization. The outstanding balance of the 2017 Revolving Credit Facility and a portion of the accounts receivable securitization were repaid using approximately $300 million of cash that was repatriated in January 2018. The prior period included cash dividends paid of $0.45 per share, for a total of $28 million.</w:t>
      </w:r>
    </w:p>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discloses the cash flows associated with Ashland’s discontinued operations for the six months ended March 31, 2019 and 2018.</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6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r>
      <w:tr>
        <w:trPr>
          <w:trHeight w:val="234"/>
        </w:trPr>
        <w:tc>
          <w:tcPr>
            <w:tcW w:w="5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 discontinued operations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w:t>
            </w:r>
          </w:p>
        </w:tc>
        <w:tc>
          <w:tcPr>
            <w:tcW w:w="2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cash flows</w:t>
            </w:r>
          </w:p>
        </w:tc>
        <w:tc>
          <w:tcPr>
            <w:tcW w:w="2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used by discontinued operations</w:t>
            </w:r>
          </w:p>
        </w:tc>
        <w:tc>
          <w:tcPr>
            <w:tcW w:w="2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flows for discontinued operations in the current period included cash outflows of $25 million related to the activity of Composites and the Marl facility. The remaining cash flows for discontinued operations related to other previously divested businesses, including net payments of asbestos and environmental liabilities.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flows for discontinued operations in the prior year period included cash outflows of $5 million related to the activity of Composites and the Marl facility. The remaining cash flows for discontinued operations related to other previously divested businesses, including net payments of asbestos and environmental liabilities.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37"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20"/>
                <w:szCs w:val="20"/>
                <w:color w:val="auto"/>
              </w:rPr>
            </w:pPr>
          </w:p>
        </w:tc>
      </w:tr>
      <w:tr>
        <w:trPr>
          <w:trHeight w:val="234"/>
        </w:trPr>
        <w:tc>
          <w:tcPr>
            <w:tcW w:w="6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used by operating activities from continuing operations</w:t>
            </w:r>
          </w:p>
        </w:tc>
        <w:tc>
          <w:tcPr>
            <w:tcW w:w="1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6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Free cash flows </w:t>
            </w:r>
            <w:r>
              <w:rPr>
                <w:rFonts w:ascii="Times New Roman" w:cs="Times New Roman" w:eastAsia="Times New Roman" w:hAnsi="Times New Roman"/>
                <w:sz w:val="14"/>
                <w:szCs w:val="14"/>
                <w:color w:val="auto"/>
              </w:rPr>
              <w:t>(a)</w:t>
            </w:r>
          </w:p>
        </w:tc>
        <w:tc>
          <w:tcPr>
            <w:tcW w:w="1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$33 million and $29 million of restructuring payments for the six months ended March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322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current assets and current liabilities held for sale and long-term debt due within one year) amounted to $581 million and $570 million as of March 31, 2019 and September 30, 2018, respectively. Liquid assets (cash, cash equivalents and accounts receivable) amounted to 89% of current liabilities (excluding current liabilities held for sale) as of March 31, 2019 and September 30,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cash and unused borrowing capacity as of March 31, 2019 and September 30, 2018.</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98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28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98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w:t>
            </w:r>
          </w:p>
        </w:tc>
        <w:tc>
          <w:tcPr>
            <w:tcW w:w="2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28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borrowing capacity remaining under the $800 million revolving credit facility was $727 million due to an outstanding balance of $25 million, as well as a reduction of $48 million for letters of credit outstanding at March 31, 2019. In total, Ashland’s available liquidity position, which includes cash, the revolving credit facility and the accounts receivable securitization facilities, was $905 million at March 31, 2019, compared to $1,048 million at September 30, 2018.</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debt as of March 31, 2019 and September 30, 2018.</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1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and debt issuance cost discounts) </w:t>
            </w:r>
            <w:r>
              <w:rPr>
                <w:rFonts w:ascii="Times New Roman" w:cs="Times New Roman" w:eastAsia="Times New Roman" w:hAnsi="Times New Roman"/>
                <w:sz w:val="14"/>
                <w:szCs w:val="14"/>
                <w:color w:val="auto"/>
              </w:rPr>
              <w:t>(a)</w:t>
            </w:r>
          </w:p>
        </w:tc>
        <w:tc>
          <w:tcPr>
            <w:tcW w:w="10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2,275</w:t>
            </w:r>
          </w:p>
        </w:tc>
      </w:tr>
      <w:tr>
        <w:trPr>
          <w:trHeight w:val="223"/>
        </w:trPr>
        <w:tc>
          <w:tcPr>
            <w:tcW w:w="63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10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2,529</w:t>
            </w:r>
          </w:p>
        </w:tc>
      </w:tr>
      <w:tr>
        <w:trPr>
          <w:trHeight w:val="20"/>
        </w:trPr>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6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$19 million and $21 million of debt issuance cost discounts as of March 31, 2019 and September 30, 2018, respectively.</w:t>
      </w:r>
    </w:p>
    <w:p>
      <w:pPr>
        <w:spacing w:after="0" w:line="2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37" w:right="639" w:bottom="1440" w:gutter="0" w:footer="0" w:header="0"/>
        </w:sectPr>
      </w:pPr>
    </w:p>
    <w:bookmarkStart w:id="59" w:name="page60"/>
    <w:bookmarkEnd w:id="59"/>
    <w:p>
      <w:pPr>
        <w:jc w:val="both"/>
        <w:spacing w:after="0" w:line="247" w:lineRule="auto"/>
        <w:rPr>
          <w:sz w:val="20"/>
          <w:szCs w:val="20"/>
          <w:color w:val="auto"/>
        </w:rPr>
      </w:pPr>
      <w:r>
        <w:rPr>
          <w:rFonts w:ascii="Times New Roman" w:cs="Times New Roman" w:eastAsia="Times New Roman" w:hAnsi="Times New Roman"/>
          <w:sz w:val="20"/>
          <w:szCs w:val="20"/>
          <w:color w:val="auto"/>
        </w:rPr>
        <w:t>The current portion of long-term debt was $6 million at March 31, 2019. Debt as a percent of capital employed was 43% at both March 31, 2019 and September 30, 2018. At March 31, 2019, Ashland’s total debt had an outstanding principal balance of $2,603 million, discounts of $48 million, and debt issuance costs of $19 million. The scheduled aggregate maturities of long-term debt by year (including the current portion and excluding debt issuance costs) are as follows: $3 million remaining in 2019, $6 million in 2020, $14 million in 2021, $1,279 million in 2022 and $6 million in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credit ratings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debt covenant restrictions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2019, Ashland is in compliance with all debt agreement covenant restrictions under the 2017 Credit Agreement.</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40. In general, consolidated indebtedness includes debt plus all purchase money indebtedness, banker’s acceptances and bank guaranties, deferred purchase price of property or services, attributable indebtedness and guarantees. At March 31, 2019, Ashland’s calculation of the consolidated net leverage ratio was 3.5.</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March 31, 2019, Ashland’s calculation of the consolidated interest coverage ratio was 5.6.</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0.5x effect on the consolidated net leverage ratio and a 0.8x effect on the consolidated interest coverage ratio. The average change in consolidated indebtedness of $100 million would affect the consolidated leverage ratio by approximately 0.1x.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projection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640" w:top="441" w:right="6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Total equity decreased $44 million since September 30, 2018 to $3,362 million at March 31, 2019. The decrease of $44 million was due to a net income of $28 million, common shares issued under stock incentive and other plans of $6 million, deferred translation losses of $40 million, cash dividends of $32 million and $6 million related to the pension and other postretirement obligation adjustment.</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Stock repurchase program</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March 31, 2019, $1 billion remained available for repurchase under this authorization.</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11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In May 2018, the Board of Directors of Ashland announced a quarterly cash dividend of 25 cents per share, or $16 million, to eligible stockholders at record, which was paid for quarterly dividends in the first and second quarter of fiscal 2019 and the third and fourth quarters of fiscal 2018. This represented an increase from the previous quarterly cash dividend of 22.5 cents per share which was paid for quarterly dividends in the first and second quarters of fiscal 2018.</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112"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Capital expenditures were $70 million for the six months ended March 31, 2019 compared to $52 million for the six months ended March 31, 2018.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12" w:lineRule="exact"/>
        <w:rPr>
          <w:sz w:val="20"/>
          <w:szCs w:val="20"/>
          <w:color w:val="auto"/>
        </w:rPr>
      </w:pPr>
    </w:p>
    <w:p>
      <w:pPr>
        <w:jc w:val="both"/>
        <w:ind w:left="400"/>
        <w:spacing w:after="0" w:line="24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2018.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six months ended March 31, 2019.</w:t>
      </w:r>
    </w:p>
    <w:p>
      <w:pPr>
        <w:spacing w:after="0" w:line="3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437"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Fiscal Year 2019</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Ashland updated its financial outlook for fiscal 2019 as shown in the table below.</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44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Prior FY 2019 Outlook</w:t>
            </w:r>
          </w:p>
        </w:tc>
        <w:tc>
          <w:tcPr>
            <w:tcW w:w="3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Updated FY 2019 Outlook</w:t>
            </w:r>
          </w:p>
        </w:tc>
      </w:tr>
      <w:tr>
        <w:trPr>
          <w:trHeight w:val="22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Specialty Ingredients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$635 million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$585 - $610 million</w:t>
            </w: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Intermediates &amp; Solvents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$30 million</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Reaffirmed</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million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($45 - $55) million</w:t>
            </w:r>
          </w:p>
        </w:tc>
      </w:tr>
      <w:tr>
        <w:trPr>
          <w:trHeight w:val="230"/>
        </w:trPr>
        <w:tc>
          <w:tcPr>
            <w:tcW w:w="34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tc>
        <w:tc>
          <w:tcPr>
            <w:tcW w:w="19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382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$3.10 - $3.40</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$2.90 - $3.20</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 $175 million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$165 - $175 million</w:t>
            </w:r>
          </w:p>
        </w:tc>
      </w:tr>
      <w:tr>
        <w:trPr>
          <w:trHeight w:val="230"/>
        </w:trPr>
        <w:tc>
          <w:tcPr>
            <w:tcW w:w="34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9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82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~260 million</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~250 million</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 million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 $100 million</w:t>
            </w: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2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14% - 16%</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Reaffirmed</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 $160 million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Reaffirmed</w:t>
            </w: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share count**</w:t>
            </w:r>
          </w:p>
        </w:tc>
        <w:tc>
          <w:tcPr>
            <w:tcW w:w="382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 64 million</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 63 million</w:t>
            </w:r>
          </w:p>
        </w:tc>
      </w:tr>
      <w:tr>
        <w:trPr>
          <w:trHeight w:val="135"/>
        </w:trPr>
        <w:tc>
          <w:tcPr>
            <w:tcW w:w="34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r>
    </w:tbl>
    <w:p>
      <w:pPr>
        <w:spacing w:after="0" w:line="274" w:lineRule="exact"/>
        <w:rPr>
          <w:sz w:val="20"/>
          <w:szCs w:val="20"/>
          <w:color w:val="auto"/>
        </w:rPr>
      </w:pPr>
    </w:p>
    <w:p>
      <w:pPr>
        <w:ind w:left="400" w:right="4840" w:firstLine="9"/>
        <w:spacing w:after="0" w:line="262" w:lineRule="auto"/>
        <w:tabs>
          <w:tab w:leader="none" w:pos="5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figures include approximately $40 million of separation and restructuring-related payments. ** Includes updated diluted share count associated with the share repurchase discussed below.</w:t>
      </w:r>
    </w:p>
    <w:p>
      <w:pPr>
        <w:spacing w:after="0" w:line="54" w:lineRule="exact"/>
        <w:rPr>
          <w:sz w:val="20"/>
          <w:szCs w:val="20"/>
          <w:color w:val="auto"/>
        </w:rPr>
      </w:pPr>
    </w:p>
    <w:p>
      <w:pPr>
        <w:jc w:val="both"/>
        <w:ind w:left="400" w:right="2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2019, Ashland expects adjusted diluted earnings per share in the range of $0.80-$0.90. This estimate assumes an effective tax rate of 15% percent for the third quarter.</w:t>
      </w:r>
    </w:p>
    <w:p>
      <w:pPr>
        <w:spacing w:after="0" w:line="52" w:lineRule="exact"/>
        <w:rPr>
          <w:sz w:val="20"/>
          <w:szCs w:val="20"/>
          <w:color w:val="auto"/>
        </w:rPr>
      </w:pPr>
    </w:p>
    <w:p>
      <w:pPr>
        <w:jc w:val="both"/>
        <w:ind w:left="400"/>
        <w:spacing w:after="0" w:line="249" w:lineRule="auto"/>
        <w:rPr>
          <w:sz w:val="20"/>
          <w:szCs w:val="20"/>
          <w:color w:val="auto"/>
        </w:rPr>
      </w:pPr>
      <w:r>
        <w:rPr>
          <w:rFonts w:ascii="Times New Roman" w:cs="Times New Roman" w:eastAsia="Times New Roman" w:hAnsi="Times New Roman"/>
          <w:sz w:val="20"/>
          <w:szCs w:val="20"/>
          <w:color w:val="auto"/>
        </w:rPr>
        <w:t>On April 30, 2019, Ashland announced an intention to commence a $200 million share repurchase program under Ashland’s Board of Directors approved $1 billion stock repurchase program in fiscal 2018. Under the program, shares may be repurchased in privately negotiated and/or open market transactions, including under plans complying with Rule 10b5-1 of the Exchange Act. The $200 million repurchase will be the first repurchases made under the $1 billion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2"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20"/>
          <w:szCs w:val="20"/>
          <w:color w:val="auto"/>
        </w:rPr>
        <w:t>Ashland’s market risk exposure at March 31, 2019 is generally consistent with the types of market risk exposures presented in Ashland’s Annual Report on Form 10-K for the fiscal year ended September 30, 2018.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08" w:lineRule="exact"/>
        <w:rPr>
          <w:sz w:val="20"/>
          <w:szCs w:val="20"/>
          <w:color w:val="auto"/>
        </w:rPr>
      </w:pPr>
    </w:p>
    <w:p>
      <w:pPr>
        <w:jc w:val="both"/>
        <w:ind w:left="4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the end of the period covered by this quarterly report, Ashland, under the supervision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2019.</w:t>
      </w:r>
    </w:p>
    <w:p>
      <w:pPr>
        <w:spacing w:after="0" w:line="68" w:lineRule="exact"/>
        <w:rPr>
          <w:sz w:val="20"/>
          <w:szCs w:val="20"/>
          <w:color w:val="auto"/>
        </w:rPr>
      </w:pPr>
    </w:p>
    <w:p>
      <w:pPr>
        <w:jc w:val="both"/>
        <w:ind w:left="40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During the six months ended March 31, 2019, there were no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29" w:right="6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is a description of Ashland’s material legal proceedings.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112" w:lineRule="exact"/>
        <w:rPr>
          <w:sz w:val="20"/>
          <w:szCs w:val="20"/>
          <w:color w:val="auto"/>
        </w:rPr>
      </w:pPr>
    </w:p>
    <w:p>
      <w:pPr>
        <w:jc w:val="both"/>
        <w:ind w:firstLine="401"/>
        <w:spacing w:after="0" w:line="249"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72"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20"/>
          <w:szCs w:val="20"/>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7" w:lineRule="exact"/>
        <w:rPr>
          <w:sz w:val="20"/>
          <w:szCs w:val="20"/>
          <w:color w:val="auto"/>
        </w:rPr>
      </w:pPr>
    </w:p>
    <w:p>
      <w:pPr>
        <w:jc w:val="both"/>
        <w:ind w:firstLine="401"/>
        <w:spacing w:after="0" w:line="269"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52" w:lineRule="exact"/>
        <w:rPr>
          <w:sz w:val="20"/>
          <w:szCs w:val="20"/>
          <w:color w:val="auto"/>
        </w:rPr>
      </w:pPr>
    </w:p>
    <w:p>
      <w:pPr>
        <w:jc w:val="both"/>
        <w:ind w:firstLine="401"/>
        <w:spacing w:after="0" w:line="269"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Note K of Notes to Condensed Consolidated Financial Statements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43" w:lineRule="auto"/>
        <w:tabs>
          <w:tab w:leader="none" w:pos="690"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CERCLA and Similar State Law Sites - </w:t>
      </w:r>
      <w:r>
        <w:rPr>
          <w:rFonts w:ascii="Times New Roman" w:cs="Times New Roman" w:eastAsia="Times New Roman" w:hAnsi="Times New Roman"/>
          <w:sz w:val="20"/>
          <w:szCs w:val="20"/>
          <w:color w:val="auto"/>
        </w:rPr>
        <w:t>Under the Comprehensive Environmental Response, Compensation and Liability Act of 1980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March 31, 2019, Ashland and its subsidiaries have been identified as a PRP by U.S. federal and state authorities, or by private parties seeking contribution, for the cost of environmental investigation and/or cleanup at 81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8" w:lineRule="exact"/>
        <w:rPr>
          <w:rFonts w:ascii="Times New Roman" w:cs="Times New Roman" w:eastAsia="Times New Roman" w:hAnsi="Times New Roman"/>
          <w:sz w:val="20"/>
          <w:szCs w:val="20"/>
          <w:i w:val="1"/>
          <w:iCs w:val="1"/>
          <w:color w:val="auto"/>
        </w:rPr>
      </w:pPr>
    </w:p>
    <w:p>
      <w:pPr>
        <w:jc w:val="both"/>
        <w:ind w:firstLine="409"/>
        <w:spacing w:after="0" w:line="244" w:lineRule="auto"/>
        <w:tabs>
          <w:tab w:leader="none" w:pos="726"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Hattiesburg, Mississippi Resource Conservation and Recovery Act Matter - </w:t>
      </w:r>
      <w:r>
        <w:rPr>
          <w:rFonts w:ascii="Times New Roman" w:cs="Times New Roman" w:eastAsia="Times New Roman" w:hAnsi="Times New Roman"/>
          <w:sz w:val="20"/>
          <w:szCs w:val="20"/>
          <w:color w:val="auto"/>
        </w:rPr>
        <w:t>In November 2008, the Mississippi Department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3" w:name="page64"/>
    <w:bookmarkEnd w:id="63"/>
    <w:p>
      <w:pPr>
        <w:jc w:val="both"/>
        <w:ind w:firstLine="409"/>
        <w:spacing w:after="0" w:line="242" w:lineRule="auto"/>
        <w:tabs>
          <w:tab w:leader="none" w:pos="687" w:val="left"/>
        </w:tabs>
        <w:numPr>
          <w:ilvl w:val="0"/>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Lower Passaic River, New Jersey Matters - </w:t>
      </w:r>
      <w:r>
        <w:rPr>
          <w:rFonts w:ascii="Times New Roman" w:cs="Times New Roman" w:eastAsia="Times New Roman" w:hAnsi="Times New Roman"/>
          <w:sz w:val="20"/>
          <w:szCs w:val="20"/>
          <w:color w:val="auto"/>
        </w:rPr>
        <w:t>Ashland, through two formerly owned facilities, and ISP, through a now-closed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80" w:lineRule="exact"/>
        <w:rPr>
          <w:rFonts w:ascii="Times New Roman" w:cs="Times New Roman" w:eastAsia="Times New Roman" w:hAnsi="Times New Roman"/>
          <w:sz w:val="20"/>
          <w:szCs w:val="20"/>
          <w:i w:val="1"/>
          <w:iCs w:val="1"/>
          <w:color w:val="auto"/>
        </w:rPr>
      </w:pPr>
    </w:p>
    <w:p>
      <w:pPr>
        <w:jc w:val="both"/>
        <w:ind w:firstLine="409"/>
        <w:spacing w:after="0" w:line="248" w:lineRule="auto"/>
        <w:tabs>
          <w:tab w:leader="none" w:pos="690" w:val="left"/>
        </w:tabs>
        <w:numPr>
          <w:ilvl w:val="0"/>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Freetown, MA Resource Conservation and Recovery Act (RCRA) Matter - </w:t>
      </w:r>
      <w:r>
        <w:rPr>
          <w:rFonts w:ascii="Times New Roman" w:cs="Times New Roman" w:eastAsia="Times New Roman" w:hAnsi="Times New Roman"/>
          <w:sz w:val="20"/>
          <w:szCs w:val="20"/>
          <w:color w:val="auto"/>
        </w:rPr>
        <w:t>On September 27, 2018, the USEPA issued a Complaint,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72" w:lineRule="exact"/>
        <w:rPr>
          <w:sz w:val="20"/>
          <w:szCs w:val="20"/>
          <w:color w:val="auto"/>
        </w:rPr>
      </w:pPr>
    </w:p>
    <w:p>
      <w:pPr>
        <w:jc w:val="both"/>
        <w:ind w:firstLine="401"/>
        <w:spacing w:after="0" w:line="269"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K of Notes to Condensed Consolidated Financial Statements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12"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2019. There is a reasonable possibility that a loss exceeding amounts already recognized may be incurred related to these actions; however, Ashland believes that such potential losses were immaterial as of March 31,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jc w:val="both"/>
        <w:ind w:right="20" w:firstLine="401"/>
        <w:spacing w:after="0" w:line="269" w:lineRule="auto"/>
        <w:rPr>
          <w:sz w:val="20"/>
          <w:szCs w:val="20"/>
          <w:color w:val="auto"/>
        </w:rPr>
      </w:pPr>
      <w:r>
        <w:rPr>
          <w:rFonts w:ascii="Times New Roman" w:cs="Times New Roman" w:eastAsia="Times New Roman" w:hAnsi="Times New Roman"/>
          <w:sz w:val="20"/>
          <w:szCs w:val="20"/>
          <w:color w:val="auto"/>
        </w:rPr>
        <w:t>During the period covered by this report, there were no material changes from the risk factors previously disclosed in Ashland’s Annual Report on Form 10-K for the fiscal year ended September 30, 2018.</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There was no share repurchase activity during the three months ended March 31, 2019.</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1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 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Shares that May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Average Price</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Shares Purchased</w:t>
            </w: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6"/>
              </w:rPr>
              <w:t>Yet Be Purchased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Paid Per Share,</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Under the Plans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including</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Announced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r>
        <w:trPr>
          <w:trHeight w:val="234"/>
        </w:trPr>
        <w:tc>
          <w:tcPr>
            <w:tcW w:w="34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Q2 Fiscal Periods</w:t>
            </w:r>
          </w:p>
        </w:tc>
        <w:tc>
          <w:tcPr>
            <w:tcW w:w="2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commission</w:t>
            </w: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or Programs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millions)(a)</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2019 to January 31, 2019</w:t>
            </w:r>
          </w:p>
        </w:tc>
        <w:tc>
          <w:tcPr>
            <w:tcW w:w="13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2019 to February 28, 2019</w:t>
            </w:r>
          </w:p>
        </w:tc>
        <w:tc>
          <w:tcPr>
            <w:tcW w:w="13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2019 to March 31, 2019</w:t>
            </w: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800" w:hanging="400"/>
        <w:spacing w:after="0" w:line="241" w:lineRule="auto"/>
        <w:tabs>
          <w:tab w:leader="none" w:pos="8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March 31, 2019, $1 billion remains available for repurchase under this authorization.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31.1*</w:t>
            </w:r>
          </w:p>
        </w:tc>
        <w:tc>
          <w:tcPr>
            <w:tcW w:w="100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8"/>
              </w:rPr>
            </w:pPr>
            <w:hyperlink w:anchor="page68">
              <w:r>
                <w:rPr>
                  <w:rFonts w:ascii="Times New Roman" w:cs="Times New Roman" w:eastAsia="Times New Roman" w:hAnsi="Times New Roman"/>
                  <w:sz w:val="20"/>
                  <w:szCs w:val="20"/>
                  <w:color w:val="0000EE"/>
                  <w:w w:val="98"/>
                </w:rPr>
                <w:t>Certificate of William A. Wulfsohn,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6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7"/>
              </w:rPr>
            </w:pPr>
            <w:hyperlink w:anchor="page68">
              <w:r>
                <w:rPr>
                  <w:rFonts w:ascii="Times New Roman" w:cs="Times New Roman" w:eastAsia="Times New Roman" w:hAnsi="Times New Roman"/>
                  <w:sz w:val="20"/>
                  <w:szCs w:val="20"/>
                  <w:color w:val="0000EE"/>
                  <w:w w:val="97"/>
                </w:rPr>
                <w:t>2002.</w:t>
              </w:r>
            </w:hyperlink>
          </w:p>
        </w:tc>
        <w:tc>
          <w:tcPr>
            <w:tcW w:w="50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31"/>
        </w:trPr>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10020" w:type="dxa"/>
            <w:vAlign w:val="bottom"/>
            <w:gridSpan w:val="4"/>
          </w:tcPr>
          <w:p>
            <w:pPr>
              <w:spacing w:after="0"/>
              <w:rPr>
                <w:rFonts w:ascii="Times New Roman" w:cs="Times New Roman" w:eastAsia="Times New Roman" w:hAnsi="Times New Roman"/>
                <w:sz w:val="20"/>
                <w:szCs w:val="20"/>
                <w:color w:val="0000EE"/>
                <w:w w:val="99"/>
              </w:rPr>
            </w:pPr>
            <w:hyperlink w:anchor="page69">
              <w:r>
                <w:rPr>
                  <w:rFonts w:ascii="Times New Roman" w:cs="Times New Roman" w:eastAsia="Times New Roman" w:hAnsi="Times New Roman"/>
                  <w:sz w:val="20"/>
                  <w:szCs w:val="20"/>
                  <w:color w:val="0000EE"/>
                  <w:w w:val="99"/>
                </w:rPr>
                <w:t>Certificate of J. Kevin Willis, Chief Financial Officer of Ashland pursuant to Section 302 of the Sarbanes-Oxley Act of 2002.</w:t>
              </w:r>
            </w:hyperlink>
          </w:p>
        </w:tc>
      </w:tr>
      <w:tr>
        <w:trPr>
          <w:trHeight w:val="20"/>
        </w:trPr>
        <w:tc>
          <w:tcPr>
            <w:tcW w:w="1340" w:type="dxa"/>
            <w:vAlign w:val="bottom"/>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100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rPr>
            </w:pPr>
            <w:hyperlink w:anchor="page70">
              <w:r>
                <w:rPr>
                  <w:rFonts w:ascii="Times New Roman" w:cs="Times New Roman" w:eastAsia="Times New Roman" w:hAnsi="Times New Roman"/>
                  <w:sz w:val="20"/>
                  <w:szCs w:val="20"/>
                  <w:color w:val="0000EE"/>
                </w:rPr>
                <w:t>Certificate of William A. Wulfsohn, Chief Executive Officer of Ashland, and J. Kevin Willis, Chief Financial Officer of</w:t>
              </w:r>
            </w:hyperlink>
          </w:p>
        </w:tc>
      </w:tr>
      <w:tr>
        <w:trPr>
          <w:trHeight w:val="210"/>
        </w:trPr>
        <w:tc>
          <w:tcPr>
            <w:tcW w:w="1340" w:type="dxa"/>
            <w:vAlign w:val="bottom"/>
          </w:tcPr>
          <w:p>
            <w:pPr>
              <w:spacing w:after="0"/>
              <w:rPr>
                <w:sz w:val="18"/>
                <w:szCs w:val="18"/>
                <w:color w:val="auto"/>
              </w:rPr>
            </w:pPr>
          </w:p>
        </w:tc>
        <w:tc>
          <w:tcPr>
            <w:tcW w:w="5460" w:type="dxa"/>
            <w:vAlign w:val="bottom"/>
            <w:tcBorders>
              <w:bottom w:val="single" w:sz="8" w:color="0000EE"/>
            </w:tcBorders>
            <w:gridSpan w:val="2"/>
          </w:tcPr>
          <w:p>
            <w:pPr>
              <w:spacing w:after="0" w:line="209" w:lineRule="exact"/>
              <w:rPr>
                <w:rFonts w:ascii="Times New Roman" w:cs="Times New Roman" w:eastAsia="Times New Roman" w:hAnsi="Times New Roman"/>
                <w:sz w:val="20"/>
                <w:szCs w:val="20"/>
                <w:color w:val="0000EE"/>
                <w:w w:val="98"/>
              </w:rPr>
            </w:pPr>
            <w:hyperlink w:anchor="page70">
              <w:r>
                <w:rPr>
                  <w:rFonts w:ascii="Times New Roman" w:cs="Times New Roman" w:eastAsia="Times New Roman" w:hAnsi="Times New Roman"/>
                  <w:sz w:val="20"/>
                  <w:szCs w:val="20"/>
                  <w:color w:val="0000EE"/>
                  <w:w w:val="98"/>
                </w:rPr>
                <w:t>Ashland pursuant to Section 906 of the Sarbanes-Oxley Act of 2002.</w:t>
              </w:r>
            </w:hyperlink>
          </w:p>
        </w:tc>
        <w:tc>
          <w:tcPr>
            <w:tcW w:w="4560" w:type="dxa"/>
            <w:vAlign w:val="bottom"/>
            <w:gridSpan w:val="2"/>
          </w:tcPr>
          <w:p>
            <w:pPr>
              <w:spacing w:after="0"/>
              <w:rPr>
                <w:sz w:val="18"/>
                <w:szCs w:val="18"/>
                <w:color w:val="auto"/>
              </w:rPr>
            </w:pPr>
          </w:p>
        </w:tc>
      </w:tr>
      <w:tr>
        <w:trPr>
          <w:trHeight w:val="37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Instance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0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r>
    </w:tbl>
    <w:p>
      <w:pPr>
        <w:spacing w:after="0" w:line="268" w:lineRule="exact"/>
        <w:rPr>
          <w:sz w:val="20"/>
          <w:szCs w:val="20"/>
          <w:color w:val="auto"/>
        </w:rPr>
      </w:pPr>
    </w:p>
    <w:p>
      <w:pPr>
        <w:ind w:left="800" w:hanging="400"/>
        <w:spacing w:after="0"/>
        <w:tabs>
          <w:tab w:leader="none" w:pos="8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6" w:lineRule="exact"/>
        <w:rPr>
          <w:sz w:val="20"/>
          <w:szCs w:val="20"/>
          <w:color w:val="auto"/>
        </w:rPr>
      </w:pPr>
    </w:p>
    <w:p>
      <w:pPr>
        <w:jc w:val="both"/>
        <w:ind w:left="800" w:hanging="400"/>
        <w:spacing w:after="0" w:line="236" w:lineRule="auto"/>
        <w:tabs>
          <w:tab w:leader="none" w:pos="8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Exhibit 101 to this report are the following documents formatted in XBRL (Extensible Business Reporting Language): (i) Statements of Consolidated Comprehensive Income (Loss) for the three months ended March 31, 2019 and March 31, 2018; (ii) Condensed Consolidated Balance Sheets at March 31, 2019 and September 30, 2018; (iii) Statements of Consolidated Equity at March 31, 2019; (iv) Statements of Condensed Consolidated Cash Flows for the six months ended March 31, 2019 and March 31, 2018; and (v) Notes to Condensed Consolidated Financial Statements.</w:t>
      </w:r>
    </w:p>
    <w:p>
      <w:pPr>
        <w:spacing w:after="0" w:line="6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2"/>
          <w:szCs w:val="12"/>
          <w:color w:val="auto"/>
        </w:rPr>
        <w:t>SM</w:t>
      </w:r>
      <w:r>
        <w:rPr>
          <w:sz w:val="20"/>
          <w:szCs w:val="20"/>
          <w:color w:val="auto"/>
        </w:rPr>
        <w:tab/>
      </w:r>
      <w:r>
        <w:rPr>
          <w:rFonts w:ascii="Times New Roman" w:cs="Times New Roman" w:eastAsia="Times New Roman" w:hAnsi="Times New Roman"/>
          <w:sz w:val="14"/>
          <w:szCs w:val="14"/>
          <w:color w:val="auto"/>
        </w:rPr>
        <w:t>Service mark, Ashland or its subsidiaries, registered in various countries.</w:t>
      </w:r>
    </w:p>
    <w:p>
      <w:pPr>
        <w:spacing w:after="0" w:line="96" w:lineRule="exact"/>
        <w:rPr>
          <w:sz w:val="20"/>
          <w:szCs w:val="20"/>
          <w:color w:val="auto"/>
        </w:rPr>
      </w:pPr>
    </w:p>
    <w:p>
      <w:pPr>
        <w:ind w:left="800" w:hanging="400"/>
        <w:spacing w:after="0"/>
        <w:tabs>
          <w:tab w:leader="none" w:pos="8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firstLine="40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Ashland Global Holdings Inc.</w:t>
            </w:r>
          </w:p>
        </w:tc>
      </w:tr>
      <w:tr>
        <w:trPr>
          <w:trHeight w:val="191"/>
        </w:trPr>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0" w:type="dxa"/>
            <w:vAlign w:val="bottom"/>
          </w:tcPr>
          <w:p>
            <w:pPr>
              <w:ind w:left="2380"/>
              <w:spacing w:after="0" w:line="191" w:lineRule="exact"/>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1, 2019</w:t>
            </w:r>
          </w:p>
        </w:tc>
        <w:tc>
          <w:tcPr>
            <w:tcW w:w="254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Kevin Willis</w:t>
            </w:r>
          </w:p>
        </w:tc>
      </w:tr>
      <w:tr>
        <w:trPr>
          <w:trHeight w:val="191"/>
        </w:trPr>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Kevin Willis</w:t>
            </w:r>
          </w:p>
        </w:tc>
      </w:tr>
      <w:tr>
        <w:trPr>
          <w:trHeight w:val="216"/>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Registrant and as principal</w:t>
            </w:r>
          </w:p>
        </w:tc>
      </w:t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729"/>
        </w:trPr>
        <w:tc>
          <w:tcPr>
            <w:tcW w:w="328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William A. Wulfsohn, certify that:</w:t>
      </w:r>
    </w:p>
    <w:p>
      <w:pPr>
        <w:spacing w:after="0" w:line="108" w:lineRule="exact"/>
        <w:rPr>
          <w:sz w:val="20"/>
          <w:szCs w:val="20"/>
          <w:color w:val="auto"/>
        </w:rPr>
      </w:pPr>
    </w:p>
    <w:p>
      <w:pPr>
        <w:ind w:left="800" w:hanging="400"/>
        <w:spacing w:after="0"/>
        <w:tabs>
          <w:tab w:leader="none" w:pos="8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74" w:lineRule="auto"/>
        <w:tabs>
          <w:tab w:leader="none" w:pos="160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800" w:right="20" w:hanging="400"/>
        <w:spacing w:after="0" w:line="254" w:lineRule="auto"/>
        <w:tabs>
          <w:tab w:leader="none" w:pos="8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600" w:hanging="390"/>
        <w:spacing w:after="0" w:line="269" w:lineRule="auto"/>
        <w:tabs>
          <w:tab w:leader="none" w:pos="1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Date: May 01, 2019</w:t>
      </w:r>
    </w:p>
    <w:p>
      <w:pPr>
        <w:spacing w:after="0" w:line="2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13970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William A. Wulfsohn</w:t>
      </w:r>
    </w:p>
    <w:p>
      <w:pPr>
        <w:spacing w:after="0" w:line="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Chairman and Chief Executive Officer</w:t>
      </w:r>
    </w:p>
    <w:p>
      <w:pPr>
        <w:ind w:left="634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420"/>
          </w:cols>
          <w:pgMar w:left="240" w:top="333"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800" w:hanging="400"/>
        <w:spacing w:after="0" w:line="254" w:lineRule="auto"/>
        <w:tabs>
          <w:tab w:leader="none" w:pos="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74" w:lineRule="auto"/>
        <w:tabs>
          <w:tab w:leader="none" w:pos="160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800" w:right="20" w:hanging="400"/>
        <w:spacing w:after="0" w:line="254" w:lineRule="auto"/>
        <w:tabs>
          <w:tab w:leader="none" w:pos="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600" w:hanging="390"/>
        <w:spacing w:after="0" w:line="254" w:lineRule="auto"/>
        <w:tabs>
          <w:tab w:leader="none" w:pos="1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600" w:hanging="390"/>
        <w:spacing w:after="0" w:line="269" w:lineRule="auto"/>
        <w:tabs>
          <w:tab w:leader="none" w:pos="1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Date: May 01, 2019</w:t>
      </w:r>
    </w:p>
    <w:p>
      <w:pPr>
        <w:spacing w:after="0" w:line="2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13970</wp:posOffset>
            </wp:positionV>
            <wp:extent cx="32588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J. Kevin Willis</w:t>
      </w:r>
    </w:p>
    <w:p>
      <w:pPr>
        <w:spacing w:after="0" w:line="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Chief Financial Officer</w:t>
      </w:r>
    </w:p>
    <w:p>
      <w:pPr>
        <w:ind w:left="634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420"/>
          </w:cols>
          <w:pgMar w:left="240" w:top="333"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Ashland Global Holdings Inc. (the “Company”) on Form 10-Q for the period ended March 31, 2019,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94" w:lineRule="exact"/>
        <w:rPr>
          <w:sz w:val="20"/>
          <w:szCs w:val="20"/>
          <w:color w:val="auto"/>
        </w:rPr>
      </w:pPr>
    </w:p>
    <w:p>
      <w:pPr>
        <w:ind w:left="800" w:hanging="400"/>
        <w:spacing w:after="0"/>
        <w:tabs>
          <w:tab w:leader="none" w:pos="8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 w:lineRule="exact"/>
        <w:rPr>
          <w:rFonts w:ascii="Times New Roman" w:cs="Times New Roman" w:eastAsia="Times New Roman" w:hAnsi="Times New Roman"/>
          <w:sz w:val="20"/>
          <w:szCs w:val="20"/>
          <w:color w:val="auto"/>
        </w:rPr>
      </w:pPr>
    </w:p>
    <w:p>
      <w:pPr>
        <w:ind w:left="800" w:hanging="400"/>
        <w:spacing w:after="0" w:line="246" w:lineRule="auto"/>
        <w:tabs>
          <w:tab w:leader="none" w:pos="8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A. Wulfsohn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May 01,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 Kevin Willis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May 01, 2019</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2019-12-28T13:16:17Z</dcterms:created>
  <dcterms:modified xsi:type="dcterms:W3CDTF">2019-12-28T13:16:17Z</dcterms:modified>
</cp:coreProperties>
</file>