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113030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135255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4"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63" w:lineRule="exact"/>
        <w:rPr>
          <w:sz w:val="24"/>
          <w:szCs w:val="24"/>
          <w:color w:val="auto"/>
        </w:rPr>
      </w:pPr>
    </w:p>
    <w:p>
      <w:pPr>
        <w:ind w:left="480" w:right="260" w:hanging="459"/>
        <w:spacing w:after="0" w:line="193" w:lineRule="auto"/>
        <w:tabs>
          <w:tab w:leader="none" w:pos="480" w:val="left"/>
        </w:tabs>
        <w:numPr>
          <w:ilvl w:val="0"/>
          <w:numId w:val="1"/>
        </w:numPr>
        <w:rPr>
          <w:rFonts w:ascii="MS PGothic" w:cs="MS PGothic" w:eastAsia="MS PGothic" w:hAnsi="MS PGothic"/>
          <w:sz w:val="43"/>
          <w:szCs w:val="43"/>
          <w:color w:val="auto"/>
          <w:vertAlign w:val="superscript"/>
        </w:rPr>
      </w:pPr>
      <w:r>
        <w:rPr>
          <w:rFonts w:ascii="Arial" w:cs="Arial" w:eastAsia="Arial" w:hAnsi="Arial"/>
          <w:sz w:val="22"/>
          <w:szCs w:val="22"/>
          <w:b w:val="1"/>
          <w:bCs w:val="1"/>
          <w:color w:val="auto"/>
        </w:rPr>
        <w:t>QUARTERLY REPORT PURSUANT TO SECTION 13 OR 15(d) OF THE SECURITIES EXCHANGE ACT OF 1934</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480" w:right="260" w:hanging="459"/>
        <w:spacing w:after="0" w:line="282" w:lineRule="auto"/>
        <w:tabs>
          <w:tab w:leader="none" w:pos="4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80" w:lineRule="exact"/>
        <w:rPr>
          <w:sz w:val="24"/>
          <w:szCs w:val="24"/>
          <w:color w:val="auto"/>
        </w:rPr>
      </w:pPr>
    </w:p>
    <w:p>
      <w:pPr>
        <w:ind w:left="3700"/>
        <w:spacing w:after="0"/>
        <w:tabs>
          <w:tab w:leader="none" w:pos="66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3734435</wp:posOffset>
            </wp:positionH>
            <wp:positionV relativeFrom="paragraph">
              <wp:posOffset>-10160</wp:posOffset>
            </wp:positionV>
            <wp:extent cx="1059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333-211719</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ASHLAND GLOBAL HOLDINGS INC.</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I.R.S. No. 81-2587835</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8145 Blazer Drive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Wilmington, Delaware 19808</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(302) 995-3000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7" w:lineRule="exact"/>
        <w:rPr>
          <w:sz w:val="24"/>
          <w:szCs w:val="24"/>
          <w:color w:val="auto"/>
        </w:rPr>
      </w:pPr>
    </w:p>
    <w:tbl>
      <w:tblPr>
        <w:tblLayout w:type="fixed"/>
        <w:tblInd w:w="42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2080" w:type="dxa"/>
            <w:vAlign w:val="bottom"/>
            <w:gridSpan w:val="2"/>
          </w:tcPr>
          <w:p>
            <w:pPr>
              <w:jc w:val="center"/>
              <w:ind w:right="1040"/>
              <w:spacing w:after="0"/>
              <w:rPr>
                <w:sz w:val="20"/>
                <w:szCs w:val="20"/>
                <w:color w:val="auto"/>
              </w:rPr>
            </w:pPr>
            <w:r>
              <w:rPr>
                <w:rFonts w:ascii="Arial" w:cs="Arial" w:eastAsia="Arial" w:hAnsi="Arial"/>
                <w:sz w:val="14"/>
                <w:szCs w:val="14"/>
                <w:color w:val="auto"/>
                <w:w w:val="92"/>
              </w:rPr>
              <w:t>Title of each class</w:t>
            </w:r>
          </w:p>
        </w:tc>
        <w:tc>
          <w:tcPr>
            <w:tcW w:w="1720" w:type="dxa"/>
            <w:vAlign w:val="bottom"/>
          </w:tcPr>
          <w:p>
            <w:pPr>
              <w:spacing w:after="0"/>
              <w:rPr>
                <w:sz w:val="14"/>
                <w:szCs w:val="14"/>
                <w:color w:val="auto"/>
              </w:rPr>
            </w:pPr>
          </w:p>
        </w:tc>
        <w:tc>
          <w:tcPr>
            <w:tcW w:w="2940" w:type="dxa"/>
            <w:vAlign w:val="bottom"/>
            <w:gridSpan w:val="2"/>
          </w:tcPr>
          <w:p>
            <w:pPr>
              <w:jc w:val="center"/>
              <w:ind w:right="2000"/>
              <w:spacing w:after="0"/>
              <w:rPr>
                <w:sz w:val="20"/>
                <w:szCs w:val="20"/>
                <w:color w:val="auto"/>
              </w:rPr>
            </w:pPr>
            <w:r>
              <w:rPr>
                <w:rFonts w:ascii="Arial" w:cs="Arial" w:eastAsia="Arial" w:hAnsi="Arial"/>
                <w:sz w:val="14"/>
                <w:szCs w:val="14"/>
                <w:color w:val="auto"/>
                <w:w w:val="95"/>
              </w:rPr>
              <w:t>Trading Symbol</w:t>
            </w:r>
          </w:p>
        </w:tc>
        <w:tc>
          <w:tcPr>
            <w:tcW w:w="2540" w:type="dxa"/>
            <w:vAlign w:val="bottom"/>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20"/>
        </w:trPr>
        <w:tc>
          <w:tcPr>
            <w:tcW w:w="9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r>
      <w:tr>
        <w:trPr>
          <w:trHeight w:val="304"/>
        </w:trPr>
        <w:tc>
          <w:tcPr>
            <w:tcW w:w="302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Common Stock, par value $.01 per share</w:t>
            </w:r>
          </w:p>
        </w:tc>
        <w:tc>
          <w:tcPr>
            <w:tcW w:w="1720" w:type="dxa"/>
            <w:vAlign w:val="bottom"/>
          </w:tcPr>
          <w:p>
            <w:pPr>
              <w:spacing w:after="0"/>
              <w:rPr>
                <w:sz w:val="24"/>
                <w:szCs w:val="24"/>
                <w:color w:val="auto"/>
              </w:rPr>
            </w:pPr>
          </w:p>
        </w:tc>
        <w:tc>
          <w:tcPr>
            <w:tcW w:w="2940" w:type="dxa"/>
            <w:vAlign w:val="bottom"/>
            <w:gridSpan w:val="2"/>
          </w:tcPr>
          <w:p>
            <w:pPr>
              <w:jc w:val="center"/>
              <w:ind w:right="1980"/>
              <w:spacing w:after="0"/>
              <w:rPr>
                <w:sz w:val="20"/>
                <w:szCs w:val="20"/>
                <w:color w:val="auto"/>
              </w:rPr>
            </w:pPr>
            <w:r>
              <w:rPr>
                <w:rFonts w:ascii="Arial" w:cs="Arial" w:eastAsia="Arial" w:hAnsi="Arial"/>
                <w:sz w:val="18"/>
                <w:szCs w:val="18"/>
                <w:color w:val="auto"/>
                <w:w w:val="97"/>
              </w:rPr>
              <w:t>ASH</w:t>
            </w:r>
          </w:p>
        </w:tc>
        <w:tc>
          <w:tcPr>
            <w:tcW w:w="25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7"/>
        </w:trPr>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60" w:type="dxa"/>
            <w:vAlign w:val="bottom"/>
            <w:gridSpan w:val="3"/>
          </w:tcPr>
          <w:p>
            <w:pPr>
              <w:jc w:val="center"/>
              <w:ind w:right="300"/>
              <w:spacing w:after="0"/>
              <w:rPr>
                <w:sz w:val="20"/>
                <w:szCs w:val="20"/>
                <w:color w:val="auto"/>
              </w:rPr>
            </w:pPr>
            <w:r>
              <w:rPr>
                <w:rFonts w:ascii="Arial" w:cs="Arial" w:eastAsia="Arial" w:hAnsi="Arial"/>
                <w:sz w:val="16"/>
                <w:szCs w:val="16"/>
                <w:color w:val="auto"/>
                <w:w w:val="92"/>
              </w:rPr>
              <w:t>Securities Registered Pursuant to Section 12(g) of the Act: None</w:t>
            </w:r>
          </w:p>
        </w:tc>
        <w:tc>
          <w:tcPr>
            <w:tcW w:w="2540" w:type="dxa"/>
            <w:vAlign w:val="bottom"/>
          </w:tcPr>
          <w:p>
            <w:pPr>
              <w:spacing w:after="0"/>
              <w:rPr>
                <w:sz w:val="24"/>
                <w:szCs w:val="24"/>
                <w:color w:val="auto"/>
              </w:rPr>
            </w:pPr>
          </w:p>
        </w:tc>
      </w:tr>
    </w:tbl>
    <w:p>
      <w:pPr>
        <w:spacing w:after="0" w:line="113" w:lineRule="exact"/>
        <w:rPr>
          <w:sz w:val="24"/>
          <w:szCs w:val="24"/>
          <w:color w:val="auto"/>
        </w:rPr>
      </w:pPr>
    </w:p>
    <w:p>
      <w:pPr>
        <w:jc w:val="both"/>
        <w:spacing w:after="0" w:line="23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8" w:lineRule="exact"/>
        <w:rPr>
          <w:sz w:val="24"/>
          <w:szCs w:val="24"/>
          <w:color w:val="auto"/>
        </w:rPr>
      </w:pPr>
    </w:p>
    <w:p>
      <w:pPr>
        <w:jc w:val="both"/>
        <w:ind w:firstLine="509"/>
        <w:spacing w:after="0" w:line="23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8" w:lineRule="exact"/>
        <w:rPr>
          <w:sz w:val="24"/>
          <w:szCs w:val="24"/>
          <w:color w:val="auto"/>
        </w:rPr>
      </w:pPr>
    </w:p>
    <w:p>
      <w:pPr>
        <w:jc w:val="both"/>
        <w:ind w:firstLine="509"/>
        <w:spacing w:after="0" w:line="27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2" w:lineRule="exact"/>
        <w:rPr>
          <w:sz w:val="24"/>
          <w:szCs w:val="24"/>
          <w:color w:val="auto"/>
        </w:rPr>
      </w:pPr>
    </w:p>
    <w:tbl>
      <w:tblPr>
        <w:tblLayout w:type="fixed"/>
        <w:tblInd w:w="20" w:type="dxa"/>
        <w:tblCellMar>
          <w:top w:w="0" w:type="dxa"/>
          <w:left w:w="0" w:type="dxa"/>
          <w:bottom w:w="0" w:type="dxa"/>
          <w:right w:w="0" w:type="dxa"/>
        </w:tblCellMar>
      </w:tblPr>
      <w:tr>
        <w:trPr>
          <w:trHeight w:val="257"/>
        </w:trPr>
        <w:tc>
          <w:tcPr>
            <w:tcW w:w="26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00" w:type="dxa"/>
            <w:vAlign w:val="bottom"/>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4700" w:type="dxa"/>
            <w:vAlign w:val="bottom"/>
          </w:tcPr>
          <w:p>
            <w:pPr>
              <w:ind w:left="1800"/>
              <w:spacing w:after="0"/>
              <w:rPr>
                <w:sz w:val="20"/>
                <w:szCs w:val="20"/>
                <w:color w:val="auto"/>
              </w:rPr>
            </w:pPr>
            <w:r>
              <w:rPr>
                <w:rFonts w:ascii="Arial" w:cs="Arial" w:eastAsia="Arial" w:hAnsi="Arial"/>
                <w:sz w:val="18"/>
                <w:szCs w:val="18"/>
                <w:color w:val="auto"/>
              </w:rPr>
              <w:t>Accelerated Filer</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2640" w:type="dxa"/>
            <w:vAlign w:val="bottom"/>
          </w:tcPr>
          <w:p>
            <w:pPr>
              <w:spacing w:after="0"/>
              <w:rPr>
                <w:sz w:val="20"/>
                <w:szCs w:val="20"/>
                <w:color w:val="auto"/>
              </w:rPr>
            </w:pPr>
            <w:r>
              <w:rPr>
                <w:rFonts w:ascii="Arial" w:cs="Arial" w:eastAsia="Arial" w:hAnsi="Arial"/>
                <w:sz w:val="18"/>
                <w:szCs w:val="18"/>
                <w:color w:val="auto"/>
              </w:rPr>
              <w:t>Non-Accelerated Filer</w:t>
            </w:r>
          </w:p>
        </w:tc>
        <w:tc>
          <w:tcPr>
            <w:tcW w:w="2900" w:type="dxa"/>
            <w:vAlign w:val="bottom"/>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4700" w:type="dxa"/>
            <w:vAlign w:val="bottom"/>
          </w:tcPr>
          <w:p>
            <w:pPr>
              <w:ind w:left="1800"/>
              <w:spacing w:after="0"/>
              <w:rPr>
                <w:sz w:val="20"/>
                <w:szCs w:val="20"/>
                <w:color w:val="auto"/>
              </w:rPr>
            </w:pPr>
            <w:r>
              <w:rPr>
                <w:rFonts w:ascii="Arial" w:cs="Arial" w:eastAsia="Arial" w:hAnsi="Arial"/>
                <w:sz w:val="18"/>
                <w:szCs w:val="18"/>
                <w:color w:val="auto"/>
              </w:rPr>
              <w:t>Smaller Reporting Company</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6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700" w:type="dxa"/>
            <w:vAlign w:val="bottom"/>
          </w:tcPr>
          <w:p>
            <w:pPr>
              <w:ind w:left="1800"/>
              <w:spacing w:after="0"/>
              <w:rPr>
                <w:sz w:val="20"/>
                <w:szCs w:val="20"/>
                <w:color w:val="auto"/>
              </w:rPr>
            </w:pPr>
            <w:r>
              <w:rPr>
                <w:rFonts w:ascii="Arial" w:cs="Arial" w:eastAsia="Arial" w:hAnsi="Arial"/>
                <w:sz w:val="18"/>
                <w:szCs w:val="18"/>
                <w:color w:val="auto"/>
              </w:rPr>
              <w:t>Emerging Growth Company</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28" w:lineRule="exact"/>
        <w:rPr>
          <w:sz w:val="24"/>
          <w:szCs w:val="24"/>
          <w:color w:val="auto"/>
        </w:rPr>
      </w:pPr>
    </w:p>
    <w:p>
      <w:pPr>
        <w:jc w:val="both"/>
        <w:ind w:firstLine="509"/>
        <w:spacing w:after="0" w:line="24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ind w:left="520" w:right="1320"/>
        <w:spacing w:after="0" w:line="301"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At June 30, 2021, there were 60,733,352 shares of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 w:name="page2"/>
    <w:bookmarkEnd w:id="1"/>
    <w:p>
      <w:pPr>
        <w:jc w:val="center"/>
        <w:ind w:right="-399"/>
        <w:spacing w:after="0"/>
        <w:rPr>
          <w:sz w:val="20"/>
          <w:szCs w:val="20"/>
          <w:color w:val="auto"/>
        </w:rPr>
      </w:pPr>
      <w:r>
        <w:rPr>
          <w:rFonts w:ascii="Arial" w:cs="Arial" w:eastAsia="Arial" w:hAnsi="Arial"/>
          <w:sz w:val="20"/>
          <w:szCs w:val="20"/>
          <w:b w:val="1"/>
          <w:bCs w:val="1"/>
          <w:u w:val="single" w:color="auto"/>
          <w:color w:val="auto"/>
        </w:rPr>
        <w:t>PART I - FINANCIAL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ASHLAND GLOBAL HOLDINGS INC. AND CONSOLIDATED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STATEMENTS OF CONSOLIDATED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108585</wp:posOffset>
            </wp:positionV>
            <wp:extent cx="6626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77"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Three months ended</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Nine months ended</w:t>
            </w:r>
          </w:p>
        </w:tc>
        <w:tc>
          <w:tcPr>
            <w:tcW w:w="540" w:type="dxa"/>
            <w:vAlign w:val="bottom"/>
          </w:tcPr>
          <w:p>
            <w:pPr>
              <w:spacing w:after="0"/>
              <w:rPr>
                <w:sz w:val="20"/>
                <w:szCs w:val="20"/>
                <w:color w:val="auto"/>
              </w:rPr>
            </w:pPr>
          </w:p>
        </w:tc>
      </w:tr>
      <w:tr>
        <w:trPr>
          <w:trHeight w:val="263"/>
        </w:trPr>
        <w:tc>
          <w:tcPr>
            <w:tcW w:w="53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8"/>
                <w:szCs w:val="18"/>
                <w:color w:val="auto"/>
              </w:rPr>
              <w:t>June 30</w:t>
            </w:r>
          </w:p>
        </w:tc>
        <w:tc>
          <w:tcPr>
            <w:tcW w:w="5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8"/>
                <w:szCs w:val="18"/>
                <w:color w:val="auto"/>
              </w:rPr>
              <w:t>June 30</w:t>
            </w:r>
          </w:p>
        </w:tc>
        <w:tc>
          <w:tcPr>
            <w:tcW w:w="540" w:type="dxa"/>
            <w:vAlign w:val="bottom"/>
            <w:tcBorders>
              <w:bottom w:val="single" w:sz="8" w:color="auto"/>
            </w:tcBorders>
          </w:tcPr>
          <w:p>
            <w:pPr>
              <w:spacing w:after="0"/>
              <w:rPr>
                <w:sz w:val="22"/>
                <w:szCs w:val="22"/>
                <w:color w:val="auto"/>
              </w:rPr>
            </w:pPr>
          </w:p>
        </w:tc>
      </w:tr>
      <w:tr>
        <w:trPr>
          <w:trHeight w:val="250"/>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 except per share data - unaudited)</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2020</w:t>
            </w: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r>
      <w:tr>
        <w:trPr>
          <w:trHeight w:val="257"/>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Sales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637</w:t>
            </w:r>
          </w:p>
        </w:tc>
        <w:tc>
          <w:tcPr>
            <w:tcW w:w="780" w:type="dxa"/>
            <w:vAlign w:val="bottom"/>
            <w:gridSpan w:val="2"/>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574</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1,786</w:t>
            </w:r>
          </w:p>
        </w:tc>
        <w:tc>
          <w:tcPr>
            <w:tcW w:w="720" w:type="dxa"/>
            <w:vAlign w:val="bottom"/>
            <w:gridSpan w:val="2"/>
            <w:shd w:val="clear" w:color="auto" w:fill="CFF0FC"/>
          </w:tcPr>
          <w:p>
            <w:pPr>
              <w:jc w:val="right"/>
              <w:ind w:right="5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3"/>
              </w:rPr>
              <w:t>1,717</w:t>
            </w:r>
          </w:p>
        </w:tc>
      </w:tr>
      <w:tr>
        <w:trPr>
          <w:trHeight w:val="257"/>
        </w:trPr>
        <w:tc>
          <w:tcPr>
            <w:tcW w:w="5380" w:type="dxa"/>
            <w:vAlign w:val="bottom"/>
          </w:tcPr>
          <w:p>
            <w:pPr>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439</w:t>
            </w:r>
          </w:p>
        </w:tc>
        <w:tc>
          <w:tcPr>
            <w:tcW w:w="14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1,220</w:t>
            </w:r>
          </w:p>
        </w:tc>
        <w:tc>
          <w:tcPr>
            <w:tcW w:w="12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1,171</w:t>
            </w:r>
          </w:p>
        </w:tc>
      </w:tr>
      <w:tr>
        <w:trPr>
          <w:trHeight w:val="25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566</w:t>
            </w: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546</w:t>
            </w:r>
          </w:p>
        </w:tc>
      </w:tr>
      <w:tr>
        <w:trPr>
          <w:trHeight w:val="256"/>
        </w:trPr>
        <w:tc>
          <w:tcPr>
            <w:tcW w:w="5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7"/>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w:t>
            </w: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FF0FC"/>
          </w:tcPr>
          <w:p>
            <w:pPr>
              <w:spacing w:after="0"/>
              <w:rPr>
                <w:sz w:val="22"/>
                <w:szCs w:val="22"/>
                <w:color w:val="auto"/>
              </w:rPr>
            </w:pPr>
          </w:p>
        </w:tc>
        <w:tc>
          <w:tcPr>
            <w:tcW w:w="640" w:type="dxa"/>
            <w:vAlign w:val="bottom"/>
            <w:shd w:val="clear" w:color="auto" w:fill="CFF0FC"/>
          </w:tcPr>
          <w:p>
            <w:pPr>
              <w:spacing w:after="0"/>
              <w:rPr>
                <w:sz w:val="22"/>
                <w:szCs w:val="22"/>
                <w:color w:val="auto"/>
              </w:rPr>
            </w:pPr>
          </w:p>
        </w:tc>
        <w:tc>
          <w:tcPr>
            <w:tcW w:w="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5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315</w:t>
            </w:r>
          </w:p>
        </w:tc>
      </w:tr>
      <w:tr>
        <w:trPr>
          <w:trHeight w:val="250"/>
        </w:trPr>
        <w:tc>
          <w:tcPr>
            <w:tcW w:w="538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6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Intangibles amortization expense</w:t>
            </w: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FF0FC"/>
          </w:tcPr>
          <w:p>
            <w:pPr>
              <w:spacing w:after="0"/>
              <w:rPr>
                <w:sz w:val="22"/>
                <w:szCs w:val="22"/>
                <w:color w:val="auto"/>
              </w:rPr>
            </w:pPr>
          </w:p>
        </w:tc>
        <w:tc>
          <w:tcPr>
            <w:tcW w:w="640" w:type="dxa"/>
            <w:vAlign w:val="bottom"/>
            <w:shd w:val="clear" w:color="auto" w:fill="CFF0FC"/>
          </w:tcPr>
          <w:p>
            <w:pPr>
              <w:spacing w:after="0"/>
              <w:rPr>
                <w:sz w:val="22"/>
                <w:szCs w:val="22"/>
                <w:color w:val="auto"/>
              </w:rPr>
            </w:pPr>
          </w:p>
        </w:tc>
        <w:tc>
          <w:tcPr>
            <w:tcW w:w="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5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63</w:t>
            </w:r>
          </w:p>
        </w:tc>
      </w:tr>
      <w:tr>
        <w:trPr>
          <w:trHeight w:val="250"/>
        </w:trPr>
        <w:tc>
          <w:tcPr>
            <w:tcW w:w="5380" w:type="dxa"/>
            <w:vAlign w:val="bottom"/>
          </w:tcPr>
          <w:p>
            <w:pPr>
              <w:spacing w:after="0"/>
              <w:rPr>
                <w:sz w:val="20"/>
                <w:szCs w:val="20"/>
                <w:color w:val="auto"/>
              </w:rPr>
            </w:pPr>
            <w:r>
              <w:rPr>
                <w:rFonts w:ascii="Arial" w:cs="Arial" w:eastAsia="Arial" w:hAnsi="Arial"/>
                <w:sz w:val="18"/>
                <w:szCs w:val="18"/>
                <w:color w:val="auto"/>
              </w:rPr>
              <w:t>Equity and other income</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63"/>
        </w:trPr>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 impairment</w:t>
            </w:r>
          </w:p>
        </w:tc>
        <w:tc>
          <w:tcPr>
            <w:tcW w:w="28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spacing w:after="0"/>
              <w:rPr>
                <w:sz w:val="22"/>
                <w:szCs w:val="22"/>
                <w:color w:val="auto"/>
              </w:rPr>
            </w:pPr>
          </w:p>
        </w:tc>
        <w:tc>
          <w:tcPr>
            <w:tcW w:w="5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530</w:t>
            </w:r>
          </w:p>
        </w:tc>
      </w:tr>
      <w:tr>
        <w:trPr>
          <w:trHeight w:val="243"/>
        </w:trPr>
        <w:tc>
          <w:tcPr>
            <w:tcW w:w="5380" w:type="dxa"/>
            <w:vAlign w:val="bottom"/>
          </w:tcPr>
          <w:p>
            <w:pPr>
              <w:spacing w:after="0"/>
              <w:rPr>
                <w:sz w:val="20"/>
                <w:szCs w:val="20"/>
                <w:color w:val="auto"/>
              </w:rPr>
            </w:pPr>
            <w:r>
              <w:rPr>
                <w:rFonts w:ascii="Arial" w:cs="Arial" w:eastAsia="Arial" w:hAnsi="Arial"/>
                <w:sz w:val="18"/>
                <w:szCs w:val="18"/>
                <w:color w:val="auto"/>
              </w:rPr>
              <w:t>Operating income (loss)</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(403 )</w:t>
            </w:r>
          </w:p>
        </w:tc>
      </w:tr>
      <w:tr>
        <w:trPr>
          <w:trHeight w:val="263"/>
        </w:trPr>
        <w:tc>
          <w:tcPr>
            <w:tcW w:w="53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64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r>
      <w:tr>
        <w:trPr>
          <w:trHeight w:val="250"/>
        </w:trPr>
        <w:tc>
          <w:tcPr>
            <w:tcW w:w="5380" w:type="dxa"/>
            <w:vAlign w:val="bottom"/>
          </w:tcPr>
          <w:p>
            <w:pPr>
              <w:spacing w:after="0"/>
              <w:rPr>
                <w:sz w:val="20"/>
                <w:szCs w:val="20"/>
                <w:color w:val="auto"/>
              </w:rPr>
            </w:pPr>
            <w:r>
              <w:rPr>
                <w:rFonts w:ascii="Arial" w:cs="Arial" w:eastAsia="Arial" w:hAnsi="Arial"/>
                <w:sz w:val="18"/>
                <w:szCs w:val="18"/>
                <w:color w:val="auto"/>
              </w:rPr>
              <w:t>Net interest and other expense (income)</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113</w:t>
            </w:r>
          </w:p>
        </w:tc>
      </w:tr>
      <w:tr>
        <w:trPr>
          <w:trHeight w:val="26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Other net periodic benefit income</w:t>
            </w: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640" w:type="dxa"/>
            <w:vAlign w:val="bottom"/>
            <w:shd w:val="clear" w:color="auto" w:fill="CFF0FC"/>
          </w:tcPr>
          <w:p>
            <w:pPr>
              <w:spacing w:after="0"/>
              <w:rPr>
                <w:sz w:val="22"/>
                <w:szCs w:val="22"/>
                <w:color w:val="auto"/>
              </w:rPr>
            </w:pPr>
          </w:p>
        </w:tc>
        <w:tc>
          <w:tcPr>
            <w:tcW w:w="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5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r>
      <w:tr>
        <w:trPr>
          <w:trHeight w:val="257"/>
        </w:trPr>
        <w:tc>
          <w:tcPr>
            <w:tcW w:w="5380" w:type="dxa"/>
            <w:vAlign w:val="bottom"/>
          </w:tcPr>
          <w:p>
            <w:pPr>
              <w:spacing w:after="0"/>
              <w:rPr>
                <w:sz w:val="20"/>
                <w:szCs w:val="20"/>
                <w:color w:val="auto"/>
              </w:rPr>
            </w:pPr>
            <w:r>
              <w:rPr>
                <w:rFonts w:ascii="Arial" w:cs="Arial" w:eastAsia="Arial" w:hAnsi="Arial"/>
                <w:sz w:val="18"/>
                <w:szCs w:val="18"/>
                <w:color w:val="auto"/>
              </w:rPr>
              <w:t>Net income on acquisitions and divestitures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r>
      <w:tr>
        <w:trPr>
          <w:trHeight w:val="25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(512 )</w:t>
            </w:r>
          </w:p>
        </w:tc>
      </w:tr>
      <w:tr>
        <w:trPr>
          <w:trHeight w:val="257"/>
        </w:trPr>
        <w:tc>
          <w:tcPr>
            <w:tcW w:w="53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(24 )</w:t>
            </w:r>
          </w:p>
        </w:tc>
        <w:tc>
          <w:tcPr>
            <w:tcW w:w="14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r>
      <w:tr>
        <w:trPr>
          <w:trHeight w:val="25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continuing operations</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(491 )</w:t>
            </w:r>
          </w:p>
        </w:tc>
      </w:tr>
      <w:tr>
        <w:trPr>
          <w:trHeight w:val="257"/>
        </w:trPr>
        <w:tc>
          <w:tcPr>
            <w:tcW w:w="5380" w:type="dxa"/>
            <w:vAlign w:val="bottom"/>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14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(22 )</w:t>
            </w:r>
          </w:p>
        </w:tc>
      </w:tr>
      <w:tr>
        <w:trPr>
          <w:trHeight w:val="29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80</w:t>
            </w:r>
          </w:p>
        </w:tc>
        <w:tc>
          <w:tcPr>
            <w:tcW w:w="780" w:type="dxa"/>
            <w:vAlign w:val="bottom"/>
            <w:gridSpan w:val="2"/>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37</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176</w:t>
            </w:r>
          </w:p>
        </w:tc>
        <w:tc>
          <w:tcPr>
            <w:tcW w:w="720" w:type="dxa"/>
            <w:vAlign w:val="bottom"/>
            <w:gridSpan w:val="2"/>
            <w:shd w:val="clear" w:color="auto" w:fill="CFF0FC"/>
          </w:tcPr>
          <w:p>
            <w:pPr>
              <w:jc w:val="right"/>
              <w:ind w:right="5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(513 )</w:t>
            </w:r>
          </w:p>
        </w:tc>
      </w:tr>
      <w:tr>
        <w:trPr>
          <w:trHeight w:val="237"/>
        </w:trPr>
        <w:tc>
          <w:tcPr>
            <w:tcW w:w="538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r>
      <w:tr>
        <w:trPr>
          <w:trHeight w:val="257"/>
        </w:trPr>
        <w:tc>
          <w:tcPr>
            <w:tcW w:w="5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 SHARE DATA</w:t>
            </w: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64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r>
      <w:tr>
        <w:trPr>
          <w:trHeight w:val="250"/>
        </w:trPr>
        <w:tc>
          <w:tcPr>
            <w:tcW w:w="5380" w:type="dxa"/>
            <w:vAlign w:val="bottom"/>
          </w:tcPr>
          <w:p>
            <w:pPr>
              <w:spacing w:after="0"/>
              <w:rPr>
                <w:sz w:val="20"/>
                <w:szCs w:val="20"/>
                <w:color w:val="auto"/>
              </w:rPr>
            </w:pPr>
            <w:r>
              <w:rPr>
                <w:rFonts w:ascii="Arial" w:cs="Arial" w:eastAsia="Arial" w:hAnsi="Arial"/>
                <w:sz w:val="18"/>
                <w:szCs w:val="18"/>
                <w:color w:val="auto"/>
              </w:rPr>
              <w:t>Basic earnings per share - Note M</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63"/>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(loss) from continuing operations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1.42</w:t>
            </w:r>
          </w:p>
        </w:tc>
        <w:tc>
          <w:tcPr>
            <w:tcW w:w="780" w:type="dxa"/>
            <w:vAlign w:val="bottom"/>
            <w:gridSpan w:val="2"/>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0.82</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3.13</w:t>
            </w:r>
          </w:p>
        </w:tc>
        <w:tc>
          <w:tcPr>
            <w:tcW w:w="720" w:type="dxa"/>
            <w:vAlign w:val="bottom"/>
            <w:gridSpan w:val="2"/>
            <w:shd w:val="clear" w:color="auto" w:fill="CFF0FC"/>
          </w:tcPr>
          <w:p>
            <w:pPr>
              <w:jc w:val="right"/>
              <w:ind w:right="5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(8.11 )</w:t>
            </w:r>
          </w:p>
        </w:tc>
      </w:tr>
      <w:tr>
        <w:trPr>
          <w:trHeight w:val="256"/>
        </w:trPr>
        <w:tc>
          <w:tcPr>
            <w:tcW w:w="5380" w:type="dxa"/>
            <w:vAlign w:val="bottom"/>
          </w:tcPr>
          <w:p>
            <w:pPr>
              <w:ind w:left="260"/>
              <w:spacing w:after="0"/>
              <w:rPr>
                <w:sz w:val="20"/>
                <w:szCs w:val="20"/>
                <w:color w:val="auto"/>
              </w:rPr>
            </w:pPr>
            <w:r>
              <w:rPr>
                <w:rFonts w:ascii="Arial" w:cs="Arial" w:eastAsia="Arial" w:hAnsi="Arial"/>
                <w:sz w:val="18"/>
                <w:szCs w:val="18"/>
                <w:color w:val="auto"/>
              </w:rPr>
              <w:t>Income (loss) from discontinued operations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(0.11 )</w:t>
            </w:r>
          </w:p>
        </w:tc>
        <w:tc>
          <w:tcPr>
            <w:tcW w:w="14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(0.21 )</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(0.23 )</w:t>
            </w:r>
          </w:p>
        </w:tc>
        <w:tc>
          <w:tcPr>
            <w:tcW w:w="12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(0.36 )</w:t>
            </w:r>
          </w:p>
        </w:tc>
      </w:tr>
      <w:tr>
        <w:trPr>
          <w:trHeight w:val="290"/>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1.31</w:t>
            </w:r>
          </w:p>
        </w:tc>
        <w:tc>
          <w:tcPr>
            <w:tcW w:w="780" w:type="dxa"/>
            <w:vAlign w:val="bottom"/>
            <w:gridSpan w:val="2"/>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0.61</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2.90</w:t>
            </w:r>
          </w:p>
        </w:tc>
        <w:tc>
          <w:tcPr>
            <w:tcW w:w="720" w:type="dxa"/>
            <w:vAlign w:val="bottom"/>
            <w:gridSpan w:val="2"/>
            <w:shd w:val="clear" w:color="auto" w:fill="CFF0FC"/>
          </w:tcPr>
          <w:p>
            <w:pPr>
              <w:jc w:val="right"/>
              <w:ind w:right="5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(8.47 )</w:t>
            </w:r>
          </w:p>
        </w:tc>
      </w:tr>
      <w:tr>
        <w:trPr>
          <w:trHeight w:val="237"/>
        </w:trPr>
        <w:tc>
          <w:tcPr>
            <w:tcW w:w="538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r>
      <w:tr>
        <w:trPr>
          <w:trHeight w:val="257"/>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per share - Note M</w:t>
            </w: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64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r>
      <w:tr>
        <w:trPr>
          <w:trHeight w:val="250"/>
        </w:trPr>
        <w:tc>
          <w:tcPr>
            <w:tcW w:w="5380" w:type="dxa"/>
            <w:vAlign w:val="bottom"/>
          </w:tcPr>
          <w:p>
            <w:pPr>
              <w:ind w:left="260"/>
              <w:spacing w:after="0"/>
              <w:rPr>
                <w:sz w:val="20"/>
                <w:szCs w:val="20"/>
                <w:color w:val="auto"/>
              </w:rPr>
            </w:pPr>
            <w:r>
              <w:rPr>
                <w:rFonts w:ascii="Arial" w:cs="Arial" w:eastAsia="Arial" w:hAnsi="Arial"/>
                <w:sz w:val="18"/>
                <w:szCs w:val="18"/>
                <w:color w:val="auto"/>
              </w:rPr>
              <w:t>Income (loss) from continuing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1.40</w:t>
            </w:r>
          </w:p>
        </w:tc>
        <w:tc>
          <w:tcPr>
            <w:tcW w:w="7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0.81</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3.09</w:t>
            </w:r>
          </w:p>
        </w:tc>
        <w:tc>
          <w:tcPr>
            <w:tcW w:w="7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6"/>
              </w:rPr>
              <w:t>(8.11 )</w:t>
            </w:r>
          </w:p>
        </w:tc>
      </w:tr>
      <w:tr>
        <w:trPr>
          <w:trHeight w:val="263"/>
        </w:trPr>
        <w:tc>
          <w:tcPr>
            <w:tcW w:w="53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Income (loss) from discontinued operations</w:t>
            </w:r>
          </w:p>
        </w:tc>
        <w:tc>
          <w:tcPr>
            <w:tcW w:w="28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(0.11 )</w:t>
            </w:r>
          </w:p>
        </w:tc>
        <w:tc>
          <w:tcPr>
            <w:tcW w:w="140" w:type="dxa"/>
            <w:vAlign w:val="bottom"/>
            <w:tcBorders>
              <w:bottom w:val="single" w:sz="8" w:color="CFF0FC"/>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spacing w:after="0"/>
              <w:rPr>
                <w:sz w:val="22"/>
                <w:szCs w:val="22"/>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(0.20 )</w:t>
            </w:r>
          </w:p>
        </w:tc>
        <w:tc>
          <w:tcPr>
            <w:tcW w:w="1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(0.22 )</w:t>
            </w:r>
          </w:p>
        </w:tc>
        <w:tc>
          <w:tcPr>
            <w:tcW w:w="120" w:type="dxa"/>
            <w:vAlign w:val="bottom"/>
            <w:tcBorders>
              <w:bottom w:val="single" w:sz="8" w:color="CFF0FC"/>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(0.36 )</w:t>
            </w:r>
          </w:p>
        </w:tc>
      </w:tr>
      <w:tr>
        <w:trPr>
          <w:trHeight w:val="250"/>
        </w:trPr>
        <w:tc>
          <w:tcPr>
            <w:tcW w:w="5380" w:type="dxa"/>
            <w:vAlign w:val="bottom"/>
          </w:tcPr>
          <w:p>
            <w:pPr>
              <w:ind w:left="26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1.29</w:t>
            </w:r>
          </w:p>
        </w:tc>
        <w:tc>
          <w:tcPr>
            <w:tcW w:w="7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0.61</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2.87</w:t>
            </w:r>
          </w:p>
        </w:tc>
        <w:tc>
          <w:tcPr>
            <w:tcW w:w="7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6"/>
              </w:rPr>
              <w:t>(8.47 )</w:t>
            </w:r>
          </w:p>
        </w:tc>
      </w:tr>
      <w:tr>
        <w:trPr>
          <w:trHeight w:val="20"/>
        </w:trPr>
        <w:tc>
          <w:tcPr>
            <w:tcW w:w="5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3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r>
      <w:tr>
        <w:trPr>
          <w:trHeight w:val="250"/>
        </w:trPr>
        <w:tc>
          <w:tcPr>
            <w:tcW w:w="5380" w:type="dxa"/>
            <w:vAlign w:val="bottom"/>
          </w:tcPr>
          <w:p>
            <w:pPr>
              <w:spacing w:after="0"/>
              <w:rPr>
                <w:sz w:val="20"/>
                <w:szCs w:val="20"/>
                <w:color w:val="auto"/>
              </w:rPr>
            </w:pPr>
            <w:r>
              <w:rPr>
                <w:rFonts w:ascii="Arial" w:cs="Arial" w:eastAsia="Arial" w:hAnsi="Arial"/>
                <w:sz w:val="18"/>
                <w:szCs w:val="18"/>
                <w:b w:val="1"/>
                <w:bCs w:val="1"/>
                <w:color w:val="auto"/>
              </w:rPr>
              <w:t>COMPREHENSIVE INCOME (LOSS)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6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80</w:t>
            </w:r>
          </w:p>
        </w:tc>
        <w:tc>
          <w:tcPr>
            <w:tcW w:w="780" w:type="dxa"/>
            <w:vAlign w:val="bottom"/>
            <w:gridSpan w:val="2"/>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37</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176</w:t>
            </w:r>
          </w:p>
        </w:tc>
        <w:tc>
          <w:tcPr>
            <w:tcW w:w="720" w:type="dxa"/>
            <w:vAlign w:val="bottom"/>
            <w:gridSpan w:val="2"/>
            <w:shd w:val="clear" w:color="auto" w:fill="CFF0FC"/>
          </w:tcPr>
          <w:p>
            <w:pPr>
              <w:jc w:val="right"/>
              <w:ind w:right="5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(513 )</w:t>
            </w:r>
          </w:p>
        </w:tc>
      </w:tr>
      <w:tr>
        <w:trPr>
          <w:trHeight w:val="250"/>
        </w:trPr>
        <w:tc>
          <w:tcPr>
            <w:tcW w:w="538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63"/>
        </w:trPr>
        <w:tc>
          <w:tcPr>
            <w:tcW w:w="53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Unrealized translation gain (loss)</w:t>
            </w:r>
          </w:p>
        </w:tc>
        <w:tc>
          <w:tcPr>
            <w:tcW w:w="28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FF0FC"/>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spacing w:after="0"/>
              <w:rPr>
                <w:sz w:val="22"/>
                <w:szCs w:val="22"/>
                <w:color w:val="auto"/>
              </w:rPr>
            </w:pPr>
          </w:p>
        </w:tc>
        <w:tc>
          <w:tcPr>
            <w:tcW w:w="5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FF0FC"/>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(7 )</w:t>
            </w:r>
          </w:p>
        </w:tc>
      </w:tr>
      <w:tr>
        <w:trPr>
          <w:trHeight w:val="250"/>
        </w:trPr>
        <w:tc>
          <w:tcPr>
            <w:tcW w:w="5380" w:type="dxa"/>
            <w:vAlign w:val="bottom"/>
          </w:tcPr>
          <w:p>
            <w:pPr>
              <w:ind w:left="26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(7 )</w:t>
            </w:r>
          </w:p>
        </w:tc>
      </w:tr>
      <w:tr>
        <w:trPr>
          <w:trHeight w:val="29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103</w:t>
            </w:r>
          </w:p>
        </w:tc>
        <w:tc>
          <w:tcPr>
            <w:tcW w:w="780" w:type="dxa"/>
            <w:vAlign w:val="bottom"/>
            <w:gridSpan w:val="2"/>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44</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213</w:t>
            </w:r>
          </w:p>
        </w:tc>
        <w:tc>
          <w:tcPr>
            <w:tcW w:w="720" w:type="dxa"/>
            <w:vAlign w:val="bottom"/>
            <w:gridSpan w:val="2"/>
            <w:shd w:val="clear" w:color="auto" w:fill="CFF0FC"/>
          </w:tcPr>
          <w:p>
            <w:pPr>
              <w:jc w:val="right"/>
              <w:ind w:right="5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(520 )</w:t>
            </w:r>
          </w:p>
        </w:tc>
      </w:tr>
      <w:tr>
        <w:trPr>
          <w:trHeight w:val="237"/>
        </w:trPr>
        <w:tc>
          <w:tcPr>
            <w:tcW w:w="5380" w:type="dxa"/>
            <w:vAlign w:val="bottom"/>
            <w:tcBorders>
              <w:top w:val="single" w:sz="8" w:color="CFF0FC"/>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CFF0FC"/>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CFF0FC"/>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CFF0FC"/>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-4899660</wp:posOffset>
            </wp:positionV>
            <wp:extent cx="8572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-4899660</wp:posOffset>
            </wp:positionV>
            <wp:extent cx="7683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-4899660</wp:posOffset>
            </wp:positionV>
            <wp:extent cx="7747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-3239770</wp:posOffset>
            </wp:positionV>
            <wp:extent cx="857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-3222625</wp:posOffset>
            </wp:positionV>
            <wp:extent cx="857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-3239770</wp:posOffset>
            </wp:positionV>
            <wp:extent cx="768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-3222625</wp:posOffset>
            </wp:positionV>
            <wp:extent cx="768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-3239770</wp:posOffset>
            </wp:positionV>
            <wp:extent cx="774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-3222625</wp:posOffset>
            </wp:positionV>
            <wp:extent cx="77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-2228215</wp:posOffset>
            </wp:positionV>
            <wp:extent cx="857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-2211070</wp:posOffset>
            </wp:positionV>
            <wp:extent cx="857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-2228215</wp:posOffset>
            </wp:positionV>
            <wp:extent cx="768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-2211070</wp:posOffset>
            </wp:positionV>
            <wp:extent cx="768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-2228215</wp:posOffset>
            </wp:positionV>
            <wp:extent cx="774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-2211070</wp:posOffset>
            </wp:positionV>
            <wp:extent cx="774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-1548130</wp:posOffset>
            </wp:positionV>
            <wp:extent cx="8572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-1548130</wp:posOffset>
            </wp:positionV>
            <wp:extent cx="7683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-1548130</wp:posOffset>
            </wp:positionV>
            <wp:extent cx="7747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-536575</wp:posOffset>
            </wp:positionV>
            <wp:extent cx="8572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-536575</wp:posOffset>
            </wp:positionV>
            <wp:extent cx="7683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-536575</wp:posOffset>
            </wp:positionV>
            <wp:extent cx="7747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-196215</wp:posOffset>
            </wp:positionV>
            <wp:extent cx="857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-179070</wp:posOffset>
            </wp:positionV>
            <wp:extent cx="857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-196215</wp:posOffset>
            </wp:positionV>
            <wp:extent cx="768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-179070</wp:posOffset>
            </wp:positionV>
            <wp:extent cx="768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-196215</wp:posOffset>
            </wp:positionV>
            <wp:extent cx="7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-179070</wp:posOffset>
            </wp:positionV>
            <wp:extent cx="774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CONDENSED CONSOLIDATED FINANCIAL STATEMENTS.</w:t>
      </w:r>
    </w:p>
    <w:p>
      <w:pPr>
        <w:spacing w:after="0" w:line="13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30" w:right="739" w:bottom="1440" w:gutter="0" w:footer="0" w:header="0"/>
        </w:sectPr>
      </w:pPr>
    </w:p>
    <w:bookmarkStart w:id="2" w:name="page3"/>
    <w:bookmarkEnd w:id="2"/>
    <w:p>
      <w:pPr>
        <w:ind w:right="4160"/>
        <w:spacing w:after="0" w:line="295" w:lineRule="auto"/>
        <w:rPr>
          <w:sz w:val="20"/>
          <w:szCs w:val="20"/>
          <w:color w:val="auto"/>
        </w:rPr>
      </w:pPr>
      <w:r>
        <w:rPr>
          <w:rFonts w:ascii="Arial" w:cs="Arial" w:eastAsia="Arial" w:hAnsi="Arial"/>
          <w:sz w:val="20"/>
          <w:szCs w:val="20"/>
          <w:b w:val="1"/>
          <w:bCs w:val="1"/>
          <w:color w:val="auto"/>
        </w:rPr>
        <w:t>ASHLAND GLOBAL HOLDINGS INC. AND CONSOLIDATED SUBSIDIARIES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58420</wp:posOffset>
            </wp:positionV>
            <wp:extent cx="70548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98" w:lineRule="exact"/>
        <w:rPr>
          <w:sz w:val="20"/>
          <w:szCs w:val="20"/>
          <w:color w:val="auto"/>
        </w:rPr>
      </w:pPr>
    </w:p>
    <w:tbl>
      <w:tblPr>
        <w:tblLayout w:type="fixed"/>
        <w:tblInd w:w="80" w:type="dxa"/>
        <w:tblCellMar>
          <w:top w:w="0" w:type="dxa"/>
          <w:left w:w="0" w:type="dxa"/>
          <w:bottom w:w="0" w:type="dxa"/>
          <w:right w:w="0" w:type="dxa"/>
        </w:tblCellMar>
      </w:tblPr>
      <w:tr>
        <w:trPr>
          <w:trHeight w:val="229"/>
        </w:trPr>
        <w:tc>
          <w:tcPr>
            <w:tcW w:w="6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June 30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September 30</w:t>
            </w:r>
          </w:p>
        </w:tc>
      </w:tr>
      <w:tr>
        <w:trPr>
          <w:trHeight w:val="230"/>
        </w:trPr>
        <w:tc>
          <w:tcPr>
            <w:tcW w:w="76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(In millions - unaudited)</w:t>
            </w:r>
          </w:p>
        </w:tc>
        <w:tc>
          <w:tcPr>
            <w:tcW w:w="5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r>
      <w:tr>
        <w:trPr>
          <w:trHeight w:val="230"/>
        </w:trPr>
        <w:tc>
          <w:tcPr>
            <w:tcW w:w="68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w w:val="91"/>
              </w:rPr>
              <w:t>ASSETS</w:t>
            </w:r>
          </w:p>
        </w:tc>
        <w:tc>
          <w:tcPr>
            <w:tcW w:w="6920" w:type="dxa"/>
            <w:vAlign w:val="bottom"/>
            <w:tcBorders>
              <w:bottom w:val="single" w:sz="8" w:color="CFF0FC"/>
            </w:tcBorders>
            <w:gridSpan w:val="2"/>
            <w:shd w:val="clear" w:color="auto" w:fill="CFF0FC"/>
          </w:tcPr>
          <w:p>
            <w:pPr>
              <w:spacing w:after="0"/>
              <w:rPr>
                <w:sz w:val="20"/>
                <w:szCs w:val="20"/>
                <w:color w:val="auto"/>
              </w:rPr>
            </w:pPr>
          </w:p>
        </w:tc>
        <w:tc>
          <w:tcPr>
            <w:tcW w:w="5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shd w:val="clear" w:color="auto" w:fill="CFF0FC"/>
          </w:tcPr>
          <w:p>
            <w:pPr>
              <w:spacing w:after="0"/>
              <w:rPr>
                <w:sz w:val="20"/>
                <w:szCs w:val="20"/>
                <w:color w:val="auto"/>
              </w:rPr>
            </w:pPr>
          </w:p>
        </w:tc>
      </w:tr>
      <w:tr>
        <w:trPr>
          <w:trHeight w:val="250"/>
        </w:trPr>
        <w:tc>
          <w:tcPr>
            <w:tcW w:w="760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63"/>
        </w:trPr>
        <w:tc>
          <w:tcPr>
            <w:tcW w:w="76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262</w:t>
            </w: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454</w:t>
            </w:r>
          </w:p>
        </w:tc>
      </w:tr>
      <w:tr>
        <w:trPr>
          <w:trHeight w:val="250"/>
        </w:trPr>
        <w:tc>
          <w:tcPr>
            <w:tcW w:w="7600" w:type="dxa"/>
            <w:vAlign w:val="bottom"/>
            <w:gridSpan w:val="3"/>
          </w:tcPr>
          <w:p>
            <w:pPr>
              <w:spacing w:after="0"/>
              <w:rPr>
                <w:sz w:val="20"/>
                <w:szCs w:val="20"/>
                <w:color w:val="auto"/>
              </w:rPr>
            </w:pPr>
            <w:r>
              <w:rPr>
                <w:rFonts w:ascii="Arial" w:cs="Arial" w:eastAsia="Arial" w:hAnsi="Arial"/>
                <w:sz w:val="18"/>
                <w:szCs w:val="18"/>
                <w:color w:val="auto"/>
              </w:rPr>
              <w:t xml:space="preserve">Accounts receivable </w:t>
            </w:r>
            <w:r>
              <w:rPr>
                <w:rFonts w:ascii="Arial" w:cs="Arial" w:eastAsia="Arial" w:hAnsi="Arial"/>
                <w:sz w:val="14"/>
                <w:szCs w:val="14"/>
                <w:color w:val="auto"/>
              </w:rPr>
              <w:t>(a)</w:t>
            </w:r>
            <w:r>
              <w:rPr>
                <w:rFonts w:ascii="Arial" w:cs="Arial" w:eastAsia="Arial" w:hAnsi="Arial"/>
                <w:sz w:val="18"/>
                <w:szCs w:val="18"/>
                <w:color w:val="auto"/>
              </w:rPr>
              <w:t xml:space="preserve"> - Note H</w:t>
            </w:r>
          </w:p>
        </w:tc>
        <w:tc>
          <w:tcPr>
            <w:tcW w:w="54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384</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471</w:t>
            </w:r>
          </w:p>
        </w:tc>
      </w:tr>
      <w:tr>
        <w:trPr>
          <w:trHeight w:val="263"/>
        </w:trPr>
        <w:tc>
          <w:tcPr>
            <w:tcW w:w="76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Inventories - Note F</w:t>
            </w:r>
          </w:p>
        </w:tc>
        <w:tc>
          <w:tcPr>
            <w:tcW w:w="540" w:type="dxa"/>
            <w:vAlign w:val="bottom"/>
            <w:shd w:val="clear" w:color="auto" w:fill="CFF0FC"/>
          </w:tcPr>
          <w:p>
            <w:pPr>
              <w:spacing w:after="0"/>
              <w:rPr>
                <w:sz w:val="22"/>
                <w:szCs w:val="22"/>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517</w:t>
            </w:r>
          </w:p>
        </w:tc>
        <w:tc>
          <w:tcPr>
            <w:tcW w:w="1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529</w:t>
            </w:r>
          </w:p>
        </w:tc>
      </w:tr>
      <w:tr>
        <w:trPr>
          <w:trHeight w:val="250"/>
        </w:trPr>
        <w:tc>
          <w:tcPr>
            <w:tcW w:w="760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54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87</w:t>
            </w:r>
          </w:p>
        </w:tc>
      </w:tr>
      <w:tr>
        <w:trPr>
          <w:trHeight w:val="263"/>
        </w:trPr>
        <w:tc>
          <w:tcPr>
            <w:tcW w:w="760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Current assets held for sale - Note B</w:t>
            </w:r>
          </w:p>
        </w:tc>
        <w:tc>
          <w:tcPr>
            <w:tcW w:w="5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r>
      <w:tr>
        <w:trPr>
          <w:trHeight w:val="243"/>
        </w:trPr>
        <w:tc>
          <w:tcPr>
            <w:tcW w:w="7600" w:type="dxa"/>
            <w:vAlign w:val="bottom"/>
            <w:gridSpan w:val="3"/>
          </w:tcPr>
          <w:p>
            <w:pPr>
              <w:ind w:left="260"/>
              <w:spacing w:after="0"/>
              <w:rPr>
                <w:sz w:val="20"/>
                <w:szCs w:val="20"/>
                <w:color w:val="auto"/>
              </w:rPr>
            </w:pPr>
            <w:r>
              <w:rPr>
                <w:rFonts w:ascii="Arial" w:cs="Arial" w:eastAsia="Arial" w:hAnsi="Arial"/>
                <w:sz w:val="18"/>
                <w:szCs w:val="18"/>
                <w:color w:val="auto"/>
              </w:rPr>
              <w:t>Total current assets</w:t>
            </w:r>
          </w:p>
        </w:tc>
        <w:tc>
          <w:tcPr>
            <w:tcW w:w="54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1,235</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1,547</w:t>
            </w:r>
          </w:p>
        </w:tc>
      </w:tr>
      <w:tr>
        <w:trPr>
          <w:trHeight w:val="263"/>
        </w:trPr>
        <w:tc>
          <w:tcPr>
            <w:tcW w:w="760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Noncurrent assets</w:t>
            </w:r>
          </w:p>
        </w:tc>
        <w:tc>
          <w:tcPr>
            <w:tcW w:w="54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r>
      <w:tr>
        <w:trPr>
          <w:trHeight w:val="250"/>
        </w:trPr>
        <w:tc>
          <w:tcPr>
            <w:tcW w:w="7600" w:type="dxa"/>
            <w:vAlign w:val="bottom"/>
            <w:gridSpan w:val="3"/>
          </w:tcPr>
          <w:p>
            <w:pPr>
              <w:spacing w:after="0"/>
              <w:rPr>
                <w:sz w:val="20"/>
                <w:szCs w:val="20"/>
                <w:color w:val="auto"/>
              </w:rPr>
            </w:pPr>
            <w:r>
              <w:rPr>
                <w:rFonts w:ascii="Arial" w:cs="Arial" w:eastAsia="Arial" w:hAnsi="Arial"/>
                <w:sz w:val="18"/>
                <w:szCs w:val="18"/>
                <w:color w:val="auto"/>
              </w:rPr>
              <w:t>Property, plant and equipment</w:t>
            </w:r>
          </w:p>
        </w:tc>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63"/>
        </w:trPr>
        <w:tc>
          <w:tcPr>
            <w:tcW w:w="76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Cost</w:t>
            </w:r>
          </w:p>
        </w:tc>
        <w:tc>
          <w:tcPr>
            <w:tcW w:w="540" w:type="dxa"/>
            <w:vAlign w:val="bottom"/>
            <w:shd w:val="clear" w:color="auto" w:fill="CFF0FC"/>
          </w:tcPr>
          <w:p>
            <w:pPr>
              <w:spacing w:after="0"/>
              <w:rPr>
                <w:sz w:val="22"/>
                <w:szCs w:val="22"/>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3,343</w:t>
            </w:r>
          </w:p>
        </w:tc>
        <w:tc>
          <w:tcPr>
            <w:tcW w:w="1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3,265</w:t>
            </w:r>
          </w:p>
        </w:tc>
      </w:tr>
      <w:tr>
        <w:trPr>
          <w:trHeight w:val="257"/>
        </w:trPr>
        <w:tc>
          <w:tcPr>
            <w:tcW w:w="7600" w:type="dxa"/>
            <w:vAlign w:val="bottom"/>
            <w:gridSpan w:val="3"/>
          </w:tcPr>
          <w:p>
            <w:pPr>
              <w:spacing w:after="0"/>
              <w:rPr>
                <w:sz w:val="20"/>
                <w:szCs w:val="20"/>
                <w:color w:val="auto"/>
              </w:rPr>
            </w:pPr>
            <w:r>
              <w:rPr>
                <w:rFonts w:ascii="Arial" w:cs="Arial" w:eastAsia="Arial" w:hAnsi="Arial"/>
                <w:sz w:val="18"/>
                <w:szCs w:val="18"/>
                <w:color w:val="auto"/>
              </w:rPr>
              <w:t>Accumulated depreciation</w:t>
            </w:r>
          </w:p>
        </w:tc>
        <w:tc>
          <w:tcPr>
            <w:tcW w:w="5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1,819</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1,700</w:t>
            </w:r>
          </w:p>
        </w:tc>
      </w:tr>
      <w:tr>
        <w:trPr>
          <w:trHeight w:val="250"/>
        </w:trPr>
        <w:tc>
          <w:tcPr>
            <w:tcW w:w="760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Net property, plant and equipment</w:t>
            </w:r>
          </w:p>
        </w:tc>
        <w:tc>
          <w:tcPr>
            <w:tcW w:w="5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1,524</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1,565</w:t>
            </w:r>
          </w:p>
        </w:tc>
      </w:tr>
      <w:tr>
        <w:trPr>
          <w:trHeight w:val="250"/>
        </w:trPr>
        <w:tc>
          <w:tcPr>
            <w:tcW w:w="7600" w:type="dxa"/>
            <w:vAlign w:val="bottom"/>
            <w:gridSpan w:val="3"/>
          </w:tcPr>
          <w:p>
            <w:pPr>
              <w:spacing w:after="0"/>
              <w:rPr>
                <w:sz w:val="20"/>
                <w:szCs w:val="20"/>
                <w:color w:val="auto"/>
              </w:rPr>
            </w:pPr>
            <w:r>
              <w:rPr>
                <w:rFonts w:ascii="Arial" w:cs="Arial" w:eastAsia="Arial" w:hAnsi="Arial"/>
                <w:sz w:val="18"/>
                <w:szCs w:val="18"/>
                <w:color w:val="auto"/>
              </w:rPr>
              <w:t>Goodwill - Note G</w:t>
            </w:r>
          </w:p>
        </w:tc>
        <w:tc>
          <w:tcPr>
            <w:tcW w:w="54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1,901</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1,758</w:t>
            </w:r>
          </w:p>
        </w:tc>
      </w:tr>
      <w:tr>
        <w:trPr>
          <w:trHeight w:val="263"/>
        </w:trPr>
        <w:tc>
          <w:tcPr>
            <w:tcW w:w="76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Intangibles - Note G</w:t>
            </w:r>
          </w:p>
        </w:tc>
        <w:tc>
          <w:tcPr>
            <w:tcW w:w="540" w:type="dxa"/>
            <w:vAlign w:val="bottom"/>
            <w:shd w:val="clear" w:color="auto" w:fill="CFF0FC"/>
          </w:tcPr>
          <w:p>
            <w:pPr>
              <w:spacing w:after="0"/>
              <w:rPr>
                <w:sz w:val="22"/>
                <w:szCs w:val="22"/>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1,133</w:t>
            </w:r>
          </w:p>
        </w:tc>
        <w:tc>
          <w:tcPr>
            <w:tcW w:w="1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1,013</w:t>
            </w:r>
          </w:p>
        </w:tc>
      </w:tr>
      <w:tr>
        <w:trPr>
          <w:trHeight w:val="250"/>
        </w:trPr>
        <w:tc>
          <w:tcPr>
            <w:tcW w:w="7600" w:type="dxa"/>
            <w:vAlign w:val="bottom"/>
            <w:gridSpan w:val="3"/>
          </w:tcPr>
          <w:p>
            <w:pPr>
              <w:spacing w:after="0"/>
              <w:rPr>
                <w:sz w:val="20"/>
                <w:szCs w:val="20"/>
                <w:color w:val="auto"/>
              </w:rPr>
            </w:pPr>
            <w:r>
              <w:rPr>
                <w:rFonts w:ascii="Arial" w:cs="Arial" w:eastAsia="Arial" w:hAnsi="Arial"/>
                <w:sz w:val="18"/>
                <w:szCs w:val="18"/>
                <w:color w:val="auto"/>
              </w:rPr>
              <w:t>Operating lease assets, net - Note I</w:t>
            </w:r>
          </w:p>
        </w:tc>
        <w:tc>
          <w:tcPr>
            <w:tcW w:w="54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137</w:t>
            </w:r>
          </w:p>
        </w:tc>
      </w:tr>
      <w:tr>
        <w:trPr>
          <w:trHeight w:val="263"/>
        </w:trPr>
        <w:tc>
          <w:tcPr>
            <w:tcW w:w="76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Restricted investments - Note E</w:t>
            </w:r>
          </w:p>
        </w:tc>
        <w:tc>
          <w:tcPr>
            <w:tcW w:w="540" w:type="dxa"/>
            <w:vAlign w:val="bottom"/>
            <w:shd w:val="clear" w:color="auto" w:fill="CFF0FC"/>
          </w:tcPr>
          <w:p>
            <w:pPr>
              <w:spacing w:after="0"/>
              <w:rPr>
                <w:sz w:val="22"/>
                <w:szCs w:val="22"/>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315</w:t>
            </w:r>
          </w:p>
        </w:tc>
        <w:tc>
          <w:tcPr>
            <w:tcW w:w="1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301</w:t>
            </w:r>
          </w:p>
        </w:tc>
      </w:tr>
      <w:tr>
        <w:trPr>
          <w:trHeight w:val="250"/>
        </w:trPr>
        <w:tc>
          <w:tcPr>
            <w:tcW w:w="7600" w:type="dxa"/>
            <w:vAlign w:val="bottom"/>
            <w:gridSpan w:val="3"/>
          </w:tcPr>
          <w:p>
            <w:pPr>
              <w:spacing w:after="0"/>
              <w:rPr>
                <w:sz w:val="20"/>
                <w:szCs w:val="20"/>
                <w:color w:val="auto"/>
              </w:rPr>
            </w:pPr>
            <w:r>
              <w:rPr>
                <w:rFonts w:ascii="Arial" w:cs="Arial" w:eastAsia="Arial" w:hAnsi="Arial"/>
                <w:sz w:val="18"/>
                <w:szCs w:val="18"/>
                <w:color w:val="auto"/>
              </w:rPr>
              <w:t xml:space="preserve">Asbestos insurance receivable </w:t>
            </w:r>
            <w:r>
              <w:rPr>
                <w:rFonts w:ascii="Arial" w:cs="Arial" w:eastAsia="Arial" w:hAnsi="Arial"/>
                <w:sz w:val="14"/>
                <w:szCs w:val="14"/>
                <w:color w:val="auto"/>
              </w:rPr>
              <w:t>(b)</w:t>
            </w:r>
            <w:r>
              <w:rPr>
                <w:rFonts w:ascii="Arial" w:cs="Arial" w:eastAsia="Arial" w:hAnsi="Arial"/>
                <w:sz w:val="18"/>
                <w:szCs w:val="18"/>
                <w:color w:val="auto"/>
              </w:rPr>
              <w:t xml:space="preserve"> - Note L</w:t>
            </w:r>
          </w:p>
        </w:tc>
        <w:tc>
          <w:tcPr>
            <w:tcW w:w="54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136</w:t>
            </w:r>
          </w:p>
        </w:tc>
      </w:tr>
      <w:tr>
        <w:trPr>
          <w:trHeight w:val="263"/>
        </w:trPr>
        <w:tc>
          <w:tcPr>
            <w:tcW w:w="76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540" w:type="dxa"/>
            <w:vAlign w:val="bottom"/>
            <w:shd w:val="clear" w:color="auto" w:fill="CFF0FC"/>
          </w:tcPr>
          <w:p>
            <w:pPr>
              <w:spacing w:after="0"/>
              <w:rPr>
                <w:sz w:val="22"/>
                <w:szCs w:val="22"/>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w:t>
            </w:r>
          </w:p>
        </w:tc>
      </w:tr>
      <w:tr>
        <w:trPr>
          <w:trHeight w:val="257"/>
        </w:trPr>
        <w:tc>
          <w:tcPr>
            <w:tcW w:w="760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5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362</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394</w:t>
            </w:r>
          </w:p>
        </w:tc>
      </w:tr>
      <w:tr>
        <w:trPr>
          <w:trHeight w:val="250"/>
        </w:trPr>
        <w:tc>
          <w:tcPr>
            <w:tcW w:w="7600" w:type="dxa"/>
            <w:vAlign w:val="bottom"/>
            <w:tcBorders>
              <w:bottom w:val="single" w:sz="8" w:color="CFF0FC"/>
            </w:tcBorders>
            <w:gridSpan w:val="3"/>
            <w:shd w:val="clear" w:color="auto" w:fill="CFF0FC"/>
          </w:tcPr>
          <w:p>
            <w:pPr>
              <w:ind w:left="260"/>
              <w:spacing w:after="0"/>
              <w:rPr>
                <w:sz w:val="20"/>
                <w:szCs w:val="20"/>
                <w:color w:val="auto"/>
              </w:rPr>
            </w:pPr>
            <w:r>
              <w:rPr>
                <w:rFonts w:ascii="Arial" w:cs="Arial" w:eastAsia="Arial" w:hAnsi="Arial"/>
                <w:sz w:val="18"/>
                <w:szCs w:val="18"/>
                <w:color w:val="auto"/>
              </w:rPr>
              <w:t>Total noncurrent assets</w:t>
            </w:r>
          </w:p>
        </w:tc>
        <w:tc>
          <w:tcPr>
            <w:tcW w:w="5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5,531</w:t>
            </w: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5,330</w:t>
            </w:r>
          </w:p>
        </w:tc>
      </w:tr>
      <w:tr>
        <w:trPr>
          <w:trHeight w:val="250"/>
        </w:trPr>
        <w:tc>
          <w:tcPr>
            <w:tcW w:w="7600" w:type="dxa"/>
            <w:vAlign w:val="bottom"/>
            <w:gridSpan w:val="3"/>
          </w:tcPr>
          <w:p>
            <w:pPr>
              <w:spacing w:after="0"/>
              <w:rPr>
                <w:sz w:val="20"/>
                <w:szCs w:val="20"/>
                <w:color w:val="auto"/>
              </w:rPr>
            </w:pPr>
            <w:r>
              <w:rPr>
                <w:rFonts w:ascii="Arial" w:cs="Arial" w:eastAsia="Arial" w:hAnsi="Arial"/>
                <w:sz w:val="18"/>
                <w:szCs w:val="18"/>
                <w:b w:val="1"/>
                <w:bCs w:val="1"/>
                <w:color w:val="auto"/>
              </w:rPr>
              <w:t>Total assets</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6,766</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6,877</w:t>
            </w:r>
          </w:p>
        </w:tc>
      </w:tr>
      <w:tr>
        <w:trPr>
          <w:trHeight w:val="20"/>
        </w:trPr>
        <w:tc>
          <w:tcPr>
            <w:tcW w:w="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8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53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r>
      <w:tr>
        <w:trPr>
          <w:trHeight w:val="203"/>
        </w:trPr>
        <w:tc>
          <w:tcPr>
            <w:tcW w:w="760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LIABILITIES AND EQUITY</w:t>
            </w: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34"/>
        </w:trPr>
        <w:tc>
          <w:tcPr>
            <w:tcW w:w="680" w:type="dxa"/>
            <w:vAlign w:val="bottom"/>
            <w:tcBorders>
              <w:top w:val="single" w:sz="8" w:color="auto"/>
            </w:tcBorders>
          </w:tcPr>
          <w:p>
            <w:pPr>
              <w:spacing w:after="0"/>
              <w:rPr>
                <w:sz w:val="2"/>
                <w:szCs w:val="2"/>
                <w:color w:val="auto"/>
              </w:rPr>
            </w:pPr>
          </w:p>
        </w:tc>
        <w:tc>
          <w:tcPr>
            <w:tcW w:w="1620" w:type="dxa"/>
            <w:vAlign w:val="bottom"/>
            <w:tcBorders>
              <w:top w:val="single" w:sz="8" w:color="auto"/>
            </w:tcBorders>
          </w:tcPr>
          <w:p>
            <w:pPr>
              <w:spacing w:after="0"/>
              <w:rPr>
                <w:sz w:val="2"/>
                <w:szCs w:val="2"/>
                <w:color w:val="auto"/>
              </w:rPr>
            </w:pPr>
          </w:p>
        </w:tc>
        <w:tc>
          <w:tcPr>
            <w:tcW w:w="5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6"/>
        </w:trPr>
        <w:tc>
          <w:tcPr>
            <w:tcW w:w="760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54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r>
      <w:tr>
        <w:trPr>
          <w:trHeight w:val="250"/>
        </w:trPr>
        <w:tc>
          <w:tcPr>
            <w:tcW w:w="7600" w:type="dxa"/>
            <w:vAlign w:val="bottom"/>
            <w:gridSpan w:val="3"/>
          </w:tcPr>
          <w:p>
            <w:pPr>
              <w:spacing w:after="0"/>
              <w:rPr>
                <w:sz w:val="20"/>
                <w:szCs w:val="20"/>
                <w:color w:val="auto"/>
              </w:rPr>
            </w:pPr>
            <w:r>
              <w:rPr>
                <w:rFonts w:ascii="Arial" w:cs="Arial" w:eastAsia="Arial" w:hAnsi="Arial"/>
                <w:sz w:val="18"/>
                <w:szCs w:val="18"/>
                <w:color w:val="auto"/>
              </w:rPr>
              <w:t>Short-term debt - Note H</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95</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280</w:t>
            </w:r>
          </w:p>
        </w:tc>
      </w:tr>
      <w:tr>
        <w:trPr>
          <w:trHeight w:val="263"/>
        </w:trPr>
        <w:tc>
          <w:tcPr>
            <w:tcW w:w="76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Current portion of long-term debt - Note H</w:t>
            </w:r>
          </w:p>
        </w:tc>
        <w:tc>
          <w:tcPr>
            <w:tcW w:w="540" w:type="dxa"/>
            <w:vAlign w:val="bottom"/>
            <w:shd w:val="clear" w:color="auto" w:fill="CFF0FC"/>
          </w:tcPr>
          <w:p>
            <w:pPr>
              <w:spacing w:after="0"/>
              <w:rPr>
                <w:sz w:val="22"/>
                <w:szCs w:val="22"/>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50"/>
        </w:trPr>
        <w:tc>
          <w:tcPr>
            <w:tcW w:w="7600" w:type="dxa"/>
            <w:vAlign w:val="bottom"/>
            <w:gridSpan w:val="3"/>
          </w:tcPr>
          <w:p>
            <w:pPr>
              <w:spacing w:after="0"/>
              <w:rPr>
                <w:sz w:val="20"/>
                <w:szCs w:val="20"/>
                <w:color w:val="auto"/>
              </w:rPr>
            </w:pPr>
            <w:r>
              <w:rPr>
                <w:rFonts w:ascii="Arial" w:cs="Arial" w:eastAsia="Arial" w:hAnsi="Arial"/>
                <w:sz w:val="18"/>
                <w:szCs w:val="18"/>
                <w:color w:val="auto"/>
              </w:rPr>
              <w:t>Trade and other payables</w:t>
            </w:r>
          </w:p>
        </w:tc>
        <w:tc>
          <w:tcPr>
            <w:tcW w:w="54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236</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233</w:t>
            </w:r>
          </w:p>
        </w:tc>
      </w:tr>
      <w:tr>
        <w:trPr>
          <w:trHeight w:val="263"/>
        </w:trPr>
        <w:tc>
          <w:tcPr>
            <w:tcW w:w="76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Accrued expenses and other liabilities</w:t>
            </w:r>
          </w:p>
        </w:tc>
        <w:tc>
          <w:tcPr>
            <w:tcW w:w="540" w:type="dxa"/>
            <w:vAlign w:val="bottom"/>
            <w:shd w:val="clear" w:color="auto" w:fill="CFF0FC"/>
          </w:tcPr>
          <w:p>
            <w:pPr>
              <w:spacing w:after="0"/>
              <w:rPr>
                <w:sz w:val="22"/>
                <w:szCs w:val="22"/>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241</w:t>
            </w:r>
          </w:p>
        </w:tc>
        <w:tc>
          <w:tcPr>
            <w:tcW w:w="1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277</w:t>
            </w:r>
          </w:p>
        </w:tc>
      </w:tr>
      <w:tr>
        <w:trPr>
          <w:trHeight w:val="257"/>
        </w:trPr>
        <w:tc>
          <w:tcPr>
            <w:tcW w:w="7600" w:type="dxa"/>
            <w:vAlign w:val="bottom"/>
            <w:gridSpan w:val="3"/>
          </w:tcPr>
          <w:p>
            <w:pPr>
              <w:spacing w:after="0"/>
              <w:rPr>
                <w:sz w:val="20"/>
                <w:szCs w:val="20"/>
                <w:color w:val="auto"/>
              </w:rPr>
            </w:pPr>
            <w:r>
              <w:rPr>
                <w:rFonts w:ascii="Arial" w:cs="Arial" w:eastAsia="Arial" w:hAnsi="Arial"/>
                <w:sz w:val="18"/>
                <w:szCs w:val="18"/>
                <w:color w:val="auto"/>
              </w:rPr>
              <w:t>Current operating lease obligations - Note I</w:t>
            </w:r>
          </w:p>
        </w:tc>
        <w:tc>
          <w:tcPr>
            <w:tcW w:w="5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w:t>
            </w:r>
          </w:p>
        </w:tc>
      </w:tr>
      <w:tr>
        <w:trPr>
          <w:trHeight w:val="250"/>
        </w:trPr>
        <w:tc>
          <w:tcPr>
            <w:tcW w:w="760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Total current liabilities</w:t>
            </w:r>
          </w:p>
        </w:tc>
        <w:tc>
          <w:tcPr>
            <w:tcW w:w="5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602</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813</w:t>
            </w:r>
          </w:p>
        </w:tc>
      </w:tr>
      <w:tr>
        <w:trPr>
          <w:trHeight w:val="250"/>
        </w:trPr>
        <w:tc>
          <w:tcPr>
            <w:tcW w:w="7600" w:type="dxa"/>
            <w:vAlign w:val="bottom"/>
            <w:gridSpan w:val="3"/>
          </w:tcPr>
          <w:p>
            <w:pPr>
              <w:spacing w:after="0"/>
              <w:rPr>
                <w:sz w:val="20"/>
                <w:szCs w:val="20"/>
                <w:color w:val="auto"/>
              </w:rPr>
            </w:pPr>
            <w:r>
              <w:rPr>
                <w:rFonts w:ascii="Arial" w:cs="Arial" w:eastAsia="Arial" w:hAnsi="Arial"/>
                <w:sz w:val="18"/>
                <w:szCs w:val="18"/>
                <w:b w:val="1"/>
                <w:bCs w:val="1"/>
                <w:color w:val="auto"/>
              </w:rPr>
              <w:t>Noncurrent liabilities</w:t>
            </w:r>
          </w:p>
        </w:tc>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63"/>
        </w:trPr>
        <w:tc>
          <w:tcPr>
            <w:tcW w:w="76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Long-term debt - Note H</w:t>
            </w:r>
          </w:p>
        </w:tc>
        <w:tc>
          <w:tcPr>
            <w:tcW w:w="540" w:type="dxa"/>
            <w:vAlign w:val="bottom"/>
            <w:shd w:val="clear" w:color="auto" w:fill="CFF0FC"/>
          </w:tcPr>
          <w:p>
            <w:pPr>
              <w:spacing w:after="0"/>
              <w:rPr>
                <w:sz w:val="22"/>
                <w:szCs w:val="22"/>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1,578</w:t>
            </w:r>
          </w:p>
        </w:tc>
        <w:tc>
          <w:tcPr>
            <w:tcW w:w="1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1,573</w:t>
            </w:r>
          </w:p>
        </w:tc>
      </w:tr>
      <w:tr>
        <w:trPr>
          <w:trHeight w:val="250"/>
        </w:trPr>
        <w:tc>
          <w:tcPr>
            <w:tcW w:w="7600" w:type="dxa"/>
            <w:vAlign w:val="bottom"/>
            <w:gridSpan w:val="3"/>
          </w:tcPr>
          <w:p>
            <w:pPr>
              <w:spacing w:after="0"/>
              <w:rPr>
                <w:sz w:val="20"/>
                <w:szCs w:val="20"/>
                <w:color w:val="auto"/>
              </w:rPr>
            </w:pPr>
            <w:r>
              <w:rPr>
                <w:rFonts w:ascii="Arial" w:cs="Arial" w:eastAsia="Arial" w:hAnsi="Arial"/>
                <w:sz w:val="18"/>
                <w:szCs w:val="18"/>
                <w:color w:val="auto"/>
              </w:rPr>
              <w:t>Asbestos litigation reserve - Note L</w:t>
            </w:r>
          </w:p>
        </w:tc>
        <w:tc>
          <w:tcPr>
            <w:tcW w:w="54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501</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513</w:t>
            </w:r>
          </w:p>
        </w:tc>
      </w:tr>
      <w:tr>
        <w:trPr>
          <w:trHeight w:val="263"/>
        </w:trPr>
        <w:tc>
          <w:tcPr>
            <w:tcW w:w="76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540" w:type="dxa"/>
            <w:vAlign w:val="bottom"/>
            <w:shd w:val="clear" w:color="auto" w:fill="CFF0FC"/>
          </w:tcPr>
          <w:p>
            <w:pPr>
              <w:spacing w:after="0"/>
              <w:rPr>
                <w:sz w:val="22"/>
                <w:szCs w:val="22"/>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243</w:t>
            </w:r>
          </w:p>
        </w:tc>
        <w:tc>
          <w:tcPr>
            <w:tcW w:w="1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229</w:t>
            </w:r>
          </w:p>
        </w:tc>
      </w:tr>
      <w:tr>
        <w:trPr>
          <w:trHeight w:val="250"/>
        </w:trPr>
        <w:tc>
          <w:tcPr>
            <w:tcW w:w="7600" w:type="dxa"/>
            <w:vAlign w:val="bottom"/>
            <w:gridSpan w:val="3"/>
          </w:tcPr>
          <w:p>
            <w:pPr>
              <w:spacing w:after="0"/>
              <w:rPr>
                <w:sz w:val="20"/>
                <w:szCs w:val="20"/>
                <w:color w:val="auto"/>
              </w:rPr>
            </w:pPr>
            <w:r>
              <w:rPr>
                <w:rFonts w:ascii="Arial" w:cs="Arial" w:eastAsia="Arial" w:hAnsi="Arial"/>
                <w:sz w:val="18"/>
                <w:szCs w:val="18"/>
                <w:color w:val="auto"/>
              </w:rPr>
              <w:t>Employee benefit obligations - Note K</w:t>
            </w:r>
          </w:p>
        </w:tc>
        <w:tc>
          <w:tcPr>
            <w:tcW w:w="54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157</w:t>
            </w:r>
          </w:p>
        </w:tc>
      </w:tr>
      <w:tr>
        <w:trPr>
          <w:trHeight w:val="263"/>
        </w:trPr>
        <w:tc>
          <w:tcPr>
            <w:tcW w:w="76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Operating lease obligations - Note I</w:t>
            </w:r>
          </w:p>
        </w:tc>
        <w:tc>
          <w:tcPr>
            <w:tcW w:w="540" w:type="dxa"/>
            <w:vAlign w:val="bottom"/>
            <w:shd w:val="clear" w:color="auto" w:fill="CFF0FC"/>
          </w:tcPr>
          <w:p>
            <w:pPr>
              <w:spacing w:after="0"/>
              <w:rPr>
                <w:sz w:val="22"/>
                <w:szCs w:val="22"/>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124</w:t>
            </w:r>
          </w:p>
        </w:tc>
      </w:tr>
      <w:tr>
        <w:trPr>
          <w:trHeight w:val="257"/>
        </w:trPr>
        <w:tc>
          <w:tcPr>
            <w:tcW w:w="760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5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364</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432</w:t>
            </w:r>
          </w:p>
        </w:tc>
      </w:tr>
      <w:tr>
        <w:trPr>
          <w:trHeight w:val="250"/>
        </w:trPr>
        <w:tc>
          <w:tcPr>
            <w:tcW w:w="760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Total noncurrent liabilities</w:t>
            </w:r>
          </w:p>
        </w:tc>
        <w:tc>
          <w:tcPr>
            <w:tcW w:w="5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2,962</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3,028</w:t>
            </w:r>
          </w:p>
        </w:tc>
      </w:tr>
      <w:tr>
        <w:trPr>
          <w:trHeight w:val="250"/>
        </w:trPr>
        <w:tc>
          <w:tcPr>
            <w:tcW w:w="7600" w:type="dxa"/>
            <w:vAlign w:val="bottom"/>
            <w:gridSpan w:val="3"/>
          </w:tcPr>
          <w:p>
            <w:pPr>
              <w:spacing w:after="0"/>
              <w:rPr>
                <w:sz w:val="20"/>
                <w:szCs w:val="20"/>
                <w:color w:val="auto"/>
              </w:rPr>
            </w:pPr>
            <w:r>
              <w:rPr>
                <w:rFonts w:ascii="Arial" w:cs="Arial" w:eastAsia="Arial" w:hAnsi="Arial"/>
                <w:sz w:val="18"/>
                <w:szCs w:val="18"/>
                <w:color w:val="auto"/>
              </w:rPr>
              <w:t>Commitments and contingencies - Note L</w:t>
            </w:r>
          </w:p>
        </w:tc>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63"/>
        </w:trPr>
        <w:tc>
          <w:tcPr>
            <w:tcW w:w="760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Stockholders’ equity</w:t>
            </w:r>
          </w:p>
        </w:tc>
        <w:tc>
          <w:tcPr>
            <w:tcW w:w="5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3,202</w:t>
            </w:r>
          </w:p>
        </w:tc>
        <w:tc>
          <w:tcPr>
            <w:tcW w:w="1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3,036</w:t>
            </w:r>
          </w:p>
        </w:tc>
      </w:tr>
      <w:tr>
        <w:trPr>
          <w:trHeight w:val="250"/>
        </w:trPr>
        <w:tc>
          <w:tcPr>
            <w:tcW w:w="6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5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80" w:type="dxa"/>
            <w:vAlign w:val="bottom"/>
            <w:gridSpan w:val="2"/>
          </w:tcPr>
          <w:p>
            <w:pPr>
              <w:spacing w:after="0"/>
              <w:rPr>
                <w:sz w:val="21"/>
                <w:szCs w:val="21"/>
                <w:color w:val="auto"/>
              </w:rPr>
            </w:pPr>
          </w:p>
        </w:tc>
        <w:tc>
          <w:tcPr>
            <w:tcW w:w="1340" w:type="dxa"/>
            <w:vAlign w:val="bottom"/>
          </w:tcPr>
          <w:p>
            <w:pPr>
              <w:spacing w:after="0"/>
              <w:rPr>
                <w:sz w:val="21"/>
                <w:szCs w:val="21"/>
                <w:color w:val="auto"/>
              </w:rPr>
            </w:pPr>
          </w:p>
        </w:tc>
      </w:tr>
      <w:tr>
        <w:trPr>
          <w:trHeight w:val="296"/>
        </w:trPr>
        <w:tc>
          <w:tcPr>
            <w:tcW w:w="760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6,766</w:t>
            </w: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6,877</w:t>
            </w:r>
          </w:p>
        </w:tc>
      </w:tr>
      <w:tr>
        <w:trPr>
          <w:trHeight w:val="143"/>
        </w:trPr>
        <w:tc>
          <w:tcPr>
            <w:tcW w:w="680" w:type="dxa"/>
            <w:vAlign w:val="bottom"/>
            <w:tcBorders>
              <w:top w:val="single" w:sz="8" w:color="CFF0FC"/>
              <w:bottom w:val="single" w:sz="8" w:color="auto"/>
            </w:tcBorders>
          </w:tcPr>
          <w:p>
            <w:pPr>
              <w:spacing w:after="0"/>
              <w:rPr>
                <w:sz w:val="12"/>
                <w:szCs w:val="12"/>
                <w:color w:val="auto"/>
              </w:rPr>
            </w:pPr>
          </w:p>
        </w:tc>
        <w:tc>
          <w:tcPr>
            <w:tcW w:w="1620" w:type="dxa"/>
            <w:vAlign w:val="bottom"/>
            <w:tcBorders>
              <w:top w:val="single" w:sz="8" w:color="CFF0FC"/>
              <w:bottom w:val="single" w:sz="8" w:color="auto"/>
            </w:tcBorders>
          </w:tcPr>
          <w:p>
            <w:pPr>
              <w:spacing w:after="0"/>
              <w:rPr>
                <w:sz w:val="12"/>
                <w:szCs w:val="12"/>
                <w:color w:val="auto"/>
              </w:rPr>
            </w:pPr>
          </w:p>
        </w:tc>
        <w:tc>
          <w:tcPr>
            <w:tcW w:w="5300" w:type="dxa"/>
            <w:vAlign w:val="bottom"/>
            <w:tcBorders>
              <w:top w:val="single" w:sz="8" w:color="CFF0FC"/>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CFF0FC"/>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-6082665</wp:posOffset>
            </wp:positionV>
            <wp:extent cx="111125"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-3776980</wp:posOffset>
            </wp:positionV>
            <wp:extent cx="111125"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-467995</wp:posOffset>
            </wp:positionV>
            <wp:extent cx="11112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-136525</wp:posOffset>
            </wp:positionV>
            <wp:extent cx="1111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-119380</wp:posOffset>
            </wp:positionV>
            <wp:extent cx="1111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83"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(a)</w:t>
        <w:tab/>
        <w:t>Accounts receivable includes an allowance for credit losses of $3 million at both June 30, 2021 and September 30, 2020.</w:t>
      </w:r>
    </w:p>
    <w:p>
      <w:pPr>
        <w:spacing w:after="0" w:line="55"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(b)</w:t>
        <w:tab/>
        <w:t>Asbestos insurance receivable includes an allowance for credit losses of $3 million at June 30, 2021.</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CONDENSED CONSOLIDATED FINANCIAL STATEMENTS.</w:t>
      </w:r>
    </w:p>
    <w:p>
      <w:pPr>
        <w:sectPr>
          <w:pgSz w:w="11900" w:h="16838" w:orient="portrait"/>
          <w:cols w:equalWidth="0" w:num="1">
            <w:col w:w="11180"/>
          </w:cols>
          <w:pgMar w:left="320" w:top="130" w:right="399" w:bottom="1440" w:gutter="0" w:footer="0" w:header="0"/>
        </w:sectPr>
      </w:pP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type w:val="continuous"/>
        </w:sectPr>
      </w:pPr>
    </w:p>
    <w:bookmarkStart w:id="3" w:name="page4"/>
    <w:bookmarkEnd w:id="3"/>
    <w:p>
      <w:pPr>
        <w:ind w:right="4220"/>
        <w:spacing w:after="0" w:line="295"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t>ASHLAND GLOBAL HOLDINGS INC. AND CONSOLIDATED SUBSIDIARIES STATEMENT OF CONSOLIDATED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92"/>
              </w:rPr>
              <w:t>Accumulated</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6"/>
        </w:trPr>
        <w:tc>
          <w:tcPr>
            <w:tcW w:w="5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87"/>
              </w:rPr>
              <w:t>other</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57"/>
        </w:trPr>
        <w:tc>
          <w:tcPr>
            <w:tcW w:w="5160" w:type="dxa"/>
            <w:vAlign w:val="bottom"/>
          </w:tcPr>
          <w:p>
            <w:pPr>
              <w:spacing w:after="0"/>
              <w:rPr>
                <w:sz w:val="22"/>
                <w:szCs w:val="22"/>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Common</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w w:val="99"/>
              </w:rPr>
              <w:t>Paid-in</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color w:val="auto"/>
                <w:w w:val="94"/>
              </w:rPr>
              <w:t>Retained</w:t>
            </w:r>
          </w:p>
        </w:tc>
        <w:tc>
          <w:tcPr>
            <w:tcW w:w="120" w:type="dxa"/>
            <w:vAlign w:val="bottom"/>
          </w:tcPr>
          <w:p>
            <w:pPr>
              <w:spacing w:after="0"/>
              <w:rPr>
                <w:sz w:val="22"/>
                <w:szCs w:val="22"/>
                <w:color w:val="auto"/>
              </w:rPr>
            </w:pPr>
          </w:p>
        </w:tc>
        <w:tc>
          <w:tcPr>
            <w:tcW w:w="1280" w:type="dxa"/>
            <w:vAlign w:val="bottom"/>
            <w:gridSpan w:val="2"/>
          </w:tcPr>
          <w:p>
            <w:pPr>
              <w:jc w:val="center"/>
              <w:ind w:right="30"/>
              <w:spacing w:after="0"/>
              <w:rPr>
                <w:sz w:val="20"/>
                <w:szCs w:val="20"/>
                <w:color w:val="auto"/>
              </w:rPr>
            </w:pPr>
            <w:r>
              <w:rPr>
                <w:rFonts w:ascii="Arial" w:cs="Arial" w:eastAsia="Arial" w:hAnsi="Arial"/>
                <w:sz w:val="18"/>
                <w:szCs w:val="18"/>
                <w:color w:val="auto"/>
                <w:w w:val="88"/>
              </w:rPr>
              <w:t>comprehensive</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56"/>
        </w:trPr>
        <w:tc>
          <w:tcPr>
            <w:tcW w:w="5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center"/>
              <w:ind w:right="30"/>
              <w:spacing w:after="0"/>
              <w:rPr>
                <w:sz w:val="20"/>
                <w:szCs w:val="20"/>
                <w:color w:val="auto"/>
              </w:rPr>
            </w:pPr>
            <w:r>
              <w:rPr>
                <w:rFonts w:ascii="Arial" w:cs="Arial" w:eastAsia="Arial" w:hAnsi="Arial"/>
                <w:sz w:val="18"/>
                <w:szCs w:val="18"/>
                <w:color w:val="auto"/>
                <w:w w:val="89"/>
              </w:rPr>
              <w:t>income (loss)</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37"/>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 - unaudited)</w:t>
            </w: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5"/>
              </w:rPr>
              <w:t>stock</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capital</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5"/>
              </w:rPr>
              <w:t>earnings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0"/>
              </w:rPr>
              <w:t>(a)</w:t>
            </w: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r>
      <w:tr>
        <w:trPr>
          <w:trHeight w:val="257"/>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SEPTEMBER 30, 2020</w:t>
            </w:r>
          </w:p>
        </w:tc>
        <w:tc>
          <w:tcPr>
            <w:tcW w:w="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769</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2,649</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(383 )</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3,036</w:t>
            </w:r>
          </w:p>
        </w:tc>
      </w:tr>
      <w:tr>
        <w:trPr>
          <w:trHeight w:val="250"/>
        </w:trPr>
        <w:tc>
          <w:tcPr>
            <w:tcW w:w="5160" w:type="dxa"/>
            <w:vAlign w:val="bottom"/>
          </w:tcPr>
          <w:p>
            <w:pPr>
              <w:ind w:left="280"/>
              <w:spacing w:after="0"/>
              <w:rPr>
                <w:sz w:val="20"/>
                <w:szCs w:val="20"/>
                <w:color w:val="auto"/>
              </w:rPr>
            </w:pPr>
            <w:r>
              <w:rPr>
                <w:rFonts w:ascii="Arial" w:cs="Arial" w:eastAsia="Arial" w:hAnsi="Arial"/>
                <w:sz w:val="18"/>
                <w:szCs w:val="18"/>
                <w:color w:val="auto"/>
              </w:rPr>
              <w:t xml:space="preserve">Adoption of new accounting pronouncement </w:t>
            </w:r>
            <w:r>
              <w:rPr>
                <w:rFonts w:ascii="Arial" w:cs="Arial" w:eastAsia="Arial" w:hAnsi="Arial"/>
                <w:sz w:val="14"/>
                <w:szCs w:val="14"/>
                <w:color w:val="auto"/>
              </w:rPr>
              <w:t>(b)</w:t>
            </w: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63"/>
        </w:trPr>
        <w:tc>
          <w:tcPr>
            <w:tcW w:w="51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comprehensive income</w:t>
            </w:r>
          </w:p>
        </w:tc>
        <w:tc>
          <w:tcPr>
            <w:tcW w:w="14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r>
      <w:tr>
        <w:trPr>
          <w:trHeight w:val="250"/>
        </w:trPr>
        <w:tc>
          <w:tcPr>
            <w:tcW w:w="5160" w:type="dxa"/>
            <w:vAlign w:val="bottom"/>
          </w:tcPr>
          <w:p>
            <w:pPr>
              <w:ind w:left="5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176</w:t>
            </w:r>
          </w:p>
        </w:tc>
      </w:tr>
      <w:tr>
        <w:trPr>
          <w:trHeight w:val="263"/>
        </w:trPr>
        <w:tc>
          <w:tcPr>
            <w:tcW w:w="51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Other comprehensive income</w:t>
            </w:r>
          </w:p>
        </w:tc>
        <w:tc>
          <w:tcPr>
            <w:tcW w:w="14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w:t>
            </w:r>
          </w:p>
        </w:tc>
      </w:tr>
      <w:tr>
        <w:trPr>
          <w:trHeight w:val="250"/>
        </w:trPr>
        <w:tc>
          <w:tcPr>
            <w:tcW w:w="5160" w:type="dxa"/>
            <w:vAlign w:val="bottom"/>
          </w:tcPr>
          <w:p>
            <w:pPr>
              <w:ind w:left="280"/>
              <w:spacing w:after="0"/>
              <w:rPr>
                <w:sz w:val="20"/>
                <w:szCs w:val="20"/>
                <w:color w:val="auto"/>
              </w:rPr>
            </w:pPr>
            <w:r>
              <w:rPr>
                <w:rFonts w:ascii="Arial" w:cs="Arial" w:eastAsia="Arial" w:hAnsi="Arial"/>
                <w:sz w:val="18"/>
                <w:szCs w:val="18"/>
                <w:color w:val="auto"/>
              </w:rPr>
              <w:t>Regular dividends, $0.850 per common share</w:t>
            </w: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(52 )</w:t>
            </w:r>
          </w:p>
        </w:tc>
      </w:tr>
      <w:tr>
        <w:trPr>
          <w:trHeight w:val="263"/>
        </w:trPr>
        <w:tc>
          <w:tcPr>
            <w:tcW w:w="51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w w:val="94"/>
              </w:rPr>
              <w:t xml:space="preserve">Common shares issued under stock incentive and other plans </w:t>
            </w:r>
            <w:r>
              <w:rPr>
                <w:rFonts w:ascii="Arial" w:cs="Arial" w:eastAsia="Arial" w:hAnsi="Arial"/>
                <w:sz w:val="14"/>
                <w:szCs w:val="14"/>
                <w:color w:val="auto"/>
                <w:w w:val="94"/>
              </w:rPr>
              <w:t>(c)</w:t>
            </w:r>
          </w:p>
        </w:tc>
        <w:tc>
          <w:tcPr>
            <w:tcW w:w="140" w:type="dxa"/>
            <w:vAlign w:val="bottom"/>
            <w:tcBorders>
              <w:bottom w:val="single" w:sz="8" w:color="auto"/>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r>
      <w:tr>
        <w:trPr>
          <w:trHeight w:val="250"/>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776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2,771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(346 )</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3,202</w:t>
            </w:r>
          </w:p>
        </w:tc>
      </w:tr>
      <w:tr>
        <w:trPr>
          <w:trHeight w:val="20"/>
        </w:trPr>
        <w:tc>
          <w:tcPr>
            <w:tcW w:w="5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5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-304800</wp:posOffset>
            </wp:positionV>
            <wp:extent cx="8572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-304800</wp:posOffset>
            </wp:positionV>
            <wp:extent cx="7747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-304800</wp:posOffset>
            </wp:positionV>
            <wp:extent cx="7683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-304800</wp:posOffset>
            </wp:positionV>
            <wp:extent cx="17145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1450" cy="5715"/>
                    </a:xfrm>
                    <a:prstGeom prst="rect">
                      <a:avLst/>
                    </a:prstGeom>
                    <a:noFill/>
                  </pic:spPr>
                </pic:pic>
              </a:graphicData>
            </a:graphic>
          </wp:anchor>
        </w:drawing>
      </w:r>
    </w:p>
    <w:p>
      <w:pPr>
        <w:spacing w:after="0" w:line="83" w:lineRule="exact"/>
        <w:rPr>
          <w:sz w:val="20"/>
          <w:szCs w:val="20"/>
          <w:color w:val="auto"/>
        </w:rPr>
      </w:pPr>
    </w:p>
    <w:p>
      <w:pPr>
        <w:ind w:left="340" w:right="520" w:hanging="332"/>
        <w:spacing w:after="0" w:line="314"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At June 30, 2021 and September 30, 2020, the after-tax accumulated other comprehensive loss of $346 million and $383 million, respectively, was each comprised of net unrealized translation losses of $344 million and $381 million, respectively, and unrecognized prior service costs as a result of certain employee benefit plan amendments of $2 million each.</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Represents the cumulative-effect adjustment, net of tax, for the adoption of the new accounting pronouncement related to the measurement of credit losses on financial instruments.</w:t>
      </w:r>
    </w:p>
    <w:p>
      <w:pPr>
        <w:spacing w:after="0" w:line="49" w:lineRule="exact"/>
        <w:rPr>
          <w:rFonts w:ascii="Arial" w:cs="Arial" w:eastAsia="Arial" w:hAnsi="Arial"/>
          <w:sz w:val="13"/>
          <w:szCs w:val="13"/>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Common shares issued were 165,158 for the nine months ended June 30, 2021</w:t>
      </w:r>
      <w:r>
        <w:rPr>
          <w:rFonts w:ascii="Arial" w:cs="Arial" w:eastAsia="Arial" w:hAnsi="Arial"/>
          <w:sz w:val="14"/>
          <w:szCs w:val="14"/>
          <w:b w:val="1"/>
          <w:bCs w:val="1"/>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CONDENSED CONSOLIDATED FINANCIAL STATEMENTS.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4" w:name="page5"/>
    <w:bookmarkEnd w:id="4"/>
    <w:p>
      <w:pPr>
        <w:ind w:right="3820"/>
        <w:spacing w:after="0" w:line="323" w:lineRule="auto"/>
        <w:rPr>
          <w:sz w:val="20"/>
          <w:szCs w:val="20"/>
          <w:color w:val="auto"/>
        </w:rPr>
      </w:pPr>
      <w:r>
        <w:rPr>
          <w:rFonts w:ascii="Arial" w:cs="Arial" w:eastAsia="Arial" w:hAnsi="Arial"/>
          <w:sz w:val="19"/>
          <w:szCs w:val="19"/>
          <w:b w:val="1"/>
          <w:bCs w:val="1"/>
          <w:color w:val="auto"/>
        </w:rPr>
        <w:t>ASHLAND GLOBAL HOLDINGS INC. AND CONSOLIDATED SUBSIDIARIES STATEMENTS OF CONDENSED CONSOLIDATED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43815</wp:posOffset>
            </wp:positionV>
            <wp:extent cx="66262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71" w:lineRule="exact"/>
        <w:rPr>
          <w:sz w:val="20"/>
          <w:szCs w:val="20"/>
          <w:color w:val="auto"/>
        </w:rPr>
      </w:pPr>
    </w:p>
    <w:tbl>
      <w:tblPr>
        <w:tblLayout w:type="fixed"/>
        <w:tblInd w:w="420" w:type="dxa"/>
        <w:tblCellMar>
          <w:top w:w="0" w:type="dxa"/>
          <w:left w:w="0" w:type="dxa"/>
          <w:bottom w:w="0" w:type="dxa"/>
          <w:right w:w="0" w:type="dxa"/>
        </w:tblCellMar>
      </w:tblPr>
      <w:tr>
        <w:trPr>
          <w:trHeight w:val="182"/>
        </w:trPr>
        <w:tc>
          <w:tcPr>
            <w:tcW w:w="7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60" w:type="dxa"/>
            <w:vAlign w:val="bottom"/>
            <w:gridSpan w:val="3"/>
          </w:tcPr>
          <w:p>
            <w:pPr>
              <w:jc w:val="right"/>
              <w:ind w:right="248"/>
              <w:spacing w:after="0"/>
              <w:rPr>
                <w:sz w:val="20"/>
                <w:szCs w:val="20"/>
                <w:color w:val="auto"/>
              </w:rPr>
            </w:pPr>
            <w:r>
              <w:rPr>
                <w:rFonts w:ascii="Arial" w:cs="Arial" w:eastAsia="Arial" w:hAnsi="Arial"/>
                <w:sz w:val="14"/>
                <w:szCs w:val="14"/>
                <w:color w:val="auto"/>
              </w:rPr>
              <w:t>Nine months ended</w:t>
            </w:r>
          </w:p>
        </w:tc>
        <w:tc>
          <w:tcPr>
            <w:tcW w:w="720" w:type="dxa"/>
            <w:vAlign w:val="bottom"/>
          </w:tcPr>
          <w:p>
            <w:pPr>
              <w:spacing w:after="0"/>
              <w:rPr>
                <w:sz w:val="15"/>
                <w:szCs w:val="15"/>
                <w:color w:val="auto"/>
              </w:rPr>
            </w:pPr>
          </w:p>
        </w:tc>
      </w:tr>
      <w:tr>
        <w:trPr>
          <w:trHeight w:val="209"/>
        </w:trPr>
        <w:tc>
          <w:tcPr>
            <w:tcW w:w="73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color w:val="auto"/>
              </w:rPr>
              <w:t>June 30</w:t>
            </w:r>
          </w:p>
        </w:tc>
        <w:tc>
          <w:tcPr>
            <w:tcW w:w="720" w:type="dxa"/>
            <w:vAlign w:val="bottom"/>
            <w:tcBorders>
              <w:bottom w:val="single" w:sz="8" w:color="auto"/>
            </w:tcBorders>
          </w:tcPr>
          <w:p>
            <w:pPr>
              <w:spacing w:after="0"/>
              <w:rPr>
                <w:sz w:val="18"/>
                <w:szCs w:val="18"/>
                <w:color w:val="auto"/>
              </w:rPr>
            </w:pPr>
          </w:p>
        </w:tc>
      </w:tr>
      <w:tr>
        <w:trPr>
          <w:trHeight w:val="196"/>
        </w:trPr>
        <w:tc>
          <w:tcPr>
            <w:tcW w:w="7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 - unaudited)</w:t>
            </w: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2021</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2020</w:t>
            </w:r>
          </w:p>
        </w:tc>
      </w:tr>
      <w:tr>
        <w:trPr>
          <w:trHeight w:val="179"/>
        </w:trPr>
        <w:tc>
          <w:tcPr>
            <w:tcW w:w="73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CASH FLOWS PROVIDED (USED) BY OPERATING ACTIVITIES FROM</w:t>
            </w:r>
          </w:p>
        </w:tc>
        <w:tc>
          <w:tcPr>
            <w:tcW w:w="5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r>
      <w:tr>
        <w:trPr>
          <w:trHeight w:val="198"/>
        </w:trPr>
        <w:tc>
          <w:tcPr>
            <w:tcW w:w="7320" w:type="dxa"/>
            <w:vAlign w:val="bottom"/>
            <w:shd w:val="clear" w:color="auto" w:fill="CFF0FC"/>
          </w:tcPr>
          <w:p>
            <w:pPr>
              <w:ind w:left="100"/>
              <w:spacing w:after="0"/>
              <w:rPr>
                <w:sz w:val="20"/>
                <w:szCs w:val="20"/>
                <w:color w:val="auto"/>
              </w:rPr>
            </w:pPr>
            <w:r>
              <w:rPr>
                <w:rFonts w:ascii="Arial" w:cs="Arial" w:eastAsia="Arial" w:hAnsi="Arial"/>
                <w:sz w:val="14"/>
                <w:szCs w:val="14"/>
                <w:b w:val="1"/>
                <w:bCs w:val="1"/>
                <w:color w:val="auto"/>
              </w:rPr>
              <w:t>CONTINUING OPERATIONS</w:t>
            </w:r>
          </w:p>
        </w:tc>
        <w:tc>
          <w:tcPr>
            <w:tcW w:w="5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r>
      <w:tr>
        <w:trPr>
          <w:trHeight w:val="197"/>
        </w:trPr>
        <w:tc>
          <w:tcPr>
            <w:tcW w:w="7320" w:type="dxa"/>
            <w:vAlign w:val="bottom"/>
          </w:tcPr>
          <w:p>
            <w:pPr>
              <w:ind w:left="180"/>
              <w:spacing w:after="0"/>
              <w:rPr>
                <w:sz w:val="20"/>
                <w:szCs w:val="20"/>
                <w:color w:val="auto"/>
              </w:rPr>
            </w:pPr>
            <w:r>
              <w:rPr>
                <w:rFonts w:ascii="Arial" w:cs="Arial" w:eastAsia="Arial" w:hAnsi="Arial"/>
                <w:sz w:val="14"/>
                <w:szCs w:val="14"/>
                <w:color w:val="auto"/>
              </w:rPr>
              <w:t>Net income (loss)</w:t>
            </w:r>
          </w:p>
        </w:tc>
        <w:tc>
          <w:tcPr>
            <w:tcW w:w="520" w:type="dxa"/>
            <w:vAlign w:val="bottom"/>
          </w:tcPr>
          <w:p>
            <w:pPr>
              <w:jc w:val="right"/>
              <w:ind w:right="36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176</w:t>
            </w:r>
          </w:p>
        </w:tc>
        <w:tc>
          <w:tcPr>
            <w:tcW w:w="900" w:type="dxa"/>
            <w:vAlign w:val="bottom"/>
            <w:gridSpan w:val="2"/>
          </w:tcPr>
          <w:p>
            <w:pPr>
              <w:jc w:val="right"/>
              <w:ind w:right="56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(513 )</w:t>
            </w:r>
          </w:p>
        </w:tc>
      </w:tr>
      <w:tr>
        <w:trPr>
          <w:trHeight w:val="208"/>
        </w:trPr>
        <w:tc>
          <w:tcPr>
            <w:tcW w:w="73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Loss from discontinued operations (net of income taxes)</w:t>
            </w: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22</w:t>
            </w:r>
          </w:p>
        </w:tc>
      </w:tr>
      <w:tr>
        <w:trPr>
          <w:trHeight w:val="197"/>
        </w:trPr>
        <w:tc>
          <w:tcPr>
            <w:tcW w:w="7320" w:type="dxa"/>
            <w:vAlign w:val="bottom"/>
          </w:tcPr>
          <w:p>
            <w:pPr>
              <w:ind w:left="180"/>
              <w:spacing w:after="0"/>
              <w:rPr>
                <w:sz w:val="20"/>
                <w:szCs w:val="20"/>
                <w:color w:val="auto"/>
              </w:rPr>
            </w:pPr>
            <w:r>
              <w:rPr>
                <w:rFonts w:ascii="Arial" w:cs="Arial" w:eastAsia="Arial" w:hAnsi="Arial"/>
                <w:sz w:val="14"/>
                <w:szCs w:val="14"/>
                <w:color w:val="auto"/>
              </w:rPr>
              <w:t>Adjustments to reconcile income from continuing operations to</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8"/>
        </w:trPr>
        <w:tc>
          <w:tcPr>
            <w:tcW w:w="7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flows from operating activities:</w:t>
            </w: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r>
      <w:tr>
        <w:trPr>
          <w:trHeight w:val="197"/>
        </w:trPr>
        <w:tc>
          <w:tcPr>
            <w:tcW w:w="732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52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189</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183</w:t>
            </w:r>
          </w:p>
        </w:tc>
      </w:tr>
      <w:tr>
        <w:trPr>
          <w:trHeight w:val="208"/>
        </w:trPr>
        <w:tc>
          <w:tcPr>
            <w:tcW w:w="7320" w:type="dxa"/>
            <w:vAlign w:val="bottom"/>
            <w:shd w:val="clear" w:color="auto" w:fill="CFF0FC"/>
          </w:tcPr>
          <w:p>
            <w:pPr>
              <w:ind w:left="360"/>
              <w:spacing w:after="0"/>
              <w:rPr>
                <w:sz w:val="20"/>
                <w:szCs w:val="20"/>
                <w:color w:val="auto"/>
              </w:rPr>
            </w:pPr>
            <w:r>
              <w:rPr>
                <w:rFonts w:ascii="Arial" w:cs="Arial" w:eastAsia="Arial" w:hAnsi="Arial"/>
                <w:sz w:val="14"/>
                <w:szCs w:val="14"/>
                <w:color w:val="auto"/>
              </w:rPr>
              <w:t>Original issue discount and debt issuance costs amortization</w:t>
            </w: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14</w:t>
            </w:r>
          </w:p>
        </w:tc>
      </w:tr>
      <w:tr>
        <w:trPr>
          <w:trHeight w:val="197"/>
        </w:trPr>
        <w:tc>
          <w:tcPr>
            <w:tcW w:w="7320" w:type="dxa"/>
            <w:vAlign w:val="bottom"/>
          </w:tcPr>
          <w:p>
            <w:pPr>
              <w:ind w:left="360"/>
              <w:spacing w:after="0"/>
              <w:rPr>
                <w:sz w:val="20"/>
                <w:szCs w:val="20"/>
                <w:color w:val="auto"/>
              </w:rPr>
            </w:pPr>
            <w:r>
              <w:rPr>
                <w:rFonts w:ascii="Arial" w:cs="Arial" w:eastAsia="Arial" w:hAnsi="Arial"/>
                <w:sz w:val="14"/>
                <w:szCs w:val="14"/>
                <w:color w:val="auto"/>
              </w:rPr>
              <w:t>Deferred income taxes</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(3 )</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(30 )</w:t>
            </w:r>
          </w:p>
        </w:tc>
      </w:tr>
      <w:tr>
        <w:trPr>
          <w:trHeight w:val="208"/>
        </w:trPr>
        <w:tc>
          <w:tcPr>
            <w:tcW w:w="7320" w:type="dxa"/>
            <w:vAlign w:val="bottom"/>
            <w:shd w:val="clear" w:color="auto" w:fill="CFF0FC"/>
          </w:tcPr>
          <w:p>
            <w:pPr>
              <w:ind w:left="360"/>
              <w:spacing w:after="0"/>
              <w:rPr>
                <w:sz w:val="20"/>
                <w:szCs w:val="20"/>
                <w:color w:val="auto"/>
              </w:rPr>
            </w:pPr>
            <w:r>
              <w:rPr>
                <w:rFonts w:ascii="Arial" w:cs="Arial" w:eastAsia="Arial" w:hAnsi="Arial"/>
                <w:sz w:val="14"/>
                <w:szCs w:val="14"/>
                <w:color w:val="auto"/>
              </w:rPr>
              <w:t>Gain from sales of property and equipment</w:t>
            </w: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(3 )</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r>
        <w:trPr>
          <w:trHeight w:val="197"/>
        </w:trPr>
        <w:tc>
          <w:tcPr>
            <w:tcW w:w="7320" w:type="dxa"/>
            <w:vAlign w:val="bottom"/>
          </w:tcPr>
          <w:p>
            <w:pPr>
              <w:ind w:left="360"/>
              <w:spacing w:after="0"/>
              <w:rPr>
                <w:sz w:val="20"/>
                <w:szCs w:val="20"/>
                <w:color w:val="auto"/>
              </w:rPr>
            </w:pPr>
            <w:r>
              <w:rPr>
                <w:rFonts w:ascii="Arial" w:cs="Arial" w:eastAsia="Arial" w:hAnsi="Arial"/>
                <w:sz w:val="14"/>
                <w:szCs w:val="14"/>
                <w:color w:val="auto"/>
              </w:rPr>
              <w:t>Distributions from (to) equity affiliates</w:t>
            </w:r>
          </w:p>
        </w:tc>
        <w:tc>
          <w:tcPr>
            <w:tcW w:w="52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(1 )</w:t>
            </w:r>
          </w:p>
        </w:tc>
      </w:tr>
      <w:tr>
        <w:trPr>
          <w:trHeight w:val="208"/>
        </w:trPr>
        <w:tc>
          <w:tcPr>
            <w:tcW w:w="7320" w:type="dxa"/>
            <w:vAlign w:val="bottom"/>
            <w:shd w:val="clear" w:color="auto" w:fill="CFF0FC"/>
          </w:tcPr>
          <w:p>
            <w:pPr>
              <w:ind w:left="360"/>
              <w:spacing w:after="0"/>
              <w:rPr>
                <w:sz w:val="20"/>
                <w:szCs w:val="20"/>
                <w:color w:val="auto"/>
              </w:rPr>
            </w:pPr>
            <w:r>
              <w:rPr>
                <w:rFonts w:ascii="Arial" w:cs="Arial" w:eastAsia="Arial" w:hAnsi="Arial"/>
                <w:sz w:val="14"/>
                <w:szCs w:val="14"/>
                <w:color w:val="auto"/>
              </w:rPr>
              <w:t>Stock based compensation expense</w:t>
            </w: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11</w:t>
            </w:r>
          </w:p>
        </w:tc>
      </w:tr>
      <w:tr>
        <w:trPr>
          <w:trHeight w:val="197"/>
        </w:trPr>
        <w:tc>
          <w:tcPr>
            <w:tcW w:w="7320" w:type="dxa"/>
            <w:vAlign w:val="bottom"/>
          </w:tcPr>
          <w:p>
            <w:pPr>
              <w:ind w:left="360"/>
              <w:spacing w:after="0"/>
              <w:rPr>
                <w:sz w:val="20"/>
                <w:szCs w:val="20"/>
                <w:color w:val="auto"/>
              </w:rPr>
            </w:pPr>
            <w:r>
              <w:rPr>
                <w:rFonts w:ascii="Arial" w:cs="Arial" w:eastAsia="Arial" w:hAnsi="Arial"/>
                <w:sz w:val="14"/>
                <w:szCs w:val="14"/>
                <w:color w:val="auto"/>
              </w:rPr>
              <w:t>(Income) loss from restricted investments</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(36 )</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(17 )</w:t>
            </w:r>
          </w:p>
        </w:tc>
      </w:tr>
      <w:tr>
        <w:trPr>
          <w:trHeight w:val="208"/>
        </w:trPr>
        <w:tc>
          <w:tcPr>
            <w:tcW w:w="7320" w:type="dxa"/>
            <w:vAlign w:val="bottom"/>
            <w:shd w:val="clear" w:color="auto" w:fill="CFF0FC"/>
          </w:tcPr>
          <w:p>
            <w:pPr>
              <w:ind w:left="360"/>
              <w:spacing w:after="0"/>
              <w:rPr>
                <w:sz w:val="20"/>
                <w:szCs w:val="20"/>
                <w:color w:val="auto"/>
              </w:rPr>
            </w:pPr>
            <w:r>
              <w:rPr>
                <w:rFonts w:ascii="Arial" w:cs="Arial" w:eastAsia="Arial" w:hAnsi="Arial"/>
                <w:sz w:val="14"/>
                <w:szCs w:val="14"/>
                <w:color w:val="auto"/>
              </w:rPr>
              <w:t>Excess tax benefit on stock based compensation</w:t>
            </w: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w:t>
            </w:r>
          </w:p>
        </w:tc>
      </w:tr>
      <w:tr>
        <w:trPr>
          <w:trHeight w:val="197"/>
        </w:trPr>
        <w:tc>
          <w:tcPr>
            <w:tcW w:w="7320" w:type="dxa"/>
            <w:vAlign w:val="bottom"/>
          </w:tcPr>
          <w:p>
            <w:pPr>
              <w:ind w:left="360"/>
              <w:spacing w:after="0"/>
              <w:rPr>
                <w:sz w:val="20"/>
                <w:szCs w:val="20"/>
                <w:color w:val="auto"/>
              </w:rPr>
            </w:pPr>
            <w:r>
              <w:rPr>
                <w:rFonts w:ascii="Arial" w:cs="Arial" w:eastAsia="Arial" w:hAnsi="Arial"/>
                <w:sz w:val="14"/>
                <w:szCs w:val="14"/>
                <w:color w:val="auto"/>
              </w:rPr>
              <w:t>Loss on early retirement of debt</w:t>
            </w:r>
          </w:p>
        </w:tc>
        <w:tc>
          <w:tcPr>
            <w:tcW w:w="52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59</w:t>
            </w:r>
          </w:p>
        </w:tc>
      </w:tr>
      <w:tr>
        <w:trPr>
          <w:trHeight w:val="208"/>
        </w:trPr>
        <w:tc>
          <w:tcPr>
            <w:tcW w:w="7320" w:type="dxa"/>
            <w:vAlign w:val="bottom"/>
            <w:shd w:val="clear" w:color="auto" w:fill="CFF0FC"/>
          </w:tcPr>
          <w:p>
            <w:pPr>
              <w:ind w:left="360"/>
              <w:spacing w:after="0"/>
              <w:rPr>
                <w:sz w:val="20"/>
                <w:szCs w:val="20"/>
                <w:color w:val="auto"/>
              </w:rPr>
            </w:pPr>
            <w:r>
              <w:rPr>
                <w:rFonts w:ascii="Arial" w:cs="Arial" w:eastAsia="Arial" w:hAnsi="Arial"/>
                <w:sz w:val="14"/>
                <w:szCs w:val="14"/>
                <w:color w:val="auto"/>
              </w:rPr>
              <w:t>(Income) loss on acquisitions and divestitures</w:t>
            </w: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(15 )</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r>
        <w:trPr>
          <w:trHeight w:val="197"/>
        </w:trPr>
        <w:tc>
          <w:tcPr>
            <w:tcW w:w="7320" w:type="dxa"/>
            <w:vAlign w:val="bottom"/>
          </w:tcPr>
          <w:p>
            <w:pPr>
              <w:ind w:left="360"/>
              <w:spacing w:after="0"/>
              <w:rPr>
                <w:sz w:val="20"/>
                <w:szCs w:val="20"/>
                <w:color w:val="auto"/>
              </w:rPr>
            </w:pPr>
            <w:r>
              <w:rPr>
                <w:rFonts w:ascii="Arial" w:cs="Arial" w:eastAsia="Arial" w:hAnsi="Arial"/>
                <w:sz w:val="14"/>
                <w:szCs w:val="14"/>
                <w:color w:val="auto"/>
              </w:rPr>
              <w:t>Impairments</w:t>
            </w:r>
          </w:p>
        </w:tc>
        <w:tc>
          <w:tcPr>
            <w:tcW w:w="52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530</w:t>
            </w:r>
          </w:p>
        </w:tc>
      </w:tr>
      <w:tr>
        <w:trPr>
          <w:trHeight w:val="208"/>
        </w:trPr>
        <w:tc>
          <w:tcPr>
            <w:tcW w:w="7320" w:type="dxa"/>
            <w:vAlign w:val="bottom"/>
            <w:shd w:val="clear" w:color="auto" w:fill="CFF0FC"/>
          </w:tcPr>
          <w:p>
            <w:pPr>
              <w:ind w:left="360"/>
              <w:spacing w:after="0"/>
              <w:rPr>
                <w:sz w:val="20"/>
                <w:szCs w:val="20"/>
                <w:color w:val="auto"/>
              </w:rPr>
            </w:pPr>
            <w:r>
              <w:rPr>
                <w:rFonts w:ascii="Arial" w:cs="Arial" w:eastAsia="Arial" w:hAnsi="Arial"/>
                <w:sz w:val="14"/>
                <w:szCs w:val="14"/>
                <w:color w:val="auto"/>
              </w:rPr>
              <w:t>Pension contributions</w:t>
            </w: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(6 )</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(5 )</w:t>
            </w:r>
          </w:p>
        </w:tc>
      </w:tr>
      <w:tr>
        <w:trPr>
          <w:trHeight w:val="197"/>
        </w:trPr>
        <w:tc>
          <w:tcPr>
            <w:tcW w:w="7320" w:type="dxa"/>
            <w:vAlign w:val="bottom"/>
          </w:tcPr>
          <w:p>
            <w:pPr>
              <w:ind w:left="360"/>
              <w:spacing w:after="0"/>
              <w:rPr>
                <w:sz w:val="20"/>
                <w:szCs w:val="20"/>
                <w:color w:val="auto"/>
              </w:rPr>
            </w:pPr>
            <w:r>
              <w:rPr>
                <w:rFonts w:ascii="Arial" w:cs="Arial" w:eastAsia="Arial" w:hAnsi="Arial"/>
                <w:sz w:val="14"/>
                <w:szCs w:val="14"/>
                <w:color w:val="auto"/>
              </w:rPr>
              <w:t>Change in operating assets and liabilities (a)</w:t>
            </w: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w:t>
            </w:r>
          </w:p>
        </w:tc>
        <w:tc>
          <w:tcPr>
            <w:tcW w:w="1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(101 )</w:t>
            </w:r>
          </w:p>
        </w:tc>
      </w:tr>
      <w:tr>
        <w:trPr>
          <w:trHeight w:val="202"/>
        </w:trPr>
        <w:tc>
          <w:tcPr>
            <w:tcW w:w="73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Total cash flows provided by operating activities from continuing operations</w:t>
            </w:r>
          </w:p>
        </w:tc>
        <w:tc>
          <w:tcPr>
            <w:tcW w:w="5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403</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153</w:t>
            </w:r>
          </w:p>
        </w:tc>
      </w:tr>
      <w:tr>
        <w:trPr>
          <w:trHeight w:val="180"/>
        </w:trPr>
        <w:tc>
          <w:tcPr>
            <w:tcW w:w="7320" w:type="dxa"/>
            <w:vAlign w:val="bottom"/>
          </w:tcPr>
          <w:p>
            <w:pPr>
              <w:spacing w:after="0"/>
              <w:rPr>
                <w:sz w:val="20"/>
                <w:szCs w:val="20"/>
                <w:color w:val="auto"/>
              </w:rPr>
            </w:pPr>
            <w:r>
              <w:rPr>
                <w:rFonts w:ascii="Arial" w:cs="Arial" w:eastAsia="Arial" w:hAnsi="Arial"/>
                <w:sz w:val="14"/>
                <w:szCs w:val="14"/>
                <w:b w:val="1"/>
                <w:bCs w:val="1"/>
                <w:color w:val="auto"/>
              </w:rPr>
              <w:t>CASH FLOWS PROVIDED (USED) BY INVESTING ACTIVITIES FROM</w:t>
            </w: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92"/>
        </w:trPr>
        <w:tc>
          <w:tcPr>
            <w:tcW w:w="7320" w:type="dxa"/>
            <w:vAlign w:val="bottom"/>
          </w:tcPr>
          <w:p>
            <w:pPr>
              <w:ind w:left="100"/>
              <w:spacing w:after="0"/>
              <w:rPr>
                <w:sz w:val="20"/>
                <w:szCs w:val="20"/>
                <w:color w:val="auto"/>
              </w:rPr>
            </w:pPr>
            <w:r>
              <w:rPr>
                <w:rFonts w:ascii="Arial" w:cs="Arial" w:eastAsia="Arial" w:hAnsi="Arial"/>
                <w:sz w:val="14"/>
                <w:szCs w:val="14"/>
                <w:b w:val="1"/>
                <w:bCs w:val="1"/>
                <w:color w:val="auto"/>
              </w:rPr>
              <w:t>CONTINUING OPERATIONS</w:t>
            </w: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8"/>
        </w:trPr>
        <w:tc>
          <w:tcPr>
            <w:tcW w:w="73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Additions to property, plant and equipment</w:t>
            </w: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(77 )</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(94 )</w:t>
            </w:r>
          </w:p>
        </w:tc>
      </w:tr>
      <w:tr>
        <w:trPr>
          <w:trHeight w:val="197"/>
        </w:trPr>
        <w:tc>
          <w:tcPr>
            <w:tcW w:w="7320" w:type="dxa"/>
            <w:vAlign w:val="bottom"/>
          </w:tcPr>
          <w:p>
            <w:pPr>
              <w:ind w:left="180"/>
              <w:spacing w:after="0"/>
              <w:rPr>
                <w:sz w:val="20"/>
                <w:szCs w:val="20"/>
                <w:color w:val="auto"/>
              </w:rPr>
            </w:pPr>
            <w:r>
              <w:rPr>
                <w:rFonts w:ascii="Arial" w:cs="Arial" w:eastAsia="Arial" w:hAnsi="Arial"/>
                <w:sz w:val="14"/>
                <w:szCs w:val="14"/>
                <w:color w:val="auto"/>
              </w:rPr>
              <w:t>Proceeds from disposal of property, plant and equipment</w:t>
            </w:r>
          </w:p>
        </w:tc>
        <w:tc>
          <w:tcPr>
            <w:tcW w:w="52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08"/>
        </w:trPr>
        <w:tc>
          <w:tcPr>
            <w:tcW w:w="73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Purchase of operations - net of cash acquired</w:t>
            </w: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(308 )</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r>
        <w:trPr>
          <w:trHeight w:val="197"/>
        </w:trPr>
        <w:tc>
          <w:tcPr>
            <w:tcW w:w="7320" w:type="dxa"/>
            <w:vAlign w:val="bottom"/>
          </w:tcPr>
          <w:p>
            <w:pPr>
              <w:ind w:left="180"/>
              <w:spacing w:after="0"/>
              <w:rPr>
                <w:sz w:val="20"/>
                <w:szCs w:val="20"/>
                <w:color w:val="auto"/>
              </w:rPr>
            </w:pPr>
            <w:r>
              <w:rPr>
                <w:rFonts w:ascii="Arial" w:cs="Arial" w:eastAsia="Arial" w:hAnsi="Arial"/>
                <w:sz w:val="14"/>
                <w:szCs w:val="14"/>
                <w:color w:val="auto"/>
              </w:rPr>
              <w:t>Proceeds from sale or restructuring of operations</w:t>
            </w:r>
          </w:p>
        </w:tc>
        <w:tc>
          <w:tcPr>
            <w:tcW w:w="52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9"/>
        </w:trPr>
        <w:tc>
          <w:tcPr>
            <w:tcW w:w="73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Proceeds from settlement of Company-owned life insurance contracts</w:t>
            </w: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7</w:t>
            </w:r>
          </w:p>
        </w:tc>
      </w:tr>
      <w:tr>
        <w:trPr>
          <w:trHeight w:val="196"/>
        </w:trPr>
        <w:tc>
          <w:tcPr>
            <w:tcW w:w="7320" w:type="dxa"/>
            <w:vAlign w:val="bottom"/>
          </w:tcPr>
          <w:p>
            <w:pPr>
              <w:ind w:left="180"/>
              <w:spacing w:after="0"/>
              <w:rPr>
                <w:sz w:val="20"/>
                <w:szCs w:val="20"/>
                <w:color w:val="auto"/>
              </w:rPr>
            </w:pPr>
            <w:r>
              <w:rPr>
                <w:rFonts w:ascii="Arial" w:cs="Arial" w:eastAsia="Arial" w:hAnsi="Arial"/>
                <w:sz w:val="14"/>
                <w:szCs w:val="14"/>
                <w:color w:val="auto"/>
              </w:rPr>
              <w:t>Company-owned life insurance payments</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(1 )</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(2 )</w:t>
            </w:r>
          </w:p>
        </w:tc>
      </w:tr>
      <w:tr>
        <w:trPr>
          <w:trHeight w:val="209"/>
        </w:trPr>
        <w:tc>
          <w:tcPr>
            <w:tcW w:w="73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Net purchase of funds restricted for specific transactions</w:t>
            </w: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(1 )</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(3 )</w:t>
            </w:r>
          </w:p>
        </w:tc>
      </w:tr>
      <w:tr>
        <w:trPr>
          <w:trHeight w:val="196"/>
        </w:trPr>
        <w:tc>
          <w:tcPr>
            <w:tcW w:w="7320" w:type="dxa"/>
            <w:vAlign w:val="bottom"/>
          </w:tcPr>
          <w:p>
            <w:pPr>
              <w:ind w:left="180"/>
              <w:spacing w:after="0"/>
              <w:rPr>
                <w:sz w:val="20"/>
                <w:szCs w:val="20"/>
                <w:color w:val="auto"/>
              </w:rPr>
            </w:pPr>
            <w:r>
              <w:rPr>
                <w:rFonts w:ascii="Arial" w:cs="Arial" w:eastAsia="Arial" w:hAnsi="Arial"/>
                <w:sz w:val="14"/>
                <w:szCs w:val="14"/>
                <w:color w:val="auto"/>
              </w:rPr>
              <w:t>Reimbursements from restricted investments</w:t>
            </w:r>
          </w:p>
        </w:tc>
        <w:tc>
          <w:tcPr>
            <w:tcW w:w="52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26</w:t>
            </w:r>
          </w:p>
        </w:tc>
      </w:tr>
      <w:tr>
        <w:trPr>
          <w:trHeight w:val="209"/>
        </w:trPr>
        <w:tc>
          <w:tcPr>
            <w:tcW w:w="73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Proceeds from sale of securities</w:t>
            </w: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56</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16</w:t>
            </w:r>
          </w:p>
        </w:tc>
      </w:tr>
      <w:tr>
        <w:trPr>
          <w:trHeight w:val="196"/>
        </w:trPr>
        <w:tc>
          <w:tcPr>
            <w:tcW w:w="7320" w:type="dxa"/>
            <w:vAlign w:val="bottom"/>
          </w:tcPr>
          <w:p>
            <w:pPr>
              <w:ind w:left="180"/>
              <w:spacing w:after="0"/>
              <w:rPr>
                <w:sz w:val="20"/>
                <w:szCs w:val="20"/>
                <w:color w:val="auto"/>
              </w:rPr>
            </w:pPr>
            <w:r>
              <w:rPr>
                <w:rFonts w:ascii="Arial" w:cs="Arial" w:eastAsia="Arial" w:hAnsi="Arial"/>
                <w:sz w:val="14"/>
                <w:szCs w:val="14"/>
                <w:color w:val="auto"/>
              </w:rPr>
              <w:t>Purchases of securities</w:t>
            </w: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(56 )</w:t>
            </w:r>
          </w:p>
        </w:tc>
        <w:tc>
          <w:tcPr>
            <w:tcW w:w="1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(16 )</w:t>
            </w:r>
          </w:p>
        </w:tc>
      </w:tr>
      <w:tr>
        <w:trPr>
          <w:trHeight w:val="202"/>
        </w:trPr>
        <w:tc>
          <w:tcPr>
            <w:tcW w:w="73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Total cash flows used by investing activities from continuing operations</w:t>
            </w:r>
          </w:p>
        </w:tc>
        <w:tc>
          <w:tcPr>
            <w:tcW w:w="5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(343 )</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(65 )</w:t>
            </w:r>
          </w:p>
        </w:tc>
      </w:tr>
      <w:tr>
        <w:trPr>
          <w:trHeight w:val="180"/>
        </w:trPr>
        <w:tc>
          <w:tcPr>
            <w:tcW w:w="7320" w:type="dxa"/>
            <w:vAlign w:val="bottom"/>
          </w:tcPr>
          <w:p>
            <w:pPr>
              <w:spacing w:after="0"/>
              <w:rPr>
                <w:sz w:val="20"/>
                <w:szCs w:val="20"/>
                <w:color w:val="auto"/>
              </w:rPr>
            </w:pPr>
            <w:r>
              <w:rPr>
                <w:rFonts w:ascii="Arial" w:cs="Arial" w:eastAsia="Arial" w:hAnsi="Arial"/>
                <w:sz w:val="14"/>
                <w:szCs w:val="14"/>
                <w:b w:val="1"/>
                <w:bCs w:val="1"/>
                <w:color w:val="auto"/>
              </w:rPr>
              <w:t>CASH FLOWS PROVIDED (USED) BY FINANCING ACTIVITIES FROM</w:t>
            </w: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92"/>
        </w:trPr>
        <w:tc>
          <w:tcPr>
            <w:tcW w:w="7320" w:type="dxa"/>
            <w:vAlign w:val="bottom"/>
          </w:tcPr>
          <w:p>
            <w:pPr>
              <w:ind w:left="100"/>
              <w:spacing w:after="0"/>
              <w:rPr>
                <w:sz w:val="20"/>
                <w:szCs w:val="20"/>
                <w:color w:val="auto"/>
              </w:rPr>
            </w:pPr>
            <w:r>
              <w:rPr>
                <w:rFonts w:ascii="Arial" w:cs="Arial" w:eastAsia="Arial" w:hAnsi="Arial"/>
                <w:sz w:val="14"/>
                <w:szCs w:val="14"/>
                <w:b w:val="1"/>
                <w:bCs w:val="1"/>
                <w:color w:val="auto"/>
              </w:rPr>
              <w:t>CONTINUING OPERATIONS</w:t>
            </w: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8"/>
        </w:trPr>
        <w:tc>
          <w:tcPr>
            <w:tcW w:w="73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Proceeds from issuance of long-term debt</w:t>
            </w: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804</w:t>
            </w:r>
          </w:p>
        </w:tc>
      </w:tr>
      <w:tr>
        <w:trPr>
          <w:trHeight w:val="197"/>
        </w:trPr>
        <w:tc>
          <w:tcPr>
            <w:tcW w:w="7320" w:type="dxa"/>
            <w:vAlign w:val="bottom"/>
          </w:tcPr>
          <w:p>
            <w:pPr>
              <w:ind w:left="180"/>
              <w:spacing w:after="0"/>
              <w:rPr>
                <w:sz w:val="20"/>
                <w:szCs w:val="20"/>
                <w:color w:val="auto"/>
              </w:rPr>
            </w:pPr>
            <w:r>
              <w:rPr>
                <w:rFonts w:ascii="Arial" w:cs="Arial" w:eastAsia="Arial" w:hAnsi="Arial"/>
                <w:sz w:val="14"/>
                <w:szCs w:val="14"/>
                <w:color w:val="auto"/>
              </w:rPr>
              <w:t>Repayment of long-term debt</w:t>
            </w:r>
          </w:p>
        </w:tc>
        <w:tc>
          <w:tcPr>
            <w:tcW w:w="52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(767 )</w:t>
            </w:r>
          </w:p>
        </w:tc>
      </w:tr>
      <w:tr>
        <w:trPr>
          <w:trHeight w:val="208"/>
        </w:trPr>
        <w:tc>
          <w:tcPr>
            <w:tcW w:w="73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Premium on long-term debt repayment</w:t>
            </w: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(59 )</w:t>
            </w:r>
          </w:p>
        </w:tc>
      </w:tr>
      <w:tr>
        <w:trPr>
          <w:trHeight w:val="197"/>
        </w:trPr>
        <w:tc>
          <w:tcPr>
            <w:tcW w:w="7320" w:type="dxa"/>
            <w:vAlign w:val="bottom"/>
          </w:tcPr>
          <w:p>
            <w:pPr>
              <w:ind w:left="180"/>
              <w:spacing w:after="0"/>
              <w:rPr>
                <w:sz w:val="20"/>
                <w:szCs w:val="20"/>
                <w:color w:val="auto"/>
              </w:rPr>
            </w:pPr>
            <w:r>
              <w:rPr>
                <w:rFonts w:ascii="Arial" w:cs="Arial" w:eastAsia="Arial" w:hAnsi="Arial"/>
                <w:sz w:val="14"/>
                <w:szCs w:val="14"/>
                <w:color w:val="auto"/>
              </w:rPr>
              <w:t>Proceeds from (repayment of) short-term debt</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(185 )</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281</w:t>
            </w:r>
          </w:p>
        </w:tc>
      </w:tr>
      <w:tr>
        <w:trPr>
          <w:trHeight w:val="208"/>
        </w:trPr>
        <w:tc>
          <w:tcPr>
            <w:tcW w:w="73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Debt issuance costs</w:t>
            </w: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(11 )</w:t>
            </w:r>
          </w:p>
        </w:tc>
      </w:tr>
      <w:tr>
        <w:trPr>
          <w:trHeight w:val="197"/>
        </w:trPr>
        <w:tc>
          <w:tcPr>
            <w:tcW w:w="7320" w:type="dxa"/>
            <w:vAlign w:val="bottom"/>
          </w:tcPr>
          <w:p>
            <w:pPr>
              <w:ind w:left="180"/>
              <w:spacing w:after="0"/>
              <w:rPr>
                <w:sz w:val="20"/>
                <w:szCs w:val="20"/>
                <w:color w:val="auto"/>
              </w:rPr>
            </w:pPr>
            <w:r>
              <w:rPr>
                <w:rFonts w:ascii="Arial" w:cs="Arial" w:eastAsia="Arial" w:hAnsi="Arial"/>
                <w:sz w:val="14"/>
                <w:szCs w:val="14"/>
                <w:color w:val="auto"/>
              </w:rPr>
              <w:t>Cash dividends paid</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(52 )</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(50 )</w:t>
            </w:r>
          </w:p>
        </w:tc>
      </w:tr>
      <w:tr>
        <w:trPr>
          <w:trHeight w:val="203"/>
        </w:trPr>
        <w:tc>
          <w:tcPr>
            <w:tcW w:w="73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Stock based compensation employee withholding taxes paid in cash</w:t>
            </w:r>
          </w:p>
        </w:tc>
        <w:tc>
          <w:tcPr>
            <w:tcW w:w="5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(6 )</w:t>
            </w:r>
          </w:p>
        </w:tc>
        <w:tc>
          <w:tcPr>
            <w:tcW w:w="18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(6 )</w:t>
            </w:r>
          </w:p>
        </w:tc>
      </w:tr>
      <w:tr>
        <w:trPr>
          <w:trHeight w:val="196"/>
        </w:trPr>
        <w:tc>
          <w:tcPr>
            <w:tcW w:w="7320" w:type="dxa"/>
            <w:vAlign w:val="bottom"/>
          </w:tcPr>
          <w:p>
            <w:pPr>
              <w:ind w:left="180"/>
              <w:spacing w:after="0"/>
              <w:rPr>
                <w:sz w:val="20"/>
                <w:szCs w:val="20"/>
                <w:color w:val="auto"/>
              </w:rPr>
            </w:pPr>
            <w:r>
              <w:rPr>
                <w:rFonts w:ascii="Arial" w:cs="Arial" w:eastAsia="Arial" w:hAnsi="Arial"/>
                <w:sz w:val="14"/>
                <w:szCs w:val="14"/>
                <w:color w:val="auto"/>
              </w:rPr>
              <w:t>Total cash flows provided (used) by financing activities from continuing operations</w:t>
            </w: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(243 )</w:t>
            </w:r>
          </w:p>
        </w:tc>
        <w:tc>
          <w:tcPr>
            <w:tcW w:w="1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192</w:t>
            </w:r>
          </w:p>
        </w:tc>
      </w:tr>
      <w:tr>
        <w:trPr>
          <w:trHeight w:val="202"/>
        </w:trPr>
        <w:tc>
          <w:tcPr>
            <w:tcW w:w="73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CASH PROVIDED (USED) BY CONTINUING OPERATIONS</w:t>
            </w:r>
          </w:p>
        </w:tc>
        <w:tc>
          <w:tcPr>
            <w:tcW w:w="5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(183 )</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280</w:t>
            </w:r>
          </w:p>
        </w:tc>
      </w:tr>
      <w:tr>
        <w:trPr>
          <w:trHeight w:val="196"/>
        </w:trPr>
        <w:tc>
          <w:tcPr>
            <w:tcW w:w="7320" w:type="dxa"/>
            <w:vAlign w:val="bottom"/>
          </w:tcPr>
          <w:p>
            <w:pPr>
              <w:ind w:left="180"/>
              <w:spacing w:after="0"/>
              <w:rPr>
                <w:sz w:val="20"/>
                <w:szCs w:val="20"/>
                <w:color w:val="auto"/>
              </w:rPr>
            </w:pPr>
            <w:r>
              <w:rPr>
                <w:rFonts w:ascii="Arial" w:cs="Arial" w:eastAsia="Arial" w:hAnsi="Arial"/>
                <w:sz w:val="14"/>
                <w:szCs w:val="14"/>
                <w:color w:val="auto"/>
              </w:rPr>
              <w:t>Cash provided (used) by discontinued operations</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8"/>
        </w:trPr>
        <w:tc>
          <w:tcPr>
            <w:tcW w:w="7320" w:type="dxa"/>
            <w:vAlign w:val="bottom"/>
            <w:shd w:val="clear" w:color="auto" w:fill="CFF0FC"/>
          </w:tcPr>
          <w:p>
            <w:pPr>
              <w:ind w:left="360"/>
              <w:spacing w:after="0"/>
              <w:rPr>
                <w:sz w:val="20"/>
                <w:szCs w:val="20"/>
                <w:color w:val="auto"/>
              </w:rPr>
            </w:pPr>
            <w:r>
              <w:rPr>
                <w:rFonts w:ascii="Arial" w:cs="Arial" w:eastAsia="Arial" w:hAnsi="Arial"/>
                <w:sz w:val="14"/>
                <w:szCs w:val="14"/>
                <w:color w:val="auto"/>
              </w:rPr>
              <w:t>Operating cash flows</w:t>
            </w: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(4 )</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(98 )</w:t>
            </w:r>
          </w:p>
        </w:tc>
      </w:tr>
      <w:tr>
        <w:trPr>
          <w:trHeight w:val="197"/>
        </w:trPr>
        <w:tc>
          <w:tcPr>
            <w:tcW w:w="7320" w:type="dxa"/>
            <w:vAlign w:val="bottom"/>
          </w:tcPr>
          <w:p>
            <w:pPr>
              <w:ind w:left="360"/>
              <w:spacing w:after="0"/>
              <w:rPr>
                <w:sz w:val="20"/>
                <w:szCs w:val="20"/>
                <w:color w:val="auto"/>
              </w:rPr>
            </w:pPr>
            <w:r>
              <w:rPr>
                <w:rFonts w:ascii="Arial" w:cs="Arial" w:eastAsia="Arial" w:hAnsi="Arial"/>
                <w:sz w:val="14"/>
                <w:szCs w:val="14"/>
                <w:color w:val="auto"/>
              </w:rPr>
              <w:t>Investing cash flows</w:t>
            </w: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(9 )</w:t>
            </w:r>
          </w:p>
        </w:tc>
        <w:tc>
          <w:tcPr>
            <w:tcW w:w="1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r>
      <w:tr>
        <w:trPr>
          <w:trHeight w:val="202"/>
        </w:trPr>
        <w:tc>
          <w:tcPr>
            <w:tcW w:w="73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Total cash used by discontinued operations</w:t>
            </w:r>
          </w:p>
        </w:tc>
        <w:tc>
          <w:tcPr>
            <w:tcW w:w="5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(13 )</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(97 )</w:t>
            </w:r>
          </w:p>
        </w:tc>
      </w:tr>
      <w:tr>
        <w:trPr>
          <w:trHeight w:val="196"/>
        </w:trPr>
        <w:tc>
          <w:tcPr>
            <w:tcW w:w="7320" w:type="dxa"/>
            <w:vAlign w:val="bottom"/>
          </w:tcPr>
          <w:p>
            <w:pPr>
              <w:ind w:left="180"/>
              <w:spacing w:after="0"/>
              <w:rPr>
                <w:sz w:val="20"/>
                <w:szCs w:val="20"/>
                <w:color w:val="auto"/>
              </w:rPr>
            </w:pPr>
            <w:r>
              <w:rPr>
                <w:rFonts w:ascii="Arial" w:cs="Arial" w:eastAsia="Arial" w:hAnsi="Arial"/>
                <w:sz w:val="14"/>
                <w:szCs w:val="14"/>
                <w:color w:val="auto"/>
              </w:rPr>
              <w:t>Effect of currency exchange rate changes on cash and cash equivalents</w:t>
            </w: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r>
      <w:tr>
        <w:trPr>
          <w:trHeight w:val="196"/>
        </w:trPr>
        <w:tc>
          <w:tcPr>
            <w:tcW w:w="7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INCREASE (DECREASE) IN CASH AND CASH EQUIVALENTS</w:t>
            </w:r>
          </w:p>
        </w:tc>
        <w:tc>
          <w:tcPr>
            <w:tcW w:w="5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(192 )</w:t>
            </w:r>
          </w:p>
        </w:tc>
        <w:tc>
          <w:tcPr>
            <w:tcW w:w="18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184</w:t>
            </w:r>
          </w:p>
        </w:tc>
      </w:tr>
      <w:tr>
        <w:trPr>
          <w:trHeight w:val="196"/>
        </w:trPr>
        <w:tc>
          <w:tcPr>
            <w:tcW w:w="7320" w:type="dxa"/>
            <w:vAlign w:val="bottom"/>
          </w:tcPr>
          <w:p>
            <w:pPr>
              <w:spacing w:after="0"/>
              <w:rPr>
                <w:sz w:val="20"/>
                <w:szCs w:val="20"/>
                <w:color w:val="auto"/>
              </w:rPr>
            </w:pPr>
            <w:r>
              <w:rPr>
                <w:rFonts w:ascii="Arial" w:cs="Arial" w:eastAsia="Arial" w:hAnsi="Arial"/>
                <w:sz w:val="14"/>
                <w:szCs w:val="14"/>
                <w:b w:val="1"/>
                <w:bCs w:val="1"/>
                <w:color w:val="auto"/>
              </w:rPr>
              <w:t>CASH AND CASH EQUIVALENTS - BEGINNING OF PERIOD</w:t>
            </w: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454</w:t>
            </w:r>
          </w:p>
        </w:tc>
        <w:tc>
          <w:tcPr>
            <w:tcW w:w="1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232</w:t>
            </w:r>
          </w:p>
        </w:tc>
      </w:tr>
      <w:tr>
        <w:trPr>
          <w:trHeight w:val="236"/>
        </w:trPr>
        <w:tc>
          <w:tcPr>
            <w:tcW w:w="7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CASH AND CASH EQUIVALENTS - END OF PERIOD</w:t>
            </w:r>
          </w:p>
        </w:tc>
        <w:tc>
          <w:tcPr>
            <w:tcW w:w="520" w:type="dxa"/>
            <w:vAlign w:val="bottom"/>
            <w:tcBorders>
              <w:bottom w:val="single" w:sz="8" w:color="auto"/>
            </w:tcBorders>
            <w:shd w:val="clear" w:color="auto" w:fill="CFF0FC"/>
          </w:tcPr>
          <w:p>
            <w:pPr>
              <w:jc w:val="right"/>
              <w:ind w:right="36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262</w:t>
            </w:r>
          </w:p>
        </w:tc>
        <w:tc>
          <w:tcPr>
            <w:tcW w:w="18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56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416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-1359535</wp:posOffset>
            </wp:positionV>
            <wp:extent cx="11112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-296545</wp:posOffset>
            </wp:positionV>
            <wp:extent cx="11112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1111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-8255</wp:posOffset>
            </wp:positionV>
            <wp:extent cx="1111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146050</wp:posOffset>
            </wp:positionV>
            <wp:extent cx="66262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326"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(a)</w:t>
        <w:tab/>
        <w:t>Excludes changes resulting from operations acquired, sold or held for sale.</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CONDENSED CONSOLIDATED FINANCIAL STATEMENTS.</w:t>
      </w:r>
    </w:p>
    <w:p>
      <w:pPr>
        <w:spacing w:after="0" w:line="12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30" w:right="739" w:bottom="1440" w:gutter="0" w:footer="0" w:header="0"/>
        </w:sectPr>
      </w:pPr>
    </w:p>
    <w:bookmarkStart w:id="5" w:name="page6"/>
    <w:bookmarkEnd w:id="5"/>
    <w:p>
      <w:pPr>
        <w:ind w:right="3900"/>
        <w:spacing w:after="0" w:line="32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A – SIGNIFICANT ACCOUNTING POLICIES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Basis of presentation</w:t>
      </w:r>
    </w:p>
    <w:p>
      <w:pPr>
        <w:spacing w:after="0" w:line="141" w:lineRule="exact"/>
        <w:rPr>
          <w:sz w:val="20"/>
          <w:szCs w:val="20"/>
          <w:color w:val="auto"/>
        </w:rPr>
      </w:pPr>
    </w:p>
    <w:p>
      <w:pPr>
        <w:jc w:val="both"/>
        <w:ind w:left="340"/>
        <w:spacing w:after="0" w:line="349"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for interim financial reporting and Securities and Exchange Commission (SEC) regulations. In the opinion of management, all adjustments considered necessary for a fair presentation have been included. These statements omit certain information and footnote disclosures required for complete annual financial statements and, therefore, should be read in conjunction with Ashland Global Holdings Inc. and consolidated subsidiaries (Ashland) Annual Report on Form 10-K for the fiscal year ended September 30, 2020. Results of operations for the period ended June 30, 2021 are not necessarily indicative of the expected results for the remaining quarter in the fiscal year. All amounts are presented in millions except per-share amounts.</w:t>
      </w:r>
    </w:p>
    <w:p>
      <w:pPr>
        <w:spacing w:after="0" w:line="31" w:lineRule="exact"/>
        <w:rPr>
          <w:sz w:val="20"/>
          <w:szCs w:val="20"/>
          <w:color w:val="auto"/>
        </w:rPr>
      </w:pPr>
    </w:p>
    <w:p>
      <w:pPr>
        <w:jc w:val="both"/>
        <w:ind w:left="340"/>
        <w:spacing w:after="0" w:line="322" w:lineRule="auto"/>
        <w:rPr>
          <w:sz w:val="20"/>
          <w:szCs w:val="20"/>
          <w:color w:val="auto"/>
        </w:rPr>
      </w:pPr>
      <w:r>
        <w:rPr>
          <w:rFonts w:ascii="Arial" w:cs="Arial" w:eastAsia="Arial" w:hAnsi="Arial"/>
          <w:sz w:val="18"/>
          <w:szCs w:val="18"/>
          <w:color w:val="auto"/>
        </w:rPr>
        <w:t>Ashland’s reportable segments include the consumer specialty businesses: Life Sciences and Personal Care &amp; Household; the industrial specialty businesses: Specialty Additives and Performance Adhesives; and Intermediates and Solvents. Unallocated and Other includes corporate governance activities and certain legacy matters. For additional information, see Note Q.</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Use of estimates, risks and uncertainties</w:t>
      </w:r>
    </w:p>
    <w:p>
      <w:pPr>
        <w:spacing w:after="0" w:line="141" w:lineRule="exact"/>
        <w:rPr>
          <w:sz w:val="20"/>
          <w:szCs w:val="20"/>
          <w:color w:val="auto"/>
        </w:rPr>
      </w:pPr>
    </w:p>
    <w:p>
      <w:pPr>
        <w:jc w:val="both"/>
        <w:ind w:left="340"/>
        <w:spacing w:after="0" w:line="287" w:lineRule="auto"/>
        <w:rPr>
          <w:sz w:val="20"/>
          <w:szCs w:val="20"/>
          <w:color w:val="auto"/>
        </w:rPr>
      </w:pPr>
      <w:r>
        <w:rPr>
          <w:rFonts w:ascii="Arial" w:cs="Arial" w:eastAsia="Arial" w:hAnsi="Arial"/>
          <w:sz w:val="19"/>
          <w:szCs w:val="19"/>
          <w:color w:val="auto"/>
        </w:rPr>
        <w:t>The preparation of Ashland’s Condensed Consolidated Financial Statements in conformity with U.S. GAAP requires management to make estimates and assumptions that affect the reported amounts of assets, liabilities, revenues and expenses, and the disclosures of contingent assets and liabilities. Significant items that are subject to such estimates and assumptions include, but are not limited to, long-lived assets (including goodwill and other intangible assets), income taxes and liabilities and receivables associated with asbestos litigation and environmental remediation. Although management bases its estimates on historical experience and various other assumptions that are believed to be reasonable under the circumstances, actual results could differ significantly from the estimates under different assumptions or conditions.</w:t>
      </w:r>
    </w:p>
    <w:p>
      <w:pPr>
        <w:spacing w:after="0" w:line="75" w:lineRule="exact"/>
        <w:rPr>
          <w:sz w:val="20"/>
          <w:szCs w:val="20"/>
          <w:color w:val="auto"/>
        </w:rPr>
      </w:pPr>
    </w:p>
    <w:p>
      <w:pPr>
        <w:jc w:val="both"/>
        <w:ind w:left="340"/>
        <w:spacing w:after="0" w:line="290" w:lineRule="auto"/>
        <w:rPr>
          <w:sz w:val="20"/>
          <w:szCs w:val="20"/>
          <w:color w:val="auto"/>
        </w:rPr>
      </w:pPr>
      <w:r>
        <w:rPr>
          <w:rFonts w:ascii="Arial" w:cs="Arial" w:eastAsia="Arial" w:hAnsi="Arial"/>
          <w:sz w:val="19"/>
          <w:szCs w:val="19"/>
          <w:color w:val="auto"/>
        </w:rPr>
        <w:t>Ashland’s results are affected by domestic and international economic, political, legislative, regulatory and legal actions. Economic conditions, such as recessionary trends, inflation, interest and monetary exchange rates, government fiscal policies and changes in the prices of certain key raw materials, can have a significant effect on operations. While Ashland maintains reserves for anticipated liabilities and carries various levels of insurance, Ashland could be affected by civil, criminal, regulatory or administrative actions, claims or proceedings relating to asbestos, environmental remediation or other matters.</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New accounting pronouncements</w:t>
      </w:r>
    </w:p>
    <w:p>
      <w:pPr>
        <w:spacing w:after="0" w:line="141" w:lineRule="exact"/>
        <w:rPr>
          <w:sz w:val="20"/>
          <w:szCs w:val="20"/>
          <w:color w:val="auto"/>
        </w:rPr>
      </w:pPr>
    </w:p>
    <w:p>
      <w:pPr>
        <w:jc w:val="both"/>
        <w:ind w:left="340"/>
        <w:spacing w:after="0" w:line="274" w:lineRule="auto"/>
        <w:rPr>
          <w:sz w:val="20"/>
          <w:szCs w:val="20"/>
          <w:color w:val="auto"/>
        </w:rPr>
      </w:pPr>
      <w:r>
        <w:rPr>
          <w:rFonts w:ascii="Arial" w:cs="Arial" w:eastAsia="Arial" w:hAnsi="Arial"/>
          <w:sz w:val="20"/>
          <w:szCs w:val="20"/>
          <w:color w:val="auto"/>
        </w:rPr>
        <w:t>A description of new U.S. GAAP accounting standards issued or adopted during the current year is required in interim financial reporting. A detailed listing of new accounting standards relevant to Ashland is included in the Annual Report on Form 10-K for the fiscal year ended September 30, 2020. The following standards relevant to Ashland were either issued or adopted in the current fiscal year or will become effective in a subsequent period.</w:t>
      </w:r>
    </w:p>
    <w:p>
      <w:pPr>
        <w:spacing w:after="0" w:line="84" w:lineRule="exact"/>
        <w:rPr>
          <w:sz w:val="20"/>
          <w:szCs w:val="20"/>
          <w:color w:val="auto"/>
        </w:rPr>
      </w:pPr>
    </w:p>
    <w:p>
      <w:pPr>
        <w:jc w:val="both"/>
        <w:ind w:left="340"/>
        <w:spacing w:after="0" w:line="309" w:lineRule="auto"/>
        <w:rPr>
          <w:sz w:val="20"/>
          <w:szCs w:val="20"/>
          <w:color w:val="auto"/>
        </w:rPr>
      </w:pPr>
      <w:r>
        <w:rPr>
          <w:rFonts w:ascii="Arial" w:cs="Arial" w:eastAsia="Arial" w:hAnsi="Arial"/>
          <w:sz w:val="18"/>
          <w:szCs w:val="18"/>
          <w:color w:val="auto"/>
        </w:rPr>
        <w:t>In June 2016, the FASB issued amended accounting guidance related to the measurement of credit losses on financial instruments. The amended accounting guidance changes the impairment model for most financial assets to require measurement and recognition of expected credit losses for financial assets held. This guidance became effective for Ashland on October 1, 2020. As a result, Ashland recorded a $3 million increase in its allowance for credit losses, primarily related to asbestos receivables, and a $2 million decrease to retained earnings, net of tax, reflecting the cumulative effect on retained earnings.</w:t>
      </w:r>
    </w:p>
    <w:p>
      <w:pPr>
        <w:spacing w:after="0" w:line="6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57" w:right="659" w:bottom="1440" w:gutter="0" w:footer="0" w:header="0"/>
        </w:sectPr>
      </w:pPr>
    </w:p>
    <w:bookmarkStart w:id="6" w:name="page7"/>
    <w:bookmarkEnd w:id="6"/>
    <w:p>
      <w:pPr>
        <w:jc w:val="both"/>
        <w:ind w:left="340"/>
        <w:spacing w:after="0" w:line="304" w:lineRule="auto"/>
        <w:rPr>
          <w:sz w:val="20"/>
          <w:szCs w:val="20"/>
          <w:color w:val="auto"/>
        </w:rPr>
      </w:pPr>
      <w:r>
        <w:rPr>
          <w:rFonts w:ascii="Arial" w:cs="Arial" w:eastAsia="Arial" w:hAnsi="Arial"/>
          <w:sz w:val="18"/>
          <w:szCs w:val="18"/>
          <w:color w:val="auto"/>
        </w:rPr>
        <w:t>Under the new expected credit loss model, Ashland records an allowance for credit losses inherent in its receivables from revenue transactions and reinsurance recoverables. The allowance for credit losses is a valuation account deducted from the amortized cost basis of the assets to present their net carrying value at the amount expected to be collected. Ashland estimates expected credit losses based on relevant information about past events, including historical experience, current conditions, and reasonable and supportable forecasts that affect the collectability of the reported amount. When measuring expected credit losses, Ashland pools assets with similar country risk and credit risk characteristics. Each period the allowance for credit losses is adjusted through earnings to reflect expected credit losses over the remaining lives of the assets. For the three and nine months ending June 30, 2021, no significant credit losses were incurred within the Statements of Consolidated Comprehensive Income (Loss).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B – ACQUISITIONS AND DIVESTITURES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Acquisitions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Personal Care &amp; Household acquisition</w:t>
      </w:r>
    </w:p>
    <w:p>
      <w:pPr>
        <w:spacing w:after="0" w:line="135" w:lineRule="exact"/>
        <w:rPr>
          <w:sz w:val="20"/>
          <w:szCs w:val="20"/>
          <w:color w:val="auto"/>
        </w:rPr>
      </w:pPr>
    </w:p>
    <w:p>
      <w:pPr>
        <w:jc w:val="both"/>
        <w:ind w:left="340" w:right="20"/>
        <w:spacing w:after="0" w:line="278" w:lineRule="auto"/>
        <w:rPr>
          <w:sz w:val="20"/>
          <w:szCs w:val="20"/>
          <w:color w:val="auto"/>
        </w:rPr>
      </w:pPr>
      <w:r>
        <w:rPr>
          <w:rFonts w:ascii="Arial" w:cs="Arial" w:eastAsia="Arial" w:hAnsi="Arial"/>
          <w:sz w:val="20"/>
          <w:szCs w:val="20"/>
          <w:color w:val="auto"/>
        </w:rPr>
        <w:t>On April 30, 2021, Ashland completed its acquisition of the personal care business of Schülke &amp; Mayr GmbH (Schülke), a portfolio company of the global investment organization EQT. Ashland has included the purchase of this business within the Personal Care and Household reporting segment.</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Purchase price allocation</w:t>
      </w:r>
    </w:p>
    <w:p>
      <w:pPr>
        <w:spacing w:after="0" w:line="135" w:lineRule="exact"/>
        <w:rPr>
          <w:sz w:val="20"/>
          <w:szCs w:val="20"/>
          <w:color w:val="auto"/>
        </w:rPr>
      </w:pPr>
    </w:p>
    <w:p>
      <w:pPr>
        <w:jc w:val="both"/>
        <w:ind w:left="340"/>
        <w:spacing w:after="0" w:line="278" w:lineRule="auto"/>
        <w:rPr>
          <w:sz w:val="20"/>
          <w:szCs w:val="20"/>
          <w:color w:val="auto"/>
        </w:rPr>
      </w:pPr>
      <w:r>
        <w:rPr>
          <w:rFonts w:ascii="Arial" w:cs="Arial" w:eastAsia="Arial" w:hAnsi="Arial"/>
          <w:sz w:val="20"/>
          <w:szCs w:val="20"/>
          <w:color w:val="auto"/>
        </w:rPr>
        <w:t>The acquisition was recorded by Ashland using the purchase method of accounting in accordance with applicable U.S. GAAP whereby the total purchase price was allocated to tangible and intangible assets acquired and liabilities assumed based on respective fair values.</w:t>
      </w:r>
    </w:p>
    <w:p>
      <w:pPr>
        <w:spacing w:after="0" w:line="78" w:lineRule="exact"/>
        <w:rPr>
          <w:sz w:val="20"/>
          <w:szCs w:val="20"/>
          <w:color w:val="auto"/>
        </w:rPr>
      </w:pPr>
    </w:p>
    <w:p>
      <w:pPr>
        <w:jc w:val="both"/>
        <w:ind w:left="340"/>
        <w:spacing w:after="0" w:line="271" w:lineRule="auto"/>
        <w:rPr>
          <w:sz w:val="20"/>
          <w:szCs w:val="20"/>
          <w:color w:val="auto"/>
        </w:rPr>
      </w:pPr>
      <w:r>
        <w:rPr>
          <w:rFonts w:ascii="Arial" w:cs="Arial" w:eastAsia="Arial" w:hAnsi="Arial"/>
          <w:sz w:val="20"/>
          <w:szCs w:val="20"/>
          <w:color w:val="auto"/>
        </w:rPr>
        <w:t>The all-cash purchase price of Schülke was $311 million. Ashland incurred acquisition related transaction cost of $2 million and $4 million during the three and nine months ended June 30, 2021, respectively, which are recorded within the net income on acquisitions and divestitures caption within the Statement of Consolidated Comprehensive Income (Loss). Within this same caption, Ashland recognized income of $4 million and $1 million during the three and nine months ended June 30, 2021, respectively, associated with foreign currency derivative gains on foreign exchange contracts entered into to mitigate the exposure of the Euro dominated purchase price. The following table summarizes the current preliminary values of the assets acquired and liabilities assumed at the date of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56515</wp:posOffset>
            </wp:positionV>
            <wp:extent cx="65665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95"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8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gridSpan w:val="2"/>
          </w:tcPr>
          <w:p>
            <w:pPr>
              <w:jc w:val="right"/>
              <w:ind w:right="760"/>
              <w:spacing w:after="0"/>
              <w:rPr>
                <w:sz w:val="20"/>
                <w:szCs w:val="20"/>
                <w:color w:val="auto"/>
              </w:rPr>
            </w:pPr>
            <w:r>
              <w:rPr>
                <w:rFonts w:ascii="Arial" w:cs="Arial" w:eastAsia="Arial" w:hAnsi="Arial"/>
                <w:sz w:val="18"/>
                <w:szCs w:val="18"/>
                <w:color w:val="auto"/>
              </w:rPr>
              <w:t>At April 30,</w:t>
            </w:r>
          </w:p>
        </w:tc>
      </w:tr>
      <w:tr>
        <w:trPr>
          <w:trHeight w:val="263"/>
        </w:trPr>
        <w:tc>
          <w:tcPr>
            <w:tcW w:w="8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Preliminary purchase price allocation (In millions)</w:t>
            </w:r>
          </w:p>
        </w:tc>
        <w:tc>
          <w:tcPr>
            <w:tcW w:w="38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22"/>
                <w:szCs w:val="22"/>
                <w:color w:val="auto"/>
              </w:rPr>
            </w:pPr>
          </w:p>
        </w:tc>
      </w:tr>
      <w:tr>
        <w:trPr>
          <w:trHeight w:val="256"/>
        </w:trPr>
        <w:tc>
          <w:tcPr>
            <w:tcW w:w="810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380" w:type="dxa"/>
            <w:vAlign w:val="bottom"/>
            <w:shd w:val="clear" w:color="auto" w:fill="CFF0FC"/>
          </w:tcPr>
          <w:p>
            <w:pPr>
              <w:spacing w:after="0"/>
              <w:rPr>
                <w:sz w:val="22"/>
                <w:szCs w:val="22"/>
                <w:color w:val="auto"/>
              </w:rPr>
            </w:pPr>
          </w:p>
        </w:tc>
        <w:tc>
          <w:tcPr>
            <w:tcW w:w="18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810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r>
      <w:tr>
        <w:trPr>
          <w:trHeight w:val="263"/>
        </w:trPr>
        <w:tc>
          <w:tcPr>
            <w:tcW w:w="8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380" w:type="dxa"/>
            <w:vAlign w:val="bottom"/>
            <w:shd w:val="clear" w:color="auto" w:fill="CFF0FC"/>
          </w:tcPr>
          <w:p>
            <w:pPr>
              <w:spacing w:after="0"/>
              <w:rPr>
                <w:sz w:val="22"/>
                <w:szCs w:val="22"/>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22"/>
                <w:szCs w:val="22"/>
                <w:color w:val="auto"/>
              </w:rPr>
            </w:pPr>
          </w:p>
        </w:tc>
      </w:tr>
      <w:tr>
        <w:trPr>
          <w:trHeight w:val="250"/>
        </w:trPr>
        <w:tc>
          <w:tcPr>
            <w:tcW w:w="810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1"/>
                <w:szCs w:val="21"/>
                <w:color w:val="auto"/>
              </w:rPr>
            </w:pPr>
          </w:p>
        </w:tc>
      </w:tr>
      <w:tr>
        <w:trPr>
          <w:trHeight w:val="263"/>
        </w:trPr>
        <w:tc>
          <w:tcPr>
            <w:tcW w:w="8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property, plant and equipment</w:t>
            </w:r>
          </w:p>
        </w:tc>
        <w:tc>
          <w:tcPr>
            <w:tcW w:w="380" w:type="dxa"/>
            <w:vAlign w:val="bottom"/>
            <w:shd w:val="clear" w:color="auto" w:fill="CFF0FC"/>
          </w:tcPr>
          <w:p>
            <w:pPr>
              <w:spacing w:after="0"/>
              <w:rPr>
                <w:sz w:val="22"/>
                <w:szCs w:val="22"/>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22"/>
                <w:szCs w:val="22"/>
                <w:color w:val="auto"/>
              </w:rPr>
            </w:pPr>
          </w:p>
        </w:tc>
      </w:tr>
      <w:tr>
        <w:trPr>
          <w:trHeight w:val="250"/>
        </w:trPr>
        <w:tc>
          <w:tcPr>
            <w:tcW w:w="8100" w:type="dxa"/>
            <w:vAlign w:val="bottom"/>
          </w:tcPr>
          <w:p>
            <w:pPr>
              <w:ind w:left="260"/>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21"/>
                <w:szCs w:val="21"/>
                <w:color w:val="auto"/>
              </w:rPr>
            </w:pPr>
          </w:p>
        </w:tc>
      </w:tr>
      <w:tr>
        <w:trPr>
          <w:trHeight w:val="263"/>
        </w:trPr>
        <w:tc>
          <w:tcPr>
            <w:tcW w:w="8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Intangibles</w:t>
            </w:r>
          </w:p>
        </w:tc>
        <w:tc>
          <w:tcPr>
            <w:tcW w:w="380" w:type="dxa"/>
            <w:vAlign w:val="bottom"/>
            <w:shd w:val="clear" w:color="auto" w:fill="CFF0FC"/>
          </w:tcPr>
          <w:p>
            <w:pPr>
              <w:spacing w:after="0"/>
              <w:rPr>
                <w:sz w:val="22"/>
                <w:szCs w:val="22"/>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FF0FC"/>
          </w:tcPr>
          <w:p>
            <w:pPr>
              <w:spacing w:after="0"/>
              <w:rPr>
                <w:sz w:val="22"/>
                <w:szCs w:val="22"/>
                <w:color w:val="auto"/>
              </w:rPr>
            </w:pPr>
          </w:p>
        </w:tc>
      </w:tr>
      <w:tr>
        <w:trPr>
          <w:trHeight w:val="250"/>
        </w:trPr>
        <w:tc>
          <w:tcPr>
            <w:tcW w:w="8100" w:type="dxa"/>
            <w:vAlign w:val="bottom"/>
          </w:tcPr>
          <w:p>
            <w:pPr>
              <w:spacing w:after="0"/>
              <w:rPr>
                <w:sz w:val="20"/>
                <w:szCs w:val="20"/>
                <w:color w:val="auto"/>
              </w:rPr>
            </w:pPr>
            <w:r>
              <w:rPr>
                <w:rFonts w:ascii="Arial" w:cs="Arial" w:eastAsia="Arial" w:hAnsi="Arial"/>
                <w:sz w:val="18"/>
                <w:szCs w:val="18"/>
                <w:color w:val="auto"/>
              </w:rPr>
              <w:t>Liabilities:</w:t>
            </w:r>
          </w:p>
        </w:tc>
        <w:tc>
          <w:tcPr>
            <w:tcW w:w="3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8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Trade and other payables</w:t>
            </w:r>
          </w:p>
        </w:tc>
        <w:tc>
          <w:tcPr>
            <w:tcW w:w="380" w:type="dxa"/>
            <w:vAlign w:val="bottom"/>
            <w:shd w:val="clear" w:color="auto" w:fill="CFF0FC"/>
          </w:tcPr>
          <w:p>
            <w:pPr>
              <w:spacing w:after="0"/>
              <w:rPr>
                <w:sz w:val="22"/>
                <w:szCs w:val="22"/>
                <w:color w:val="auto"/>
              </w:rPr>
            </w:pPr>
          </w:p>
        </w:tc>
        <w:tc>
          <w:tcPr>
            <w:tcW w:w="1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(3 )</w:t>
            </w:r>
          </w:p>
        </w:tc>
      </w:tr>
      <w:tr>
        <w:trPr>
          <w:trHeight w:val="250"/>
        </w:trPr>
        <w:tc>
          <w:tcPr>
            <w:tcW w:w="810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21"/>
                <w:szCs w:val="21"/>
                <w:color w:val="auto"/>
              </w:rPr>
            </w:pP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(18 )</w:t>
            </w:r>
          </w:p>
        </w:tc>
      </w:tr>
      <w:tr>
        <w:trPr>
          <w:trHeight w:val="263"/>
        </w:trPr>
        <w:tc>
          <w:tcPr>
            <w:tcW w:w="8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Employee benefit obligations</w:t>
            </w:r>
          </w:p>
        </w:tc>
        <w:tc>
          <w:tcPr>
            <w:tcW w:w="380" w:type="dxa"/>
            <w:vAlign w:val="bottom"/>
            <w:shd w:val="clear" w:color="auto" w:fill="CFF0FC"/>
          </w:tcPr>
          <w:p>
            <w:pPr>
              <w:spacing w:after="0"/>
              <w:rPr>
                <w:sz w:val="22"/>
                <w:szCs w:val="22"/>
                <w:color w:val="auto"/>
              </w:rPr>
            </w:pPr>
          </w:p>
        </w:tc>
        <w:tc>
          <w:tcPr>
            <w:tcW w:w="1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(6 )</w:t>
            </w:r>
          </w:p>
        </w:tc>
      </w:tr>
      <w:tr>
        <w:trPr>
          <w:trHeight w:val="250"/>
        </w:trPr>
        <w:tc>
          <w:tcPr>
            <w:tcW w:w="81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Total purchase price</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80" w:type="dxa"/>
            <w:vAlign w:val="bottom"/>
            <w:tcBorders>
              <w:top w:val="single" w:sz="8" w:color="CFF0FC"/>
            </w:tcBorders>
          </w:tcPr>
          <w:p>
            <w:pPr>
              <w:spacing w:after="0"/>
              <w:rPr>
                <w:sz w:val="21"/>
                <w:szCs w:val="21"/>
                <w:color w:val="auto"/>
              </w:rPr>
            </w:pPr>
          </w:p>
        </w:tc>
      </w:tr>
      <w:tr>
        <w:trPr>
          <w:trHeight w:val="20"/>
        </w:trPr>
        <w:tc>
          <w:tcPr>
            <w:tcW w:w="8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6828790</wp:posOffset>
            </wp:positionH>
            <wp:positionV relativeFrom="paragraph">
              <wp:posOffset>-193675</wp:posOffset>
            </wp:positionV>
            <wp:extent cx="5969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85" w:lineRule="exact"/>
        <w:rPr>
          <w:sz w:val="20"/>
          <w:szCs w:val="20"/>
          <w:color w:val="auto"/>
        </w:rPr>
      </w:pPr>
    </w:p>
    <w:p>
      <w:pPr>
        <w:jc w:val="both"/>
        <w:ind w:left="340"/>
        <w:spacing w:after="0" w:line="271" w:lineRule="auto"/>
        <w:rPr>
          <w:sz w:val="20"/>
          <w:szCs w:val="20"/>
          <w:color w:val="auto"/>
        </w:rPr>
      </w:pPr>
      <w:r>
        <w:rPr>
          <w:rFonts w:ascii="Arial" w:cs="Arial" w:eastAsia="Arial" w:hAnsi="Arial"/>
          <w:sz w:val="20"/>
          <w:szCs w:val="20"/>
          <w:color w:val="auto"/>
        </w:rPr>
        <w:t>As of June 30, 2021, the purchase price allocation for the acquisition was preliminary and subject to completion. Adjustments to the current fair value estimates in the above table may occur as the process conducted for various valuations and assessments, including certain tangible and intangible assets, are finalized. Goodwill was calculated as the excess of the consideration transferred over the net assets recognized and represents the estimated future economic benefits arising from other assets acquired that could not be individually identified and separately recognized. The factors contributing to the recognition of goodwill were based on strategic and synergistic benefits</w:t>
      </w:r>
    </w:p>
    <w:p>
      <w:pPr>
        <w:spacing w:after="0" w:line="9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36" w:right="659" w:bottom="1440" w:gutter="0" w:footer="0" w:header="0"/>
        </w:sectPr>
      </w:pPr>
    </w:p>
    <w:bookmarkStart w:id="7" w:name="page8"/>
    <w:bookmarkEnd w:id="7"/>
    <w:p>
      <w:pPr>
        <w:jc w:val="both"/>
        <w:ind w:left="340"/>
        <w:spacing w:after="0" w:line="288" w:lineRule="auto"/>
        <w:rPr>
          <w:sz w:val="20"/>
          <w:szCs w:val="20"/>
          <w:color w:val="auto"/>
        </w:rPr>
      </w:pPr>
      <w:r>
        <w:rPr>
          <w:rFonts w:ascii="Arial" w:cs="Arial" w:eastAsia="Arial" w:hAnsi="Arial"/>
          <w:sz w:val="20"/>
          <w:szCs w:val="20"/>
          <w:color w:val="auto"/>
        </w:rPr>
        <w:t>that are expected to be realized from the acquisition. A portion of the goodwill associated with foreign asset deal entities is expected to be deductible for income tax purposes.</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Intangible assets identified</w:t>
      </w:r>
    </w:p>
    <w:p>
      <w:pPr>
        <w:spacing w:after="0" w:line="135" w:lineRule="exact"/>
        <w:rPr>
          <w:sz w:val="20"/>
          <w:szCs w:val="20"/>
          <w:color w:val="auto"/>
        </w:rPr>
      </w:pPr>
    </w:p>
    <w:p>
      <w:pPr>
        <w:jc w:val="both"/>
        <w:ind w:left="340"/>
        <w:spacing w:after="0" w:line="272" w:lineRule="auto"/>
        <w:rPr>
          <w:sz w:val="20"/>
          <w:szCs w:val="20"/>
          <w:color w:val="auto"/>
        </w:rPr>
      </w:pPr>
      <w:r>
        <w:rPr>
          <w:rFonts w:ascii="Arial" w:cs="Arial" w:eastAsia="Arial" w:hAnsi="Arial"/>
          <w:sz w:val="20"/>
          <w:szCs w:val="20"/>
          <w:color w:val="auto"/>
        </w:rPr>
        <w:t>The purchase price allocation included $185 million of certain definite-lived intangible assets which are being amortized over the estimated useful life in proportion to the economic benefits consumed. The determination of the useful lives is based upon various industry studies, historical acquisition experience, economic factors, and future cash flows of the combined company. In addition, Ashland reviewed certain technological trends and also considered the relative stability and retention rates in the current Schülke personal care customer base.</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following details the total intangible assets identified as of April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87630</wp:posOffset>
            </wp:positionV>
            <wp:extent cx="66262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44"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jc w:val="center"/>
              <w:ind w:left="210"/>
              <w:spacing w:after="0"/>
              <w:rPr>
                <w:sz w:val="20"/>
                <w:szCs w:val="20"/>
                <w:color w:val="auto"/>
              </w:rPr>
            </w:pPr>
            <w:r>
              <w:rPr>
                <w:rFonts w:ascii="Arial" w:cs="Arial" w:eastAsia="Arial" w:hAnsi="Arial"/>
                <w:sz w:val="18"/>
                <w:szCs w:val="18"/>
                <w:color w:val="auto"/>
                <w:w w:val="88"/>
              </w:rPr>
              <w:t>Weighted-average</w:t>
            </w:r>
          </w:p>
        </w:tc>
      </w:tr>
      <w:tr>
        <w:trPr>
          <w:trHeight w:val="257"/>
        </w:trPr>
        <w:tc>
          <w:tcPr>
            <w:tcW w:w="6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0" w:type="dxa"/>
            <w:vAlign w:val="bottom"/>
          </w:tcPr>
          <w:p>
            <w:pPr>
              <w:jc w:val="center"/>
              <w:ind w:left="210"/>
              <w:spacing w:after="0"/>
              <w:rPr>
                <w:sz w:val="20"/>
                <w:szCs w:val="20"/>
                <w:color w:val="auto"/>
              </w:rPr>
            </w:pPr>
            <w:r>
              <w:rPr>
                <w:rFonts w:ascii="Arial" w:cs="Arial" w:eastAsia="Arial" w:hAnsi="Arial"/>
                <w:sz w:val="18"/>
                <w:szCs w:val="18"/>
                <w:color w:val="auto"/>
                <w:w w:val="92"/>
              </w:rPr>
              <w:t>amortization period</w:t>
            </w:r>
          </w:p>
        </w:tc>
      </w:tr>
      <w:tr>
        <w:trPr>
          <w:trHeight w:val="263"/>
        </w:trPr>
        <w:tc>
          <w:tcPr>
            <w:tcW w:w="6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Intangible asset type (in millions)</w:t>
            </w:r>
          </w:p>
        </w:tc>
        <w:tc>
          <w:tcPr>
            <w:tcW w:w="3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2"/>
                <w:szCs w:val="22"/>
                <w:color w:val="auto"/>
              </w:rPr>
            </w:pPr>
          </w:p>
        </w:tc>
        <w:tc>
          <w:tcPr>
            <w:tcW w:w="220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89"/>
              </w:rPr>
              <w:t>(years)</w:t>
            </w:r>
          </w:p>
        </w:tc>
      </w:tr>
      <w:tr>
        <w:trPr>
          <w:trHeight w:val="250"/>
        </w:trPr>
        <w:tc>
          <w:tcPr>
            <w:tcW w:w="6360" w:type="dxa"/>
            <w:vAlign w:val="bottom"/>
          </w:tcPr>
          <w:p>
            <w:pPr>
              <w:spacing w:after="0"/>
              <w:rPr>
                <w:sz w:val="20"/>
                <w:szCs w:val="20"/>
                <w:color w:val="auto"/>
              </w:rPr>
            </w:pPr>
            <w:r>
              <w:rPr>
                <w:rFonts w:ascii="Arial" w:cs="Arial" w:eastAsia="Arial" w:hAnsi="Arial"/>
                <w:sz w:val="18"/>
                <w:szCs w:val="18"/>
                <w:color w:val="auto"/>
              </w:rPr>
              <w:t>Trademarks and trade names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42</w:t>
            </w:r>
          </w:p>
        </w:tc>
        <w:tc>
          <w:tcPr>
            <w:tcW w:w="2300" w:type="dxa"/>
            <w:vAlign w:val="bottom"/>
            <w:gridSpan w:val="2"/>
          </w:tcPr>
          <w:p>
            <w:pPr>
              <w:jc w:val="center"/>
              <w:ind w:left="310"/>
              <w:spacing w:after="0"/>
              <w:rPr>
                <w:sz w:val="20"/>
                <w:szCs w:val="20"/>
                <w:color w:val="auto"/>
              </w:rPr>
            </w:pPr>
            <w:r>
              <w:rPr>
                <w:rFonts w:ascii="Arial" w:cs="Arial" w:eastAsia="Arial" w:hAnsi="Arial"/>
                <w:sz w:val="18"/>
                <w:szCs w:val="18"/>
                <w:color w:val="auto"/>
                <w:w w:val="89"/>
              </w:rPr>
              <w:t>20</w:t>
            </w:r>
          </w:p>
        </w:tc>
      </w:tr>
      <w:tr>
        <w:trPr>
          <w:trHeight w:val="263"/>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Intellectual property</w:t>
            </w:r>
          </w:p>
        </w:tc>
        <w:tc>
          <w:tcPr>
            <w:tcW w:w="38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300" w:type="dxa"/>
            <w:vAlign w:val="bottom"/>
            <w:gridSpan w:val="2"/>
            <w:shd w:val="clear" w:color="auto" w:fill="CFF0FC"/>
          </w:tcPr>
          <w:p>
            <w:pPr>
              <w:jc w:val="center"/>
              <w:ind w:left="310"/>
              <w:spacing w:after="0"/>
              <w:rPr>
                <w:sz w:val="20"/>
                <w:szCs w:val="20"/>
                <w:color w:val="auto"/>
              </w:rPr>
            </w:pPr>
            <w:r>
              <w:rPr>
                <w:rFonts w:ascii="Arial" w:cs="Arial" w:eastAsia="Arial" w:hAnsi="Arial"/>
                <w:sz w:val="18"/>
                <w:szCs w:val="18"/>
                <w:color w:val="auto"/>
                <w:w w:val="99"/>
              </w:rPr>
              <w:t>9</w:t>
            </w:r>
          </w:p>
        </w:tc>
      </w:tr>
      <w:tr>
        <w:trPr>
          <w:trHeight w:val="257"/>
        </w:trPr>
        <w:tc>
          <w:tcPr>
            <w:tcW w:w="6360" w:type="dxa"/>
            <w:vAlign w:val="bottom"/>
          </w:tcPr>
          <w:p>
            <w:pPr>
              <w:spacing w:after="0"/>
              <w:rPr>
                <w:sz w:val="20"/>
                <w:szCs w:val="20"/>
                <w:color w:val="auto"/>
              </w:rPr>
            </w:pPr>
            <w:r>
              <w:rPr>
                <w:rFonts w:ascii="Arial" w:cs="Arial" w:eastAsia="Arial" w:hAnsi="Arial"/>
                <w:sz w:val="18"/>
                <w:szCs w:val="18"/>
                <w:color w:val="auto"/>
              </w:rPr>
              <w:t>Customer and supplier relationships</w:t>
            </w:r>
          </w:p>
        </w:tc>
        <w:tc>
          <w:tcPr>
            <w:tcW w:w="3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300" w:type="dxa"/>
            <w:vAlign w:val="bottom"/>
            <w:gridSpan w:val="2"/>
          </w:tcPr>
          <w:p>
            <w:pPr>
              <w:jc w:val="center"/>
              <w:ind w:left="310"/>
              <w:spacing w:after="0"/>
              <w:rPr>
                <w:sz w:val="20"/>
                <w:szCs w:val="20"/>
                <w:color w:val="auto"/>
              </w:rPr>
            </w:pPr>
            <w:r>
              <w:rPr>
                <w:rFonts w:ascii="Arial" w:cs="Arial" w:eastAsia="Arial" w:hAnsi="Arial"/>
                <w:sz w:val="18"/>
                <w:szCs w:val="18"/>
                <w:color w:val="auto"/>
                <w:w w:val="89"/>
              </w:rPr>
              <w:t>20</w:t>
            </w:r>
          </w:p>
        </w:tc>
      </w:tr>
      <w:tr>
        <w:trPr>
          <w:trHeight w:val="290"/>
        </w:trPr>
        <w:tc>
          <w:tcPr>
            <w:tcW w:w="6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FF0FC"/>
            </w:tcBorders>
            <w:shd w:val="clear" w:color="auto" w:fill="CFF0FC"/>
          </w:tcPr>
          <w:p>
            <w:pPr>
              <w:spacing w:after="0"/>
              <w:rPr>
                <w:sz w:val="24"/>
                <w:szCs w:val="24"/>
                <w:color w:val="auto"/>
              </w:rPr>
            </w:pPr>
          </w:p>
        </w:tc>
        <w:tc>
          <w:tcPr>
            <w:tcW w:w="22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-24765</wp:posOffset>
            </wp:positionV>
            <wp:extent cx="2571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25717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79"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Divestitures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Composites and Marl facility</w:t>
      </w:r>
    </w:p>
    <w:p>
      <w:pPr>
        <w:spacing w:after="0" w:line="135" w:lineRule="exact"/>
        <w:rPr>
          <w:sz w:val="20"/>
          <w:szCs w:val="20"/>
          <w:color w:val="auto"/>
        </w:rPr>
      </w:pPr>
    </w:p>
    <w:p>
      <w:pPr>
        <w:jc w:val="both"/>
        <w:ind w:left="340" w:right="20"/>
        <w:spacing w:after="0" w:line="288" w:lineRule="auto"/>
        <w:rPr>
          <w:sz w:val="20"/>
          <w:szCs w:val="20"/>
          <w:color w:val="auto"/>
        </w:rPr>
      </w:pPr>
      <w:r>
        <w:rPr>
          <w:rFonts w:ascii="Arial" w:cs="Arial" w:eastAsia="Arial" w:hAnsi="Arial"/>
          <w:sz w:val="20"/>
          <w:szCs w:val="20"/>
          <w:color w:val="auto"/>
        </w:rPr>
        <w:t>On August 30, 2019, Ashland completed the sale of its Composites business (excluding the Maleic business) and butanediol manufacturing facility in Marl, Germany to INEOS Enterprises (INEOS).</w:t>
      </w:r>
    </w:p>
    <w:p>
      <w:pPr>
        <w:spacing w:after="0" w:line="69" w:lineRule="exact"/>
        <w:rPr>
          <w:sz w:val="20"/>
          <w:szCs w:val="20"/>
          <w:color w:val="auto"/>
        </w:rPr>
      </w:pPr>
    </w:p>
    <w:p>
      <w:pPr>
        <w:jc w:val="both"/>
        <w:ind w:left="340" w:right="20"/>
        <w:spacing w:after="0" w:line="288" w:lineRule="auto"/>
        <w:rPr>
          <w:sz w:val="20"/>
          <w:szCs w:val="20"/>
          <w:color w:val="auto"/>
        </w:rPr>
      </w:pPr>
      <w:r>
        <w:rPr>
          <w:rFonts w:ascii="Arial" w:cs="Arial" w:eastAsia="Arial" w:hAnsi="Arial"/>
          <w:sz w:val="20"/>
          <w:szCs w:val="20"/>
          <w:color w:val="auto"/>
        </w:rPr>
        <w:t>On September 30, 2020, Ashland completed the sale of its Maleic business to AOC Materials, LLC (AOC). Net proceeds from the sale were approximately $98 million.</w:t>
      </w:r>
    </w:p>
    <w:p>
      <w:pPr>
        <w:spacing w:after="0" w:line="69" w:lineRule="exact"/>
        <w:rPr>
          <w:sz w:val="20"/>
          <w:szCs w:val="20"/>
          <w:color w:val="auto"/>
        </w:rPr>
      </w:pPr>
    </w:p>
    <w:p>
      <w:pPr>
        <w:jc w:val="both"/>
        <w:ind w:left="340"/>
        <w:spacing w:after="0" w:line="309" w:lineRule="auto"/>
        <w:rPr>
          <w:sz w:val="20"/>
          <w:szCs w:val="20"/>
          <w:color w:val="auto"/>
        </w:rPr>
      </w:pPr>
      <w:r>
        <w:rPr>
          <w:rFonts w:ascii="Arial" w:cs="Arial" w:eastAsia="Arial" w:hAnsi="Arial"/>
          <w:sz w:val="18"/>
          <w:szCs w:val="18"/>
          <w:color w:val="auto"/>
        </w:rPr>
        <w:t>The disposal of the Composites business and Maleic business represented a strategic shift and had a major effect on Ashland’s operations and financial results. The operating results and cash flows related to Composites and the Marl facility, including the Maleic business, have been reflected as discontinued operations in the Statements of Consolidated Comprehensive Income (Loss) and Statements of Condensed Consolidated Cash Flows. See Note C of the Notes to Condensed Consolidated Financial Statements for the results of operations for Composites and the Marl facility, including the Maleic business, for all periods presented.</w:t>
      </w:r>
    </w:p>
    <w:p>
      <w:pPr>
        <w:spacing w:after="0" w:line="58" w:lineRule="exact"/>
        <w:rPr>
          <w:sz w:val="20"/>
          <w:szCs w:val="20"/>
          <w:color w:val="auto"/>
        </w:rPr>
      </w:pPr>
    </w:p>
    <w:p>
      <w:pPr>
        <w:jc w:val="both"/>
        <w:ind w:left="340"/>
        <w:spacing w:after="0" w:line="363" w:lineRule="auto"/>
        <w:rPr>
          <w:sz w:val="20"/>
          <w:szCs w:val="20"/>
          <w:color w:val="auto"/>
        </w:rPr>
      </w:pPr>
      <w:r>
        <w:rPr>
          <w:rFonts w:ascii="Arial" w:cs="Arial" w:eastAsia="Arial" w:hAnsi="Arial"/>
          <w:sz w:val="16"/>
          <w:szCs w:val="16"/>
          <w:color w:val="auto"/>
        </w:rPr>
        <w:t>Subsequent to the completion of the sale, Ashland is providing certain transition services to INEOS for a fee. While the transition services are expected to vary in duration depending upon the type of service provided, Ashland expects to reduce certain costs as the transition services are completed. Ashland recognized transition service fee income of $3 million during the three months ended June 30, 2021 and 2020, respectively, and $8 million and $9 million during the nine months ended June 30, 2021 and 2020, respectively.</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Other manufacturing facility sales</w:t>
      </w:r>
    </w:p>
    <w:p>
      <w:pPr>
        <w:spacing w:after="0" w:line="135" w:lineRule="exact"/>
        <w:rPr>
          <w:sz w:val="20"/>
          <w:szCs w:val="20"/>
          <w:color w:val="auto"/>
        </w:rPr>
      </w:pPr>
    </w:p>
    <w:p>
      <w:pPr>
        <w:jc w:val="both"/>
        <w:ind w:left="340"/>
        <w:spacing w:after="0" w:line="290" w:lineRule="auto"/>
        <w:rPr>
          <w:sz w:val="20"/>
          <w:szCs w:val="20"/>
          <w:color w:val="auto"/>
        </w:rPr>
      </w:pPr>
      <w:r>
        <w:rPr>
          <w:rFonts w:ascii="Arial" w:cs="Arial" w:eastAsia="Arial" w:hAnsi="Arial"/>
          <w:sz w:val="19"/>
          <w:szCs w:val="19"/>
          <w:color w:val="auto"/>
        </w:rPr>
        <w:t>During the nine months ended June 30, 2021, Ashland completed the sale of a Specialty Additives facility, the assets and liabilities of which were classified as held for sale as of September 30, 2020. Net proceeds received from the sale were approximately $14 million in the December 31, 2020 quarter ($20 million in total including a deposit received in fiscal year 2020). The Company recognized a pre-tax gain of $14 million recorded within the Net income on acquisitions and divestitures caption in the Statements of Consolidated Comprehensive Income (Loss) for the nine months ended June 30, 2021.</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C– DISCONTINUED OPERATIONS</w:t>
      </w:r>
    </w:p>
    <w:p>
      <w:pPr>
        <w:spacing w:after="0" w:line="141" w:lineRule="exact"/>
        <w:rPr>
          <w:sz w:val="20"/>
          <w:szCs w:val="20"/>
          <w:color w:val="auto"/>
        </w:rPr>
      </w:pPr>
    </w:p>
    <w:p>
      <w:pPr>
        <w:jc w:val="both"/>
        <w:ind w:left="340"/>
        <w:spacing w:after="0" w:line="274" w:lineRule="auto"/>
        <w:rPr>
          <w:sz w:val="20"/>
          <w:szCs w:val="20"/>
          <w:color w:val="auto"/>
        </w:rPr>
      </w:pPr>
      <w:r>
        <w:rPr>
          <w:rFonts w:ascii="Arial" w:cs="Arial" w:eastAsia="Arial" w:hAnsi="Arial"/>
          <w:sz w:val="20"/>
          <w:szCs w:val="20"/>
          <w:color w:val="auto"/>
        </w:rPr>
        <w:t>Ashland has divested certain businesses that have qualified as discontinued operations. The operating results from these divested businesses and subsequent adjustments related to ongoing assessments of certain retained liabilities and tax items have been recorded within the discontinued operations caption in the Statements of Consolidated Comprehensive Income (Loss) for all periods presented.</w:t>
      </w:r>
    </w:p>
    <w:p>
      <w:pPr>
        <w:spacing w:after="0" w:line="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36" w:right="659" w:bottom="1440" w:gutter="0" w:footer="0" w:header="0"/>
        </w:sectPr>
      </w:pPr>
    </w:p>
    <w:bookmarkStart w:id="8" w:name="page9"/>
    <w:bookmarkEnd w:id="8"/>
    <w:p>
      <w:pPr>
        <w:jc w:val="both"/>
        <w:ind w:left="340" w:right="20"/>
        <w:spacing w:after="0" w:line="316" w:lineRule="auto"/>
        <w:rPr>
          <w:sz w:val="20"/>
          <w:szCs w:val="20"/>
          <w:color w:val="auto"/>
        </w:rPr>
      </w:pPr>
      <w:r>
        <w:rPr>
          <w:rFonts w:ascii="Arial" w:cs="Arial" w:eastAsia="Arial" w:hAnsi="Arial"/>
          <w:sz w:val="19"/>
          <w:szCs w:val="19"/>
          <w:color w:val="auto"/>
        </w:rPr>
        <w:t>Components of amounts reflected in the Statements of Consolidated Comprehensive Income (Loss) related to discontinued operations are presented in the following table for the three and nine months ended June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31115</wp:posOffset>
            </wp:positionV>
            <wp:extent cx="66262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55"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140" w:type="dxa"/>
            <w:vAlign w:val="bottom"/>
            <w:gridSpan w:val="3"/>
          </w:tcPr>
          <w:p>
            <w:pPr>
              <w:jc w:val="right"/>
              <w:ind w:right="260"/>
              <w:spacing w:after="0"/>
              <w:rPr>
                <w:sz w:val="20"/>
                <w:szCs w:val="20"/>
                <w:color w:val="auto"/>
              </w:rPr>
            </w:pPr>
            <w:r>
              <w:rPr>
                <w:rFonts w:ascii="Arial" w:cs="Arial" w:eastAsia="Arial" w:hAnsi="Arial"/>
                <w:sz w:val="18"/>
                <w:szCs w:val="18"/>
                <w:color w:val="auto"/>
              </w:rPr>
              <w:t>Three months ended</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center"/>
              <w:ind w:left="70"/>
              <w:spacing w:after="0"/>
              <w:rPr>
                <w:sz w:val="20"/>
                <w:szCs w:val="20"/>
                <w:color w:val="auto"/>
              </w:rPr>
            </w:pPr>
            <w:r>
              <w:rPr>
                <w:rFonts w:ascii="Arial" w:cs="Arial" w:eastAsia="Arial" w:hAnsi="Arial"/>
                <w:sz w:val="18"/>
                <w:szCs w:val="18"/>
                <w:color w:val="auto"/>
                <w:w w:val="89"/>
              </w:rPr>
              <w:t>Nine months ended</w:t>
            </w:r>
          </w:p>
        </w:tc>
        <w:tc>
          <w:tcPr>
            <w:tcW w:w="580" w:type="dxa"/>
            <w:vAlign w:val="bottom"/>
          </w:tcPr>
          <w:p>
            <w:pPr>
              <w:spacing w:after="0"/>
              <w:rPr>
                <w:sz w:val="20"/>
                <w:szCs w:val="20"/>
                <w:color w:val="auto"/>
              </w:rPr>
            </w:pPr>
          </w:p>
        </w:tc>
      </w:tr>
      <w:tr>
        <w:trPr>
          <w:trHeight w:val="263"/>
        </w:trPr>
        <w:tc>
          <w:tcPr>
            <w:tcW w:w="424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8"/>
                <w:szCs w:val="18"/>
                <w:color w:val="auto"/>
              </w:rPr>
              <w:t>June 30</w:t>
            </w:r>
          </w:p>
        </w:tc>
        <w:tc>
          <w:tcPr>
            <w:tcW w:w="7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jc w:val="center"/>
              <w:ind w:left="550"/>
              <w:spacing w:after="0"/>
              <w:rPr>
                <w:sz w:val="20"/>
                <w:szCs w:val="20"/>
                <w:color w:val="auto"/>
              </w:rPr>
            </w:pPr>
            <w:r>
              <w:rPr>
                <w:rFonts w:ascii="Arial" w:cs="Arial" w:eastAsia="Arial" w:hAnsi="Arial"/>
                <w:sz w:val="18"/>
                <w:szCs w:val="18"/>
                <w:color w:val="auto"/>
                <w:w w:val="84"/>
              </w:rPr>
              <w:t>June 30</w:t>
            </w:r>
          </w:p>
        </w:tc>
        <w:tc>
          <w:tcPr>
            <w:tcW w:w="5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r>
      <w:tr>
        <w:trPr>
          <w:trHeight w:val="250"/>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5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r>
      <w:tr>
        <w:trPr>
          <w:trHeight w:val="238"/>
        </w:trPr>
        <w:tc>
          <w:tcPr>
            <w:tcW w:w="4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6"/>
              </w:rPr>
              <w:t>Income (loss) from discontinued operations (net of</w:t>
            </w:r>
          </w:p>
        </w:tc>
        <w:tc>
          <w:tcPr>
            <w:tcW w:w="5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r>
      <w:tr>
        <w:trPr>
          <w:trHeight w:val="248"/>
        </w:trPr>
        <w:tc>
          <w:tcPr>
            <w:tcW w:w="4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tax)</w:t>
            </w:r>
          </w:p>
        </w:tc>
        <w:tc>
          <w:tcPr>
            <w:tcW w:w="5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r>
      <w:tr>
        <w:trPr>
          <w:trHeight w:val="250"/>
        </w:trPr>
        <w:tc>
          <w:tcPr>
            <w:tcW w:w="4240" w:type="dxa"/>
            <w:vAlign w:val="bottom"/>
          </w:tcPr>
          <w:p>
            <w:pPr>
              <w:spacing w:after="0"/>
              <w:rPr>
                <w:sz w:val="20"/>
                <w:szCs w:val="20"/>
                <w:color w:val="auto"/>
              </w:rPr>
            </w:pPr>
            <w:r>
              <w:rPr>
                <w:rFonts w:ascii="Arial" w:cs="Arial" w:eastAsia="Arial" w:hAnsi="Arial"/>
                <w:sz w:val="18"/>
                <w:szCs w:val="18"/>
                <w:color w:val="auto"/>
              </w:rPr>
              <w:t>Composites/Marl facility</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63"/>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Valvoline</w:t>
            </w:r>
          </w:p>
        </w:tc>
        <w:tc>
          <w:tcPr>
            <w:tcW w:w="500" w:type="dxa"/>
            <w:vAlign w:val="bottom"/>
            <w:shd w:val="clear" w:color="auto" w:fill="CFF0FC"/>
          </w:tcPr>
          <w:p>
            <w:pPr>
              <w:spacing w:after="0"/>
              <w:rPr>
                <w:sz w:val="22"/>
                <w:szCs w:val="22"/>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r>
      <w:tr>
        <w:trPr>
          <w:trHeight w:val="250"/>
        </w:trPr>
        <w:tc>
          <w:tcPr>
            <w:tcW w:w="4240" w:type="dxa"/>
            <w:vAlign w:val="bottom"/>
          </w:tcPr>
          <w:p>
            <w:pPr>
              <w:spacing w:after="0"/>
              <w:rPr>
                <w:sz w:val="20"/>
                <w:szCs w:val="20"/>
                <w:color w:val="auto"/>
              </w:rPr>
            </w:pPr>
            <w:r>
              <w:rPr>
                <w:rFonts w:ascii="Arial" w:cs="Arial" w:eastAsia="Arial" w:hAnsi="Arial"/>
                <w:sz w:val="18"/>
                <w:szCs w:val="18"/>
                <w:color w:val="auto"/>
              </w:rPr>
              <w:t>Asbestos</w:t>
            </w:r>
          </w:p>
        </w:tc>
        <w:tc>
          <w:tcPr>
            <w:tcW w:w="5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(8 )</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(8 )</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63"/>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Water Technologies</w:t>
            </w:r>
          </w:p>
        </w:tc>
        <w:tc>
          <w:tcPr>
            <w:tcW w:w="50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4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r>
      <w:tr>
        <w:trPr>
          <w:trHeight w:val="250"/>
        </w:trPr>
        <w:tc>
          <w:tcPr>
            <w:tcW w:w="4240" w:type="dxa"/>
            <w:vAlign w:val="bottom"/>
          </w:tcPr>
          <w:p>
            <w:pPr>
              <w:spacing w:after="0"/>
              <w:rPr>
                <w:sz w:val="20"/>
                <w:szCs w:val="20"/>
                <w:color w:val="auto"/>
              </w:rPr>
            </w:pPr>
            <w:r>
              <w:rPr>
                <w:rFonts w:ascii="Arial" w:cs="Arial" w:eastAsia="Arial" w:hAnsi="Arial"/>
                <w:sz w:val="18"/>
                <w:szCs w:val="18"/>
                <w:color w:val="auto"/>
              </w:rPr>
              <w:t>Distribution</w:t>
            </w:r>
          </w:p>
        </w:tc>
        <w:tc>
          <w:tcPr>
            <w:tcW w:w="5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(2 )</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45"/>
        </w:trPr>
        <w:tc>
          <w:tcPr>
            <w:tcW w:w="4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7"/>
              </w:rPr>
              <w:t>Gain (loss) on disposal of discontinued operations</w:t>
            </w:r>
          </w:p>
        </w:tc>
        <w:tc>
          <w:tcPr>
            <w:tcW w:w="5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r>
      <w:tr>
        <w:trPr>
          <w:trHeight w:val="248"/>
        </w:trPr>
        <w:tc>
          <w:tcPr>
            <w:tcW w:w="4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of taxes)</w:t>
            </w:r>
          </w:p>
        </w:tc>
        <w:tc>
          <w:tcPr>
            <w:tcW w:w="5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r>
      <w:tr>
        <w:trPr>
          <w:trHeight w:val="257"/>
        </w:trPr>
        <w:tc>
          <w:tcPr>
            <w:tcW w:w="4240" w:type="dxa"/>
            <w:vAlign w:val="bottom"/>
          </w:tcPr>
          <w:p>
            <w:pPr>
              <w:spacing w:after="0"/>
              <w:rPr>
                <w:sz w:val="20"/>
                <w:szCs w:val="20"/>
                <w:color w:val="auto"/>
              </w:rPr>
            </w:pPr>
            <w:r>
              <w:rPr>
                <w:rFonts w:ascii="Arial" w:cs="Arial" w:eastAsia="Arial" w:hAnsi="Arial"/>
                <w:sz w:val="18"/>
                <w:szCs w:val="18"/>
                <w:color w:val="auto"/>
              </w:rPr>
              <w:t>Composites/Marl facility</w:t>
            </w:r>
          </w:p>
        </w:tc>
        <w:tc>
          <w:tcPr>
            <w:tcW w:w="5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(3 )</w:t>
            </w:r>
          </w:p>
        </w:tc>
      </w:tr>
      <w:tr>
        <w:trPr>
          <w:trHeight w:val="283"/>
        </w:trPr>
        <w:tc>
          <w:tcPr>
            <w:tcW w:w="4240" w:type="dxa"/>
            <w:vAlign w:val="bottom"/>
            <w:shd w:val="clear" w:color="auto" w:fill="CFF0FC"/>
          </w:tcPr>
          <w:p>
            <w:pPr>
              <w:spacing w:after="0"/>
              <w:rPr>
                <w:sz w:val="24"/>
                <w:szCs w:val="24"/>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(7 )</w:t>
            </w:r>
          </w:p>
        </w:tc>
        <w:tc>
          <w:tcPr>
            <w:tcW w:w="1000" w:type="dxa"/>
            <w:vAlign w:val="bottom"/>
            <w:gridSpan w:val="2"/>
            <w:shd w:val="clear" w:color="auto" w:fill="CFF0FC"/>
          </w:tcPr>
          <w:p>
            <w:pPr>
              <w:jc w:val="right"/>
              <w:ind w:right="7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(13 )</w:t>
            </w: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(14 )</w:t>
            </w:r>
          </w:p>
        </w:tc>
        <w:tc>
          <w:tcPr>
            <w:tcW w:w="120" w:type="dxa"/>
            <w:vAlign w:val="bottom"/>
            <w:shd w:val="clear" w:color="auto" w:fill="CFF0FC"/>
          </w:tcPr>
          <w:p>
            <w:pPr>
              <w:spacing w:after="0"/>
              <w:rPr>
                <w:sz w:val="24"/>
                <w:szCs w:val="24"/>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(22 )</w:t>
            </w:r>
          </w:p>
        </w:tc>
      </w:tr>
      <w:tr>
        <w:trPr>
          <w:trHeight w:val="149"/>
        </w:trPr>
        <w:tc>
          <w:tcPr>
            <w:tcW w:w="4240" w:type="dxa"/>
            <w:vAlign w:val="bottom"/>
            <w:tcBorders>
              <w:top w:val="single" w:sz="8" w:color="CFF0FC"/>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CFF0FC"/>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CFF0FC"/>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CFF0FC"/>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-136525</wp:posOffset>
            </wp:positionV>
            <wp:extent cx="857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-119380</wp:posOffset>
            </wp:positionV>
            <wp:extent cx="857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-136525</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-119380</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-136525</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-119380</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20" w:lineRule="exact"/>
        <w:rPr>
          <w:sz w:val="20"/>
          <w:szCs w:val="20"/>
          <w:color w:val="auto"/>
        </w:rPr>
      </w:pPr>
    </w:p>
    <w:p>
      <w:pPr>
        <w:jc w:val="both"/>
        <w:ind w:left="340"/>
        <w:spacing w:after="0" w:line="293" w:lineRule="auto"/>
        <w:rPr>
          <w:sz w:val="20"/>
          <w:szCs w:val="20"/>
          <w:color w:val="auto"/>
        </w:rPr>
      </w:pPr>
      <w:r>
        <w:rPr>
          <w:rFonts w:ascii="Arial" w:cs="Arial" w:eastAsia="Arial" w:hAnsi="Arial"/>
          <w:sz w:val="19"/>
          <w:szCs w:val="19"/>
          <w:color w:val="auto"/>
        </w:rPr>
        <w:t>The following table presents a reconciliation of the captions within Ashland's Statements of Consolidated Comprehensive Income (Loss) for the income (loss) from discontinued operations attributable to Composites and the Marl facility for the three and nine months ended June 30, 2020. The Maleic business, which was sold during fiscal 2020 to AOC, was operated under the Composites business and Marl facility disposal group and is therefore reported in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44450</wp:posOffset>
            </wp:positionV>
            <wp:extent cx="66262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77"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p>
        </w:tc>
        <w:tc>
          <w:tcPr>
            <w:tcW w:w="1860" w:type="dxa"/>
            <w:vAlign w:val="bottom"/>
          </w:tcPr>
          <w:p>
            <w:pPr>
              <w:jc w:val="center"/>
              <w:ind w:left="170"/>
              <w:spacing w:after="0"/>
              <w:rPr>
                <w:sz w:val="20"/>
                <w:szCs w:val="20"/>
                <w:color w:val="auto"/>
              </w:rPr>
            </w:pPr>
            <w:r>
              <w:rPr>
                <w:rFonts w:ascii="Arial" w:cs="Arial" w:eastAsia="Arial" w:hAnsi="Arial"/>
                <w:sz w:val="18"/>
                <w:szCs w:val="18"/>
                <w:color w:val="auto"/>
                <w:w w:val="89"/>
              </w:rPr>
              <w:t>Three months ended</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jc w:val="center"/>
              <w:ind w:right="210"/>
              <w:spacing w:after="0"/>
              <w:rPr>
                <w:sz w:val="20"/>
                <w:szCs w:val="20"/>
                <w:color w:val="auto"/>
              </w:rPr>
            </w:pPr>
            <w:r>
              <w:rPr>
                <w:rFonts w:ascii="Arial" w:cs="Arial" w:eastAsia="Arial" w:hAnsi="Arial"/>
                <w:sz w:val="18"/>
                <w:szCs w:val="18"/>
                <w:color w:val="auto"/>
                <w:w w:val="89"/>
              </w:rPr>
              <w:t>Nine months ended</w:t>
            </w:r>
          </w:p>
        </w:tc>
      </w:tr>
      <w:tr>
        <w:trPr>
          <w:trHeight w:val="263"/>
        </w:trPr>
        <w:tc>
          <w:tcPr>
            <w:tcW w:w="5840" w:type="dxa"/>
            <w:vAlign w:val="bottom"/>
          </w:tcPr>
          <w:p>
            <w:pPr>
              <w:spacing w:after="0"/>
              <w:rPr>
                <w:sz w:val="22"/>
                <w:szCs w:val="22"/>
                <w:color w:val="auto"/>
              </w:rPr>
            </w:pPr>
          </w:p>
        </w:tc>
        <w:tc>
          <w:tcPr>
            <w:tcW w:w="186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color w:val="auto"/>
                <w:w w:val="87"/>
              </w:rPr>
              <w:t>June 30</w:t>
            </w:r>
          </w:p>
        </w:tc>
        <w:tc>
          <w:tcPr>
            <w:tcW w:w="36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7"/>
              </w:rPr>
              <w:t>June 30</w:t>
            </w:r>
          </w:p>
        </w:tc>
      </w:tr>
      <w:tr>
        <w:trPr>
          <w:trHeight w:val="250"/>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86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color w:val="auto"/>
                <w:w w:val="89"/>
              </w:rPr>
              <w:t>2020</w:t>
            </w:r>
          </w:p>
        </w:tc>
        <w:tc>
          <w:tcPr>
            <w:tcW w:w="3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9"/>
              </w:rPr>
              <w:t>2020</w:t>
            </w:r>
          </w:p>
        </w:tc>
      </w:tr>
      <w:tr>
        <w:trPr>
          <w:trHeight w:val="238"/>
        </w:trPr>
        <w:tc>
          <w:tcPr>
            <w:tcW w:w="584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Income (loss) from discontinued operations attributable</w:t>
            </w:r>
          </w:p>
        </w:tc>
        <w:tc>
          <w:tcPr>
            <w:tcW w:w="18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980" w:type="dxa"/>
            <w:vAlign w:val="bottom"/>
            <w:shd w:val="clear" w:color="auto" w:fill="CFF0FC"/>
          </w:tcPr>
          <w:p>
            <w:pPr>
              <w:spacing w:after="0"/>
              <w:rPr>
                <w:sz w:val="20"/>
                <w:szCs w:val="20"/>
                <w:color w:val="auto"/>
              </w:rPr>
            </w:pPr>
          </w:p>
        </w:tc>
      </w:tr>
      <w:tr>
        <w:trPr>
          <w:trHeight w:val="248"/>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to Composites/Marl facility</w:t>
            </w:r>
          </w:p>
        </w:tc>
        <w:tc>
          <w:tcPr>
            <w:tcW w:w="18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980" w:type="dxa"/>
            <w:vAlign w:val="bottom"/>
            <w:shd w:val="clear" w:color="auto" w:fill="CFF0FC"/>
          </w:tcPr>
          <w:p>
            <w:pPr>
              <w:spacing w:after="0"/>
              <w:rPr>
                <w:sz w:val="21"/>
                <w:szCs w:val="21"/>
                <w:color w:val="auto"/>
              </w:rPr>
            </w:pPr>
          </w:p>
        </w:tc>
      </w:tr>
      <w:tr>
        <w:trPr>
          <w:trHeight w:val="250"/>
        </w:trPr>
        <w:tc>
          <w:tcPr>
            <w:tcW w:w="5840" w:type="dxa"/>
            <w:vAlign w:val="bottom"/>
          </w:tcPr>
          <w:p>
            <w:pPr>
              <w:ind w:left="260"/>
              <w:spacing w:after="0"/>
              <w:rPr>
                <w:sz w:val="20"/>
                <w:szCs w:val="20"/>
                <w:color w:val="auto"/>
              </w:rPr>
            </w:pPr>
            <w:r>
              <w:rPr>
                <w:rFonts w:ascii="Arial" w:cs="Arial" w:eastAsia="Arial" w:hAnsi="Arial"/>
                <w:sz w:val="18"/>
                <w:szCs w:val="18"/>
                <w:color w:val="auto"/>
              </w:rPr>
              <w:t>Sales</w:t>
            </w:r>
          </w:p>
        </w:tc>
        <w:tc>
          <w:tcPr>
            <w:tcW w:w="1860" w:type="dxa"/>
            <w:vAlign w:val="bottom"/>
          </w:tcPr>
          <w:p>
            <w:pPr>
              <w:jc w:val="right"/>
              <w:ind w:right="1670"/>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63"/>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sales</w:t>
            </w:r>
          </w:p>
        </w:tc>
        <w:tc>
          <w:tcPr>
            <w:tcW w:w="1860" w:type="dxa"/>
            <w:vAlign w:val="bottom"/>
            <w:shd w:val="clear" w:color="auto" w:fill="CFF0FC"/>
          </w:tcPr>
          <w:p>
            <w:pPr>
              <w:spacing w:after="0"/>
              <w:rPr>
                <w:sz w:val="22"/>
                <w:szCs w:val="2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1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(26 )</w:t>
            </w:r>
          </w:p>
        </w:tc>
      </w:tr>
      <w:tr>
        <w:trPr>
          <w:trHeight w:val="250"/>
        </w:trPr>
        <w:tc>
          <w:tcPr>
            <w:tcW w:w="5840" w:type="dxa"/>
            <w:vAlign w:val="bottom"/>
          </w:tcPr>
          <w:p>
            <w:pPr>
              <w:ind w:left="260"/>
              <w:spacing w:after="0"/>
              <w:rPr>
                <w:sz w:val="20"/>
                <w:szCs w:val="20"/>
                <w:color w:val="auto"/>
              </w:rPr>
            </w:pPr>
            <w:r>
              <w:rPr>
                <w:rFonts w:ascii="Arial" w:cs="Arial" w:eastAsia="Arial" w:hAnsi="Arial"/>
                <w:sz w:val="18"/>
                <w:szCs w:val="18"/>
                <w:color w:val="auto"/>
              </w:rPr>
              <w:t>Selling, general and administrative expense</w:t>
            </w:r>
          </w:p>
        </w:tc>
        <w:tc>
          <w:tcPr>
            <w:tcW w:w="18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(2 )</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63"/>
        </w:trPr>
        <w:tc>
          <w:tcPr>
            <w:tcW w:w="58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Equity and other income</w:t>
            </w:r>
          </w:p>
        </w:tc>
        <w:tc>
          <w:tcPr>
            <w:tcW w:w="1860" w:type="dxa"/>
            <w:vAlign w:val="bottom"/>
            <w:tcBorders>
              <w:bottom w:val="single" w:sz="8" w:color="auto"/>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5840" w:type="dxa"/>
            <w:vAlign w:val="bottom"/>
          </w:tcPr>
          <w:p>
            <w:pPr>
              <w:ind w:left="260"/>
              <w:spacing w:after="0"/>
              <w:rPr>
                <w:sz w:val="20"/>
                <w:szCs w:val="20"/>
                <w:color w:val="auto"/>
              </w:rPr>
            </w:pPr>
            <w:r>
              <w:rPr>
                <w:rFonts w:ascii="Arial" w:cs="Arial" w:eastAsia="Arial" w:hAnsi="Arial"/>
                <w:sz w:val="18"/>
                <w:szCs w:val="18"/>
                <w:color w:val="auto"/>
              </w:rPr>
              <w:t>Pretax income of discontinued operations</w:t>
            </w:r>
          </w:p>
        </w:tc>
        <w:tc>
          <w:tcPr>
            <w:tcW w:w="186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63"/>
        </w:trPr>
        <w:tc>
          <w:tcPr>
            <w:tcW w:w="58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1860" w:type="dxa"/>
            <w:vAlign w:val="bottom"/>
            <w:tcBorders>
              <w:bottom w:val="single" w:sz="8" w:color="auto"/>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(4 )</w:t>
            </w:r>
          </w:p>
        </w:tc>
      </w:tr>
      <w:tr>
        <w:trPr>
          <w:trHeight w:val="250"/>
        </w:trPr>
        <w:tc>
          <w:tcPr>
            <w:tcW w:w="5840" w:type="dxa"/>
            <w:vAlign w:val="bottom"/>
          </w:tcPr>
          <w:p>
            <w:pPr>
              <w:ind w:left="260"/>
              <w:spacing w:after="0"/>
              <w:rPr>
                <w:sz w:val="20"/>
                <w:szCs w:val="20"/>
                <w:color w:val="auto"/>
              </w:rPr>
            </w:pPr>
            <w:r>
              <w:rPr>
                <w:rFonts w:ascii="Arial" w:cs="Arial" w:eastAsia="Arial" w:hAnsi="Arial"/>
                <w:sz w:val="18"/>
                <w:szCs w:val="18"/>
                <w:color w:val="auto"/>
              </w:rPr>
              <w:t>Income from discontinued operations</w:t>
            </w:r>
          </w:p>
        </w:tc>
        <w:tc>
          <w:tcPr>
            <w:tcW w:w="1860" w:type="dxa"/>
            <w:vAlign w:val="bottom"/>
          </w:tcPr>
          <w:p>
            <w:pPr>
              <w:jc w:val="right"/>
              <w:ind w:right="1670"/>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0"/>
        </w:trPr>
        <w:tc>
          <w:tcPr>
            <w:tcW w:w="584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-527685</wp:posOffset>
            </wp:positionV>
            <wp:extent cx="10287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-193675</wp:posOffset>
            </wp:positionV>
            <wp:extent cx="10287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2870" cy="5715"/>
                    </a:xfrm>
                    <a:prstGeom prst="rect">
                      <a:avLst/>
                    </a:prstGeom>
                    <a:noFill/>
                  </pic:spPr>
                </pic:pic>
              </a:graphicData>
            </a:graphic>
          </wp:anchor>
        </w:drawing>
      </w:r>
    </w:p>
    <w:p>
      <w:pPr>
        <w:spacing w:after="0" w:line="241" w:lineRule="exact"/>
        <w:rPr>
          <w:sz w:val="20"/>
          <w:szCs w:val="20"/>
          <w:color w:val="auto"/>
        </w:rPr>
      </w:pPr>
    </w:p>
    <w:p>
      <w:pPr>
        <w:jc w:val="center"/>
        <w:ind w:right="7000"/>
        <w:spacing w:after="0"/>
        <w:rPr>
          <w:sz w:val="20"/>
          <w:szCs w:val="20"/>
          <w:color w:val="auto"/>
        </w:rPr>
      </w:pPr>
      <w:r>
        <w:rPr>
          <w:rFonts w:ascii="Arial" w:cs="Arial" w:eastAsia="Arial" w:hAnsi="Arial"/>
          <w:sz w:val="20"/>
          <w:szCs w:val="20"/>
          <w:b w:val="1"/>
          <w:bCs w:val="1"/>
          <w:color w:val="auto"/>
        </w:rPr>
        <w:t>NOTE D – RESTRUCTURING ACTIVITIES</w:t>
      </w:r>
    </w:p>
    <w:p>
      <w:pPr>
        <w:spacing w:after="0" w:line="162" w:lineRule="exact"/>
        <w:rPr>
          <w:sz w:val="20"/>
          <w:szCs w:val="20"/>
          <w:color w:val="auto"/>
        </w:rPr>
      </w:pPr>
    </w:p>
    <w:p>
      <w:pPr>
        <w:jc w:val="center"/>
        <w:ind w:right="7000"/>
        <w:spacing w:after="0"/>
        <w:rPr>
          <w:sz w:val="20"/>
          <w:szCs w:val="20"/>
          <w:color w:val="auto"/>
        </w:rPr>
      </w:pPr>
      <w:r>
        <w:rPr>
          <w:rFonts w:ascii="Arial" w:cs="Arial" w:eastAsia="Arial" w:hAnsi="Arial"/>
          <w:sz w:val="20"/>
          <w:szCs w:val="20"/>
          <w:b w:val="1"/>
          <w:bCs w:val="1"/>
          <w:color w:val="auto"/>
        </w:rPr>
        <w:t>Company-wide restructuring activities</w:t>
      </w:r>
    </w:p>
    <w:p>
      <w:pPr>
        <w:spacing w:after="0" w:line="127" w:lineRule="exact"/>
        <w:rPr>
          <w:sz w:val="20"/>
          <w:szCs w:val="20"/>
          <w:color w:val="auto"/>
        </w:rPr>
      </w:pPr>
    </w:p>
    <w:p>
      <w:pPr>
        <w:ind w:left="340"/>
        <w:spacing w:after="0" w:line="301" w:lineRule="auto"/>
        <w:rPr>
          <w:sz w:val="20"/>
          <w:szCs w:val="20"/>
          <w:color w:val="auto"/>
        </w:rPr>
      </w:pPr>
      <w:r>
        <w:rPr>
          <w:rFonts w:ascii="Arial" w:cs="Arial" w:eastAsia="Arial" w:hAnsi="Arial"/>
          <w:sz w:val="19"/>
          <w:szCs w:val="19"/>
          <w:color w:val="auto"/>
        </w:rPr>
        <w:t>Ashland periodically implements company-wide restructuring programs related to acquisitions, divestitures and other cost reduction programs in order to enhance profitability through streamlined operations and an improved overall cost structure.</w:t>
      </w:r>
    </w:p>
    <w:p>
      <w:pPr>
        <w:spacing w:after="0" w:line="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36" w:right="659" w:bottom="1440" w:gutter="0" w:footer="0" w:header="0"/>
        </w:sectPr>
      </w:pPr>
    </w:p>
    <w:bookmarkStart w:id="9" w:name="page10"/>
    <w:bookmarkEnd w:id="9"/>
    <w:p>
      <w:pPr>
        <w:ind w:left="340"/>
        <w:spacing w:after="0"/>
        <w:rPr>
          <w:sz w:val="20"/>
          <w:szCs w:val="20"/>
          <w:color w:val="auto"/>
        </w:rPr>
      </w:pPr>
      <w:r>
        <w:rPr>
          <w:rFonts w:ascii="Arial" w:cs="Arial" w:eastAsia="Arial" w:hAnsi="Arial"/>
          <w:sz w:val="20"/>
          <w:szCs w:val="20"/>
          <w:b w:val="1"/>
          <w:bCs w:val="1"/>
          <w:color w:val="auto"/>
        </w:rPr>
        <w:t>Fiscal 2020 and 2021 restructuring program</w:t>
      </w:r>
    </w:p>
    <w:p>
      <w:pPr>
        <w:spacing w:after="0" w:line="127" w:lineRule="exact"/>
        <w:rPr>
          <w:sz w:val="20"/>
          <w:szCs w:val="20"/>
          <w:color w:val="auto"/>
        </w:rPr>
      </w:pPr>
    </w:p>
    <w:p>
      <w:pPr>
        <w:jc w:val="both"/>
        <w:ind w:left="340"/>
        <w:spacing w:after="0" w:line="260" w:lineRule="auto"/>
        <w:rPr>
          <w:sz w:val="20"/>
          <w:szCs w:val="20"/>
          <w:color w:val="auto"/>
        </w:rPr>
      </w:pPr>
      <w:r>
        <w:rPr>
          <w:rFonts w:ascii="Arial" w:cs="Arial" w:eastAsia="Arial" w:hAnsi="Arial"/>
          <w:sz w:val="20"/>
          <w:szCs w:val="20"/>
          <w:color w:val="auto"/>
        </w:rPr>
        <w:t>Ashland incurred severance income of $6 million and expense of $12 million during the three months ended June 30, 2021 and 2020, respectively, and $2 million and $30 million during the nine months ended June 30, 2021 and 2020, respectively, attributable to executive management changes and business management changes within the organization. As of June 30, 2021, the severance reserve associated with this transition was $14 million.</w:t>
      </w:r>
    </w:p>
    <w:p>
      <w:pPr>
        <w:spacing w:after="0" w:line="83" w:lineRule="exact"/>
        <w:rPr>
          <w:sz w:val="20"/>
          <w:szCs w:val="20"/>
          <w:color w:val="auto"/>
        </w:rPr>
      </w:pPr>
    </w:p>
    <w:p>
      <w:pPr>
        <w:jc w:val="both"/>
        <w:ind w:left="340"/>
        <w:spacing w:after="0" w:line="264" w:lineRule="auto"/>
        <w:rPr>
          <w:sz w:val="20"/>
          <w:szCs w:val="20"/>
          <w:color w:val="auto"/>
        </w:rPr>
      </w:pPr>
      <w:r>
        <w:rPr>
          <w:rFonts w:ascii="Arial" w:cs="Arial" w:eastAsia="Arial" w:hAnsi="Arial"/>
          <w:sz w:val="20"/>
          <w:szCs w:val="20"/>
          <w:color w:val="auto"/>
        </w:rPr>
        <w:t>The following table details at June 30, 2021 and 2020, the amount of restructuring severance reserves related to this program. The severance reserves were primarily recorded within accrued expenses and other liabilities in the Condensed Consolidated Balance Sheet as of June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60325</wp:posOffset>
            </wp:positionV>
            <wp:extent cx="66262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01"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5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rPr>
              <w:t>Severance costs</w:t>
            </w:r>
          </w:p>
        </w:tc>
      </w:tr>
      <w:tr>
        <w:trPr>
          <w:trHeight w:val="250"/>
        </w:trPr>
        <w:tc>
          <w:tcPr>
            <w:tcW w:w="7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of September 30, 2020</w:t>
            </w:r>
          </w:p>
        </w:tc>
        <w:tc>
          <w:tcPr>
            <w:tcW w:w="520" w:type="dxa"/>
            <w:vAlign w:val="bottom"/>
            <w:shd w:val="clear" w:color="auto" w:fill="CFF0FC"/>
          </w:tcPr>
          <w:p>
            <w:pPr>
              <w:spacing w:after="0"/>
              <w:rPr>
                <w:sz w:val="21"/>
                <w:szCs w:val="21"/>
                <w:color w:val="auto"/>
              </w:rPr>
            </w:pPr>
          </w:p>
        </w:tc>
        <w:tc>
          <w:tcPr>
            <w:tcW w:w="2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39</w:t>
            </w:r>
          </w:p>
        </w:tc>
      </w:tr>
      <w:tr>
        <w:trPr>
          <w:trHeight w:val="250"/>
        </w:trPr>
        <w:tc>
          <w:tcPr>
            <w:tcW w:w="7280" w:type="dxa"/>
            <w:vAlign w:val="bottom"/>
          </w:tcPr>
          <w:p>
            <w:pPr>
              <w:spacing w:after="0"/>
              <w:rPr>
                <w:sz w:val="20"/>
                <w:szCs w:val="20"/>
                <w:color w:val="auto"/>
              </w:rPr>
            </w:pPr>
            <w:r>
              <w:rPr>
                <w:rFonts w:ascii="Arial" w:cs="Arial" w:eastAsia="Arial" w:hAnsi="Arial"/>
                <w:sz w:val="18"/>
                <w:szCs w:val="18"/>
                <w:color w:val="auto"/>
              </w:rPr>
              <w:t>Restructuring reserve</w:t>
            </w:r>
          </w:p>
        </w:tc>
        <w:tc>
          <w:tcPr>
            <w:tcW w:w="520" w:type="dxa"/>
            <w:vAlign w:val="bottom"/>
          </w:tcPr>
          <w:p>
            <w:pPr>
              <w:spacing w:after="0"/>
              <w:rPr>
                <w:sz w:val="21"/>
                <w:szCs w:val="21"/>
                <w:color w:val="auto"/>
              </w:rPr>
            </w:pPr>
          </w:p>
        </w:tc>
        <w:tc>
          <w:tcPr>
            <w:tcW w:w="26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63"/>
        </w:trPr>
        <w:tc>
          <w:tcPr>
            <w:tcW w:w="7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Utilization (cash paid)</w:t>
            </w:r>
          </w:p>
        </w:tc>
        <w:tc>
          <w:tcPr>
            <w:tcW w:w="520" w:type="dxa"/>
            <w:vAlign w:val="bottom"/>
            <w:tcBorders>
              <w:bottom w:val="single" w:sz="8" w:color="auto"/>
            </w:tcBorders>
            <w:shd w:val="clear" w:color="auto" w:fill="CFF0FC"/>
          </w:tcPr>
          <w:p>
            <w:pPr>
              <w:spacing w:after="0"/>
              <w:rPr>
                <w:sz w:val="22"/>
                <w:szCs w:val="22"/>
                <w:color w:val="auto"/>
              </w:rPr>
            </w:pPr>
          </w:p>
        </w:tc>
        <w:tc>
          <w:tcPr>
            <w:tcW w:w="2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(27 )</w:t>
            </w:r>
          </w:p>
        </w:tc>
      </w:tr>
      <w:tr>
        <w:trPr>
          <w:trHeight w:val="250"/>
        </w:trPr>
        <w:tc>
          <w:tcPr>
            <w:tcW w:w="7280" w:type="dxa"/>
            <w:vAlign w:val="bottom"/>
          </w:tcPr>
          <w:p>
            <w:pPr>
              <w:spacing w:after="0"/>
              <w:rPr>
                <w:sz w:val="20"/>
                <w:szCs w:val="20"/>
                <w:color w:val="auto"/>
              </w:rPr>
            </w:pPr>
            <w:r>
              <w:rPr>
                <w:rFonts w:ascii="Arial" w:cs="Arial" w:eastAsia="Arial" w:hAnsi="Arial"/>
                <w:sz w:val="18"/>
                <w:szCs w:val="18"/>
                <w:b w:val="1"/>
                <w:bCs w:val="1"/>
                <w:color w:val="auto"/>
              </w:rPr>
              <w:t>Balance at June 30, 2021</w:t>
            </w: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2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r>
      <w:tr>
        <w:trPr>
          <w:trHeight w:val="20"/>
        </w:trPr>
        <w:tc>
          <w:tcPr>
            <w:tcW w:w="7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r>
        <w:trPr>
          <w:trHeight w:val="251"/>
        </w:trPr>
        <w:tc>
          <w:tcPr>
            <w:tcW w:w="72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tcPr>
          <w:p>
            <w:pPr>
              <w:spacing w:after="0"/>
              <w:rPr>
                <w:sz w:val="21"/>
                <w:szCs w:val="21"/>
                <w:color w:val="auto"/>
              </w:rPr>
            </w:pPr>
          </w:p>
        </w:tc>
      </w:tr>
      <w:tr>
        <w:trPr>
          <w:trHeight w:val="237"/>
        </w:trPr>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5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rPr>
              <w:t>Severance costs</w:t>
            </w:r>
          </w:p>
        </w:tc>
      </w:tr>
      <w:tr>
        <w:trPr>
          <w:trHeight w:val="243"/>
        </w:trPr>
        <w:tc>
          <w:tcPr>
            <w:tcW w:w="7280" w:type="dxa"/>
            <w:vAlign w:val="bottom"/>
          </w:tcPr>
          <w:p>
            <w:pPr>
              <w:spacing w:after="0"/>
              <w:rPr>
                <w:sz w:val="20"/>
                <w:szCs w:val="20"/>
                <w:color w:val="auto"/>
              </w:rPr>
            </w:pPr>
            <w:r>
              <w:rPr>
                <w:rFonts w:ascii="Arial" w:cs="Arial" w:eastAsia="Arial" w:hAnsi="Arial"/>
                <w:sz w:val="18"/>
                <w:szCs w:val="18"/>
                <w:b w:val="1"/>
                <w:bCs w:val="1"/>
                <w:color w:val="auto"/>
              </w:rPr>
              <w:t>Balance at of September 30, 2019</w:t>
            </w:r>
          </w:p>
        </w:tc>
        <w:tc>
          <w:tcPr>
            <w:tcW w:w="520" w:type="dxa"/>
            <w:vAlign w:val="bottom"/>
          </w:tcPr>
          <w:p>
            <w:pPr>
              <w:spacing w:after="0"/>
              <w:rPr>
                <w:sz w:val="21"/>
                <w:szCs w:val="21"/>
                <w:color w:val="auto"/>
              </w:rPr>
            </w:pPr>
          </w:p>
        </w:tc>
        <w:tc>
          <w:tcPr>
            <w:tcW w:w="26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Restructuring reserve</w:t>
            </w:r>
          </w:p>
        </w:tc>
        <w:tc>
          <w:tcPr>
            <w:tcW w:w="520" w:type="dxa"/>
            <w:vAlign w:val="bottom"/>
            <w:shd w:val="clear" w:color="auto" w:fill="CFF0FC"/>
          </w:tcPr>
          <w:p>
            <w:pPr>
              <w:spacing w:after="0"/>
              <w:rPr>
                <w:sz w:val="22"/>
                <w:szCs w:val="22"/>
                <w:color w:val="auto"/>
              </w:rPr>
            </w:pPr>
          </w:p>
        </w:tc>
        <w:tc>
          <w:tcPr>
            <w:tcW w:w="2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30</w:t>
            </w:r>
          </w:p>
        </w:tc>
      </w:tr>
      <w:tr>
        <w:trPr>
          <w:trHeight w:val="256"/>
        </w:trPr>
        <w:tc>
          <w:tcPr>
            <w:tcW w:w="7280" w:type="dxa"/>
            <w:vAlign w:val="bottom"/>
          </w:tcPr>
          <w:p>
            <w:pPr>
              <w:spacing w:after="0"/>
              <w:rPr>
                <w:sz w:val="20"/>
                <w:szCs w:val="20"/>
                <w:color w:val="auto"/>
              </w:rPr>
            </w:pPr>
            <w:r>
              <w:rPr>
                <w:rFonts w:ascii="Arial" w:cs="Arial" w:eastAsia="Arial" w:hAnsi="Arial"/>
                <w:sz w:val="18"/>
                <w:szCs w:val="18"/>
                <w:color w:val="auto"/>
              </w:rPr>
              <w:t>Utilization (cash paid)</w:t>
            </w:r>
          </w:p>
        </w:tc>
        <w:tc>
          <w:tcPr>
            <w:tcW w:w="52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r>
      <w:tr>
        <w:trPr>
          <w:trHeight w:val="290"/>
        </w:trPr>
        <w:tc>
          <w:tcPr>
            <w:tcW w:w="7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June 30, 2020</w:t>
            </w: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26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22</w:t>
            </w:r>
          </w:p>
        </w:tc>
      </w:tr>
    </w:tbl>
    <w:p>
      <w:pPr>
        <w:spacing w:after="0" w:line="99"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Fiscal 2018 restructuring program</w:t>
      </w:r>
    </w:p>
    <w:p>
      <w:pPr>
        <w:spacing w:after="0" w:line="127" w:lineRule="exact"/>
        <w:rPr>
          <w:sz w:val="20"/>
          <w:szCs w:val="20"/>
          <w:color w:val="auto"/>
        </w:rPr>
      </w:pPr>
    </w:p>
    <w:p>
      <w:pPr>
        <w:jc w:val="both"/>
        <w:ind w:left="340"/>
        <w:spacing w:after="0" w:line="290" w:lineRule="auto"/>
        <w:rPr>
          <w:sz w:val="20"/>
          <w:szCs w:val="20"/>
          <w:color w:val="auto"/>
        </w:rPr>
      </w:pPr>
      <w:r>
        <w:rPr>
          <w:rFonts w:ascii="Arial" w:cs="Arial" w:eastAsia="Arial" w:hAnsi="Arial"/>
          <w:sz w:val="18"/>
          <w:szCs w:val="18"/>
          <w:color w:val="auto"/>
        </w:rPr>
        <w:t>During fiscal 2018, Ashland initiated a company-wide cost reduction program as a result of ongoing strategic asset plans and activities. As part of this restructuring program, Ashland announced a voluntary severance offer to certain qualifying employees that was formally approved during 2018. Additionally, during fiscal 2018, an involuntary program for employees was also initiated as part of the restructuring program. These programs resulted in additional severance expense of zero for the three months ended June 30, 2021 and 2020, and zero and $1 million for the nine months ended June 30, 2021 and 2020, respectively, which was primarily recorded within the selling, general and administrative expense caption of the Statement of Consolidated Comprehensive Income (Loss). As of June 30, 2021, the severance reserve for the company-wide restructuring program was zero.</w:t>
      </w:r>
    </w:p>
    <w:p>
      <w:pPr>
        <w:spacing w:after="0" w:line="58" w:lineRule="exact"/>
        <w:rPr>
          <w:sz w:val="20"/>
          <w:szCs w:val="20"/>
          <w:color w:val="auto"/>
        </w:rPr>
      </w:pPr>
    </w:p>
    <w:p>
      <w:pPr>
        <w:jc w:val="both"/>
        <w:ind w:left="340"/>
        <w:spacing w:after="0" w:line="284" w:lineRule="auto"/>
        <w:rPr>
          <w:sz w:val="20"/>
          <w:szCs w:val="20"/>
          <w:color w:val="auto"/>
        </w:rPr>
      </w:pPr>
      <w:r>
        <w:rPr>
          <w:rFonts w:ascii="Arial" w:cs="Arial" w:eastAsia="Arial" w:hAnsi="Arial"/>
          <w:sz w:val="19"/>
          <w:szCs w:val="19"/>
          <w:color w:val="auto"/>
        </w:rPr>
        <w:t>The following table details at June 30, 2020, the amount of restructuring reserves related to the programs discussed above, and the related activity in these reserves during the nine months ended June 30, 2020. The severance reserve was primarily recorded within accrued expenses and other liabilities in the Condensed Consolidated Balance Sheet as of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41275</wp:posOffset>
            </wp:positionV>
            <wp:extent cx="66262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71"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5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rPr>
              <w:t>Severance costs</w:t>
            </w:r>
          </w:p>
        </w:tc>
      </w:tr>
      <w:tr>
        <w:trPr>
          <w:trHeight w:val="250"/>
        </w:trPr>
        <w:tc>
          <w:tcPr>
            <w:tcW w:w="7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of September 30, 2019</w:t>
            </w:r>
          </w:p>
        </w:tc>
        <w:tc>
          <w:tcPr>
            <w:tcW w:w="520" w:type="dxa"/>
            <w:vAlign w:val="bottom"/>
            <w:shd w:val="clear" w:color="auto" w:fill="CFF0FC"/>
          </w:tcPr>
          <w:p>
            <w:pPr>
              <w:spacing w:after="0"/>
              <w:rPr>
                <w:sz w:val="21"/>
                <w:szCs w:val="21"/>
                <w:color w:val="auto"/>
              </w:rPr>
            </w:pPr>
          </w:p>
        </w:tc>
        <w:tc>
          <w:tcPr>
            <w:tcW w:w="2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w:t>
            </w:r>
          </w:p>
        </w:tc>
      </w:tr>
      <w:tr>
        <w:trPr>
          <w:trHeight w:val="250"/>
        </w:trPr>
        <w:tc>
          <w:tcPr>
            <w:tcW w:w="7280" w:type="dxa"/>
            <w:vAlign w:val="bottom"/>
          </w:tcPr>
          <w:p>
            <w:pPr>
              <w:spacing w:after="0"/>
              <w:rPr>
                <w:sz w:val="20"/>
                <w:szCs w:val="20"/>
                <w:color w:val="auto"/>
              </w:rPr>
            </w:pPr>
            <w:r>
              <w:rPr>
                <w:rFonts w:ascii="Arial" w:cs="Arial" w:eastAsia="Arial" w:hAnsi="Arial"/>
                <w:sz w:val="18"/>
                <w:szCs w:val="18"/>
                <w:color w:val="auto"/>
              </w:rPr>
              <w:t>Restructuring reserve</w:t>
            </w:r>
          </w:p>
        </w:tc>
        <w:tc>
          <w:tcPr>
            <w:tcW w:w="520" w:type="dxa"/>
            <w:vAlign w:val="bottom"/>
          </w:tcPr>
          <w:p>
            <w:pPr>
              <w:spacing w:after="0"/>
              <w:rPr>
                <w:sz w:val="21"/>
                <w:szCs w:val="21"/>
                <w:color w:val="auto"/>
              </w:rPr>
            </w:pPr>
          </w:p>
        </w:tc>
        <w:tc>
          <w:tcPr>
            <w:tcW w:w="26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63"/>
        </w:trPr>
        <w:tc>
          <w:tcPr>
            <w:tcW w:w="7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Utilization (cash paid)</w:t>
            </w:r>
          </w:p>
        </w:tc>
        <w:tc>
          <w:tcPr>
            <w:tcW w:w="520" w:type="dxa"/>
            <w:vAlign w:val="bottom"/>
            <w:tcBorders>
              <w:bottom w:val="single" w:sz="8" w:color="auto"/>
            </w:tcBorders>
            <w:shd w:val="clear" w:color="auto" w:fill="CFF0FC"/>
          </w:tcPr>
          <w:p>
            <w:pPr>
              <w:spacing w:after="0"/>
              <w:rPr>
                <w:sz w:val="22"/>
                <w:szCs w:val="22"/>
                <w:color w:val="auto"/>
              </w:rPr>
            </w:pPr>
          </w:p>
        </w:tc>
        <w:tc>
          <w:tcPr>
            <w:tcW w:w="2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(8 )</w:t>
            </w:r>
          </w:p>
        </w:tc>
      </w:tr>
      <w:tr>
        <w:trPr>
          <w:trHeight w:val="250"/>
        </w:trPr>
        <w:tc>
          <w:tcPr>
            <w:tcW w:w="7280" w:type="dxa"/>
            <w:vAlign w:val="bottom"/>
          </w:tcPr>
          <w:p>
            <w:pPr>
              <w:spacing w:after="0"/>
              <w:rPr>
                <w:sz w:val="20"/>
                <w:szCs w:val="20"/>
                <w:color w:val="auto"/>
              </w:rPr>
            </w:pPr>
            <w:r>
              <w:rPr>
                <w:rFonts w:ascii="Arial" w:cs="Arial" w:eastAsia="Arial" w:hAnsi="Arial"/>
                <w:sz w:val="18"/>
                <w:szCs w:val="18"/>
                <w:b w:val="1"/>
                <w:bCs w:val="1"/>
                <w:color w:val="auto"/>
              </w:rPr>
              <w:t>Balance at June 30, 2020</w:t>
            </w: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2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7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E – FAIR VALUE MEASUREMENTS</w:t>
      </w:r>
    </w:p>
    <w:p>
      <w:pPr>
        <w:spacing w:after="0" w:line="141" w:lineRule="exact"/>
        <w:rPr>
          <w:sz w:val="20"/>
          <w:szCs w:val="20"/>
          <w:color w:val="auto"/>
        </w:rPr>
      </w:pPr>
    </w:p>
    <w:p>
      <w:pPr>
        <w:jc w:val="both"/>
        <w:ind w:left="340"/>
        <w:spacing w:after="0" w:line="287" w:lineRule="auto"/>
        <w:rPr>
          <w:sz w:val="20"/>
          <w:szCs w:val="20"/>
          <w:color w:val="auto"/>
        </w:rPr>
      </w:pPr>
      <w:r>
        <w:rPr>
          <w:rFonts w:ascii="Arial" w:cs="Arial" w:eastAsia="Arial" w:hAnsi="Arial"/>
          <w:sz w:val="19"/>
          <w:szCs w:val="19"/>
          <w:color w:val="auto"/>
        </w:rPr>
        <w:t>As required by U.S. GAAP, Ashland uses applicable guidance for defining fair value, the initial recording and periodic remeasurement of certain assets and liabilities measured at fair value and related disclosures for instruments measured at fair value. Fair value accounting guidance establishes a fair value hierarchy, which prioritizes the inputs to valuation techniques used to measure fair value into three broad levels. The fair value hierarchy gives the highest priority to quoted prices in active markets for identical assets or liabilities (Level 1) and the lowest priority to unobservable inputs (Level 3). An instrument’s categorization within the fair value hierarchy is based upon the lowest level of input that is significant to the instrument’s fair value measurement. The three levels within the fair value hierarchy are described as follows.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Level 1 – Observable inputs such as unadjusted quoted prices in active markets for identical assets or liabilities.</w:t>
      </w:r>
    </w:p>
    <w:p>
      <w:pPr>
        <w:spacing w:after="0" w:line="135" w:lineRule="exact"/>
        <w:rPr>
          <w:sz w:val="20"/>
          <w:szCs w:val="20"/>
          <w:color w:val="auto"/>
        </w:rPr>
      </w:pPr>
    </w:p>
    <w:p>
      <w:pPr>
        <w:jc w:val="both"/>
        <w:ind w:left="340"/>
        <w:spacing w:after="0" w:line="278" w:lineRule="auto"/>
        <w:rPr>
          <w:sz w:val="20"/>
          <w:szCs w:val="20"/>
          <w:color w:val="auto"/>
        </w:rPr>
      </w:pPr>
      <w:r>
        <w:rPr>
          <w:rFonts w:ascii="Arial" w:cs="Arial" w:eastAsia="Arial" w:hAnsi="Arial"/>
          <w:sz w:val="20"/>
          <w:szCs w:val="20"/>
          <w:color w:val="auto"/>
        </w:rPr>
        <w:t>Level 2 – Inputs other than quoted prices included within Level 1 that are observable for the asset or liability, either directly or indirectly. These include quoted prices for similar assets or liabilities in active markets and quoted prices for identical or similar assets or liabilities in markets that are not active.</w:t>
      </w:r>
    </w:p>
    <w:p>
      <w:pPr>
        <w:sectPr>
          <w:pgSz w:w="11900" w:h="16838" w:orient="portrait"/>
          <w:cols w:equalWidth="0" w:num="1">
            <w:col w:w="10920"/>
          </w:cols>
          <w:pgMar w:left="320" w:top="130" w:right="659" w:bottom="1440" w:gutter="0" w:footer="0" w:header="0"/>
        </w:sectPr>
      </w:pPr>
    </w:p>
    <w:p>
      <w:pPr>
        <w:spacing w:after="0" w:line="81"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30" w:right="659" w:bottom="1440" w:gutter="0" w:footer="0" w:header="0"/>
          <w:type w:val="continuous"/>
        </w:sectPr>
      </w:pPr>
    </w:p>
    <w:bookmarkStart w:id="10" w:name="page11"/>
    <w:bookmarkEnd w:id="10"/>
    <w:p>
      <w:pPr>
        <w:jc w:val="both"/>
        <w:ind w:left="8"/>
        <w:spacing w:after="0" w:line="272" w:lineRule="auto"/>
        <w:rPr>
          <w:sz w:val="20"/>
          <w:szCs w:val="20"/>
          <w:color w:val="auto"/>
        </w:rPr>
      </w:pPr>
      <w:r>
        <w:rPr>
          <w:rFonts w:ascii="Arial" w:cs="Arial" w:eastAsia="Arial" w:hAnsi="Arial"/>
          <w:sz w:val="20"/>
          <w:szCs w:val="20"/>
          <w:color w:val="auto"/>
        </w:rPr>
        <w:t>Level 3 – Unobservable inputs for the asset or liability for which there is little, if any, market activity at the measurement date. Unobservable inputs reflect Ashland’s own assumptions about what market participants would use to price the asset or liability. The inputs are developed based on the best information available in the circumstances, which might include Ashland’s own financial data such as internally developed pricing models, discounted cash flow methodologies, as well as instruments for which the fair value determination requires significant management judgment.</w:t>
      </w:r>
    </w:p>
    <w:p>
      <w:pPr>
        <w:spacing w:after="0" w:line="87" w:lineRule="exact"/>
        <w:rPr>
          <w:sz w:val="20"/>
          <w:szCs w:val="20"/>
          <w:color w:val="auto"/>
        </w:rPr>
      </w:pPr>
    </w:p>
    <w:p>
      <w:pPr>
        <w:jc w:val="both"/>
        <w:ind w:left="8"/>
        <w:spacing w:after="0" w:line="271" w:lineRule="auto"/>
        <w:rPr>
          <w:sz w:val="20"/>
          <w:szCs w:val="20"/>
          <w:color w:val="auto"/>
        </w:rPr>
      </w:pPr>
      <w:r>
        <w:rPr>
          <w:rFonts w:ascii="Arial" w:cs="Arial" w:eastAsia="Arial" w:hAnsi="Arial"/>
          <w:sz w:val="20"/>
          <w:szCs w:val="20"/>
          <w:color w:val="auto"/>
        </w:rPr>
        <w:t>For assets that are measured using quoted prices in active markets (Level 1), the total fair value is the published market price per unit multiplied by the number of units held without consideration of transaction costs. Assets and liabilities that are measured using significant other observable inputs (Level 2) are primarily valued by reference to quoted prices of similar assets or liabilities in active markets, adjusted for any terms specific to that asset or liability. For all other assets and liabilities for which unobservable inputs are used (Level 3), fair value is derived using fair value models, such as a discounted cash flow model or other standard pricing models that Ashland deems reasonable.</w:t>
      </w:r>
    </w:p>
    <w:p>
      <w:pPr>
        <w:spacing w:after="0" w:line="89" w:lineRule="exact"/>
        <w:rPr>
          <w:sz w:val="20"/>
          <w:szCs w:val="20"/>
          <w:color w:val="auto"/>
        </w:rPr>
      </w:pPr>
    </w:p>
    <w:p>
      <w:pPr>
        <w:ind w:left="8"/>
        <w:spacing w:after="0"/>
        <w:rPr>
          <w:sz w:val="20"/>
          <w:szCs w:val="20"/>
          <w:color w:val="auto"/>
        </w:rPr>
      </w:pPr>
      <w:r>
        <w:rPr>
          <w:rFonts w:ascii="Arial" w:cs="Arial" w:eastAsia="Arial" w:hAnsi="Arial"/>
          <w:sz w:val="20"/>
          <w:szCs w:val="20"/>
          <w:color w:val="auto"/>
        </w:rPr>
        <w:t>The following table summarizes financial instruments subject to recurring fair value measurements as of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104775</wp:posOffset>
            </wp:positionV>
            <wp:extent cx="66262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71" w:lineRule="exact"/>
        <w:rPr>
          <w:sz w:val="20"/>
          <w:szCs w:val="20"/>
          <w:color w:val="auto"/>
        </w:rPr>
      </w:pPr>
    </w:p>
    <w:tbl>
      <w:tblPr>
        <w:tblLayout w:type="fixed"/>
        <w:tblInd w:w="88" w:type="dxa"/>
        <w:tblCellMar>
          <w:top w:w="0" w:type="dxa"/>
          <w:left w:w="0" w:type="dxa"/>
          <w:bottom w:w="0" w:type="dxa"/>
          <w:right w:w="0" w:type="dxa"/>
        </w:tblCellMar>
      </w:tblPr>
      <w:tr>
        <w:trPr>
          <w:trHeight w:val="230"/>
        </w:trPr>
        <w:tc>
          <w:tcPr>
            <w:tcW w:w="3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9"/>
              </w:rPr>
              <w:t>Quoted prices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3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color w:val="auto"/>
                <w:w w:val="93"/>
              </w:rPr>
              <w:t>in active</w:t>
            </w:r>
          </w:p>
        </w:tc>
        <w:tc>
          <w:tcPr>
            <w:tcW w:w="140" w:type="dxa"/>
            <w:vAlign w:val="bottom"/>
          </w:tcPr>
          <w:p>
            <w:pPr>
              <w:spacing w:after="0"/>
              <w:rPr>
                <w:sz w:val="19"/>
                <w:szCs w:val="19"/>
                <w:color w:val="auto"/>
              </w:rPr>
            </w:pPr>
          </w:p>
        </w:tc>
        <w:tc>
          <w:tcPr>
            <w:tcW w:w="1040" w:type="dxa"/>
            <w:vAlign w:val="bottom"/>
            <w:gridSpan w:val="2"/>
          </w:tcPr>
          <w:p>
            <w:pPr>
              <w:jc w:val="center"/>
              <w:ind w:right="30"/>
              <w:spacing w:after="0"/>
              <w:rPr>
                <w:sz w:val="20"/>
                <w:szCs w:val="20"/>
                <w:color w:val="auto"/>
              </w:rPr>
            </w:pPr>
            <w:r>
              <w:rPr>
                <w:rFonts w:ascii="Arial" w:cs="Arial" w:eastAsia="Arial" w:hAnsi="Arial"/>
                <w:sz w:val="18"/>
                <w:szCs w:val="18"/>
                <w:color w:val="auto"/>
                <w:w w:val="96"/>
              </w:rPr>
              <w:t>Significant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3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color w:val="auto"/>
                <w:w w:val="91"/>
              </w:rPr>
              <w:t>markets for</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center"/>
              <w:ind w:right="170"/>
              <w:spacing w:after="0"/>
              <w:rPr>
                <w:sz w:val="20"/>
                <w:szCs w:val="20"/>
                <w:color w:val="auto"/>
              </w:rPr>
            </w:pPr>
            <w:r>
              <w:rPr>
                <w:rFonts w:ascii="Arial" w:cs="Arial" w:eastAsia="Arial" w:hAnsi="Arial"/>
                <w:sz w:val="18"/>
                <w:szCs w:val="18"/>
                <w:color w:val="auto"/>
                <w:w w:val="87"/>
              </w:rPr>
              <w:t>other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center"/>
              <w:ind w:right="110"/>
              <w:spacing w:after="0"/>
              <w:rPr>
                <w:sz w:val="20"/>
                <w:szCs w:val="20"/>
                <w:color w:val="auto"/>
              </w:rPr>
            </w:pPr>
            <w:r>
              <w:rPr>
                <w:rFonts w:ascii="Arial" w:cs="Arial" w:eastAsia="Arial" w:hAnsi="Arial"/>
                <w:sz w:val="18"/>
                <w:szCs w:val="18"/>
                <w:color w:val="auto"/>
                <w:w w:val="93"/>
              </w:rPr>
              <w:t>Significant</w:t>
            </w:r>
          </w:p>
        </w:tc>
      </w:tr>
      <w:tr>
        <w:trPr>
          <w:trHeight w:val="229"/>
        </w:trPr>
        <w:tc>
          <w:tcPr>
            <w:tcW w:w="3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center"/>
              <w:ind w:left="230"/>
              <w:spacing w:after="0"/>
              <w:rPr>
                <w:sz w:val="20"/>
                <w:szCs w:val="20"/>
                <w:color w:val="auto"/>
              </w:rPr>
            </w:pPr>
            <w:r>
              <w:rPr>
                <w:rFonts w:ascii="Arial" w:cs="Arial" w:eastAsia="Arial" w:hAnsi="Arial"/>
                <w:sz w:val="18"/>
                <w:szCs w:val="18"/>
                <w:color w:val="auto"/>
                <w:w w:val="89"/>
              </w:rPr>
              <w:t>Total</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color w:val="auto"/>
                <w:w w:val="93"/>
              </w:rPr>
              <w:t>identical</w:t>
            </w:r>
          </w:p>
        </w:tc>
        <w:tc>
          <w:tcPr>
            <w:tcW w:w="140" w:type="dxa"/>
            <w:vAlign w:val="bottom"/>
          </w:tcPr>
          <w:p>
            <w:pPr>
              <w:spacing w:after="0"/>
              <w:rPr>
                <w:sz w:val="19"/>
                <w:szCs w:val="19"/>
                <w:color w:val="auto"/>
              </w:rPr>
            </w:pPr>
          </w:p>
        </w:tc>
        <w:tc>
          <w:tcPr>
            <w:tcW w:w="1040" w:type="dxa"/>
            <w:vAlign w:val="bottom"/>
            <w:gridSpan w:val="2"/>
          </w:tcPr>
          <w:p>
            <w:pPr>
              <w:jc w:val="center"/>
              <w:ind w:right="50"/>
              <w:spacing w:after="0"/>
              <w:rPr>
                <w:sz w:val="20"/>
                <w:szCs w:val="20"/>
                <w:color w:val="auto"/>
              </w:rPr>
            </w:pPr>
            <w:r>
              <w:rPr>
                <w:rFonts w:ascii="Arial" w:cs="Arial" w:eastAsia="Arial" w:hAnsi="Arial"/>
                <w:sz w:val="18"/>
                <w:szCs w:val="18"/>
                <w:color w:val="auto"/>
                <w:w w:val="88"/>
              </w:rPr>
              <w:t>observable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88"/>
              </w:rPr>
              <w:t>unobservable</w:t>
            </w:r>
          </w:p>
        </w:tc>
      </w:tr>
      <w:tr>
        <w:trPr>
          <w:trHeight w:val="230"/>
        </w:trPr>
        <w:tc>
          <w:tcPr>
            <w:tcW w:w="3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w w:val="96"/>
              </w:rPr>
              <w:t>Carrying</w:t>
            </w:r>
          </w:p>
        </w:tc>
        <w:tc>
          <w:tcPr>
            <w:tcW w:w="140" w:type="dxa"/>
            <w:vAlign w:val="bottom"/>
          </w:tcPr>
          <w:p>
            <w:pPr>
              <w:spacing w:after="0"/>
              <w:rPr>
                <w:sz w:val="20"/>
                <w:szCs w:val="20"/>
                <w:color w:val="auto"/>
              </w:rPr>
            </w:pPr>
          </w:p>
        </w:tc>
        <w:tc>
          <w:tcPr>
            <w:tcW w:w="800" w:type="dxa"/>
            <w:vAlign w:val="bottom"/>
          </w:tcPr>
          <w:p>
            <w:pPr>
              <w:jc w:val="center"/>
              <w:ind w:left="230"/>
              <w:spacing w:after="0"/>
              <w:rPr>
                <w:sz w:val="20"/>
                <w:szCs w:val="20"/>
                <w:color w:val="auto"/>
              </w:rPr>
            </w:pPr>
            <w:r>
              <w:rPr>
                <w:rFonts w:ascii="Arial" w:cs="Arial" w:eastAsia="Arial" w:hAnsi="Arial"/>
                <w:sz w:val="18"/>
                <w:szCs w:val="18"/>
                <w:color w:val="auto"/>
                <w:w w:val="95"/>
              </w:rPr>
              <w:t>fair</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color w:val="auto"/>
                <w:w w:val="80"/>
              </w:rPr>
              <w:t>assets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center"/>
              <w:ind w:right="170"/>
              <w:spacing w:after="0"/>
              <w:rPr>
                <w:sz w:val="20"/>
                <w:szCs w:val="20"/>
                <w:color w:val="auto"/>
              </w:rPr>
            </w:pPr>
            <w:r>
              <w:rPr>
                <w:rFonts w:ascii="Arial" w:cs="Arial" w:eastAsia="Arial" w:hAnsi="Arial"/>
                <w:sz w:val="18"/>
                <w:szCs w:val="18"/>
                <w:color w:val="auto"/>
                <w:w w:val="91"/>
              </w:rPr>
              <w:t>inputs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91"/>
              </w:rPr>
              <w:t>inputs</w:t>
            </w:r>
          </w:p>
        </w:tc>
      </w:tr>
      <w:tr>
        <w:trPr>
          <w:trHeight w:val="263"/>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value</w:t>
            </w: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color w:val="auto"/>
                <w:w w:val="92"/>
              </w:rPr>
              <w:t>value</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2"/>
              </w:rPr>
              <w:t>Level 1</w:t>
            </w:r>
          </w:p>
        </w:tc>
        <w:tc>
          <w:tcPr>
            <w:tcW w:w="1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2"/>
              </w:rPr>
              <w:t>Level 2</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2"/>
              </w:rPr>
              <w:t>Level 3</w:t>
            </w:r>
          </w:p>
        </w:tc>
      </w:tr>
      <w:tr>
        <w:trPr>
          <w:trHeight w:val="257"/>
        </w:trPr>
        <w:tc>
          <w:tcPr>
            <w:tcW w:w="3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r>
      <w:tr>
        <w:trPr>
          <w:trHeight w:val="250"/>
        </w:trPr>
        <w:tc>
          <w:tcPr>
            <w:tcW w:w="39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262</w:t>
            </w:r>
          </w:p>
        </w:tc>
        <w:tc>
          <w:tcPr>
            <w:tcW w:w="94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w w:val="99"/>
              </w:rPr>
              <w:t>262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63"/>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Restricted investments </w:t>
            </w:r>
            <w:r>
              <w:rPr>
                <w:rFonts w:ascii="Arial" w:cs="Arial" w:eastAsia="Arial" w:hAnsi="Arial"/>
                <w:sz w:val="14"/>
                <w:szCs w:val="14"/>
                <w:color w:val="auto"/>
              </w:rPr>
              <w:t>(a)</w:t>
            </w:r>
          </w:p>
        </w:tc>
        <w:tc>
          <w:tcPr>
            <w:tcW w:w="140" w:type="dxa"/>
            <w:vAlign w:val="bottom"/>
            <w:shd w:val="clear" w:color="auto" w:fill="CFF0FC"/>
          </w:tcPr>
          <w:p>
            <w:pPr>
              <w:spacing w:after="0"/>
              <w:rPr>
                <w:sz w:val="22"/>
                <w:szCs w:val="22"/>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342</w:t>
            </w:r>
          </w:p>
        </w:tc>
        <w:tc>
          <w:tcPr>
            <w:tcW w:w="14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342</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342</w:t>
            </w:r>
          </w:p>
        </w:tc>
        <w:tc>
          <w:tcPr>
            <w:tcW w:w="1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80" w:type="dxa"/>
            <w:vAlign w:val="bottom"/>
            <w:shd w:val="clear" w:color="auto" w:fill="CFF0FC"/>
          </w:tcPr>
          <w:p>
            <w:pPr>
              <w:ind w:left="900"/>
              <w:spacing w:after="0"/>
              <w:rPr>
                <w:sz w:val="20"/>
                <w:szCs w:val="20"/>
                <w:color w:val="auto"/>
              </w:rPr>
            </w:pPr>
            <w:r>
              <w:rPr>
                <w:rFonts w:ascii="Arial" w:cs="Arial" w:eastAsia="Arial" w:hAnsi="Arial"/>
                <w:sz w:val="18"/>
                <w:szCs w:val="18"/>
                <w:color w:val="auto"/>
              </w:rPr>
              <w:t>—</w:t>
            </w:r>
          </w:p>
        </w:tc>
      </w:tr>
      <w:tr>
        <w:trPr>
          <w:trHeight w:val="250"/>
        </w:trPr>
        <w:tc>
          <w:tcPr>
            <w:tcW w:w="3920" w:type="dxa"/>
            <w:vAlign w:val="bottom"/>
          </w:tcPr>
          <w:p>
            <w:pPr>
              <w:spacing w:after="0"/>
              <w:rPr>
                <w:sz w:val="20"/>
                <w:szCs w:val="20"/>
                <w:color w:val="auto"/>
              </w:rPr>
            </w:pPr>
            <w:r>
              <w:rPr>
                <w:rFonts w:ascii="Arial" w:cs="Arial" w:eastAsia="Arial" w:hAnsi="Arial"/>
                <w:sz w:val="18"/>
                <w:szCs w:val="18"/>
                <w:color w:val="auto"/>
              </w:rPr>
              <w:t xml:space="preserve">Investment of captive insurance company </w:t>
            </w:r>
            <w:r>
              <w:rPr>
                <w:rFonts w:ascii="Arial" w:cs="Arial" w:eastAsia="Arial" w:hAnsi="Arial"/>
                <w:sz w:val="14"/>
                <w:szCs w:val="14"/>
                <w:color w:val="auto"/>
              </w:rPr>
              <w:t>(b)</w:t>
            </w: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63"/>
        </w:trPr>
        <w:tc>
          <w:tcPr>
            <w:tcW w:w="3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Foreign currency derivatives</w:t>
            </w:r>
          </w:p>
        </w:tc>
        <w:tc>
          <w:tcPr>
            <w:tcW w:w="14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ind w:left="900"/>
              <w:spacing w:after="0"/>
              <w:rPr>
                <w:sz w:val="20"/>
                <w:szCs w:val="20"/>
                <w:color w:val="auto"/>
              </w:rPr>
            </w:pPr>
            <w:r>
              <w:rPr>
                <w:rFonts w:ascii="Arial" w:cs="Arial" w:eastAsia="Arial" w:hAnsi="Arial"/>
                <w:sz w:val="18"/>
                <w:szCs w:val="18"/>
                <w:color w:val="auto"/>
              </w:rPr>
              <w:t>—</w:t>
            </w:r>
          </w:p>
        </w:tc>
      </w:tr>
      <w:tr>
        <w:trPr>
          <w:trHeight w:val="250"/>
        </w:trPr>
        <w:tc>
          <w:tcPr>
            <w:tcW w:w="3920" w:type="dxa"/>
            <w:vAlign w:val="bottom"/>
          </w:tcPr>
          <w:p>
            <w:pPr>
              <w:spacing w:after="0"/>
              <w:rPr>
                <w:sz w:val="20"/>
                <w:szCs w:val="20"/>
                <w:color w:val="auto"/>
              </w:rPr>
            </w:pPr>
            <w:r>
              <w:rPr>
                <w:rFonts w:ascii="Arial" w:cs="Arial" w:eastAsia="Arial" w:hAnsi="Arial"/>
                <w:sz w:val="18"/>
                <w:szCs w:val="18"/>
                <w:color w:val="auto"/>
              </w:rPr>
              <w:t>Total assets at fair value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613</w:t>
            </w:r>
          </w:p>
        </w:tc>
        <w:tc>
          <w:tcPr>
            <w:tcW w:w="94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w w:val="99"/>
              </w:rPr>
              <w:t>613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612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0"/>
        </w:trPr>
        <w:tc>
          <w:tcPr>
            <w:tcW w:w="3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3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94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3257550</wp:posOffset>
            </wp:positionH>
            <wp:positionV relativeFrom="paragraph">
              <wp:posOffset>-510540</wp:posOffset>
            </wp:positionV>
            <wp:extent cx="8572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4140200</wp:posOffset>
            </wp:positionH>
            <wp:positionV relativeFrom="paragraph">
              <wp:posOffset>-510540</wp:posOffset>
            </wp:positionV>
            <wp:extent cx="8572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5040630</wp:posOffset>
            </wp:positionH>
            <wp:positionV relativeFrom="paragraph">
              <wp:posOffset>-510540</wp:posOffset>
            </wp:positionV>
            <wp:extent cx="7747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5777865</wp:posOffset>
            </wp:positionH>
            <wp:positionV relativeFrom="paragraph">
              <wp:posOffset>-510540</wp:posOffset>
            </wp:positionV>
            <wp:extent cx="7683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51435</wp:posOffset>
            </wp:positionH>
            <wp:positionV relativeFrom="paragraph">
              <wp:posOffset>111125</wp:posOffset>
            </wp:positionV>
            <wp:extent cx="66262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272" w:lineRule="exact"/>
        <w:rPr>
          <w:sz w:val="20"/>
          <w:szCs w:val="20"/>
          <w:color w:val="auto"/>
        </w:rPr>
      </w:pPr>
    </w:p>
    <w:p>
      <w:pPr>
        <w:ind w:left="328" w:hanging="328"/>
        <w:spacing w:after="0"/>
        <w:tabs>
          <w:tab w:leader="none" w:pos="328"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Included in restricted investments is $27 million classified in the other current assets caption on the Condensed Consolidated Balance Sheets.</w:t>
      </w:r>
    </w:p>
    <w:p>
      <w:pPr>
        <w:spacing w:after="0" w:line="55" w:lineRule="exact"/>
        <w:rPr>
          <w:rFonts w:ascii="Arial" w:cs="Arial" w:eastAsia="Arial" w:hAnsi="Arial"/>
          <w:sz w:val="14"/>
          <w:szCs w:val="14"/>
          <w:color w:val="auto"/>
        </w:rPr>
      </w:pPr>
    </w:p>
    <w:p>
      <w:pPr>
        <w:ind w:left="328" w:hanging="328"/>
        <w:spacing w:after="0"/>
        <w:tabs>
          <w:tab w:leader="none" w:pos="328"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Included in other noncurrent assets in the Condensed Consolidated Balance Sheets.</w:t>
      </w:r>
    </w:p>
    <w:p>
      <w:pPr>
        <w:spacing w:after="0" w:line="124" w:lineRule="exact"/>
        <w:rPr>
          <w:sz w:val="20"/>
          <w:szCs w:val="20"/>
          <w:color w:val="auto"/>
        </w:rPr>
      </w:pPr>
    </w:p>
    <w:p>
      <w:pPr>
        <w:ind w:left="8"/>
        <w:spacing w:after="0"/>
        <w:rPr>
          <w:sz w:val="20"/>
          <w:szCs w:val="20"/>
          <w:color w:val="auto"/>
        </w:rPr>
      </w:pPr>
      <w:r>
        <w:rPr>
          <w:rFonts w:ascii="Arial" w:cs="Arial" w:eastAsia="Arial" w:hAnsi="Arial"/>
          <w:sz w:val="18"/>
          <w:szCs w:val="18"/>
          <w:color w:val="auto"/>
        </w:rPr>
        <w:t>The following table summarizes financial asset instruments subject to recurring fair value measurements as of September 30, 2020.</w:t>
      </w:r>
    </w:p>
    <w:p>
      <w:pPr>
        <w:spacing w:after="0" w:line="168" w:lineRule="exact"/>
        <w:rPr>
          <w:sz w:val="20"/>
          <w:szCs w:val="20"/>
          <w:color w:val="auto"/>
        </w:rPr>
      </w:pPr>
    </w:p>
    <w:tbl>
      <w:tblPr>
        <w:tblLayout w:type="fixed"/>
        <w:tblInd w:w="88" w:type="dxa"/>
        <w:tblCellMar>
          <w:top w:w="0" w:type="dxa"/>
          <w:left w:w="0" w:type="dxa"/>
          <w:bottom w:w="0" w:type="dxa"/>
          <w:right w:w="0" w:type="dxa"/>
        </w:tblCellMar>
      </w:tblPr>
      <w:tr>
        <w:trPr>
          <w:trHeight w:val="242"/>
        </w:trPr>
        <w:tc>
          <w:tcPr>
            <w:tcW w:w="39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color w:val="auto"/>
                <w:w w:val="89"/>
              </w:rPr>
              <w:t>Quoted prices</w:t>
            </w:r>
          </w:p>
        </w:tc>
        <w:tc>
          <w:tcPr>
            <w:tcW w:w="1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r>
      <w:tr>
        <w:trPr>
          <w:trHeight w:val="229"/>
        </w:trPr>
        <w:tc>
          <w:tcPr>
            <w:tcW w:w="3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color w:val="auto"/>
                <w:w w:val="90"/>
              </w:rPr>
              <w:t>in active</w:t>
            </w:r>
          </w:p>
        </w:tc>
        <w:tc>
          <w:tcPr>
            <w:tcW w:w="140" w:type="dxa"/>
            <w:vAlign w:val="bottom"/>
          </w:tcPr>
          <w:p>
            <w:pPr>
              <w:spacing w:after="0"/>
              <w:rPr>
                <w:sz w:val="19"/>
                <w:szCs w:val="19"/>
                <w:color w:val="auto"/>
              </w:rPr>
            </w:pPr>
          </w:p>
        </w:tc>
        <w:tc>
          <w:tcPr>
            <w:tcW w:w="1040" w:type="dxa"/>
            <w:vAlign w:val="bottom"/>
            <w:gridSpan w:val="2"/>
          </w:tcPr>
          <w:p>
            <w:pPr>
              <w:jc w:val="center"/>
              <w:ind w:right="30"/>
              <w:spacing w:after="0"/>
              <w:rPr>
                <w:sz w:val="20"/>
                <w:szCs w:val="20"/>
                <w:color w:val="auto"/>
              </w:rPr>
            </w:pPr>
            <w:r>
              <w:rPr>
                <w:rFonts w:ascii="Arial" w:cs="Arial" w:eastAsia="Arial" w:hAnsi="Arial"/>
                <w:sz w:val="18"/>
                <w:szCs w:val="18"/>
                <w:color w:val="auto"/>
                <w:w w:val="96"/>
              </w:rPr>
              <w:t>Significant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3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color w:val="auto"/>
                <w:w w:val="93"/>
              </w:rPr>
              <w:t>markets for</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center"/>
              <w:ind w:right="170"/>
              <w:spacing w:after="0"/>
              <w:rPr>
                <w:sz w:val="20"/>
                <w:szCs w:val="20"/>
                <w:color w:val="auto"/>
              </w:rPr>
            </w:pPr>
            <w:r>
              <w:rPr>
                <w:rFonts w:ascii="Arial" w:cs="Arial" w:eastAsia="Arial" w:hAnsi="Arial"/>
                <w:sz w:val="18"/>
                <w:szCs w:val="18"/>
                <w:color w:val="auto"/>
                <w:w w:val="87"/>
              </w:rPr>
              <w:t>other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center"/>
              <w:ind w:right="110"/>
              <w:spacing w:after="0"/>
              <w:rPr>
                <w:sz w:val="20"/>
                <w:szCs w:val="20"/>
                <w:color w:val="auto"/>
              </w:rPr>
            </w:pPr>
            <w:r>
              <w:rPr>
                <w:rFonts w:ascii="Arial" w:cs="Arial" w:eastAsia="Arial" w:hAnsi="Arial"/>
                <w:sz w:val="18"/>
                <w:szCs w:val="18"/>
                <w:color w:val="auto"/>
                <w:w w:val="93"/>
              </w:rPr>
              <w:t>Significant</w:t>
            </w:r>
          </w:p>
        </w:tc>
      </w:tr>
      <w:tr>
        <w:trPr>
          <w:trHeight w:val="230"/>
        </w:trPr>
        <w:tc>
          <w:tcPr>
            <w:tcW w:w="3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center"/>
              <w:ind w:right="270"/>
              <w:spacing w:after="0"/>
              <w:rPr>
                <w:sz w:val="20"/>
                <w:szCs w:val="20"/>
                <w:color w:val="auto"/>
              </w:rPr>
            </w:pPr>
            <w:r>
              <w:rPr>
                <w:rFonts w:ascii="Arial" w:cs="Arial" w:eastAsia="Arial" w:hAnsi="Arial"/>
                <w:sz w:val="18"/>
                <w:szCs w:val="18"/>
                <w:color w:val="auto"/>
                <w:w w:val="94"/>
              </w:rPr>
              <w:t>Total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color w:val="auto"/>
                <w:w w:val="93"/>
              </w:rPr>
              <w:t>identical</w:t>
            </w:r>
          </w:p>
        </w:tc>
        <w:tc>
          <w:tcPr>
            <w:tcW w:w="140" w:type="dxa"/>
            <w:vAlign w:val="bottom"/>
          </w:tcPr>
          <w:p>
            <w:pPr>
              <w:spacing w:after="0"/>
              <w:rPr>
                <w:sz w:val="19"/>
                <w:szCs w:val="19"/>
                <w:color w:val="auto"/>
              </w:rPr>
            </w:pPr>
          </w:p>
        </w:tc>
        <w:tc>
          <w:tcPr>
            <w:tcW w:w="1040" w:type="dxa"/>
            <w:vAlign w:val="bottom"/>
            <w:gridSpan w:val="2"/>
          </w:tcPr>
          <w:p>
            <w:pPr>
              <w:jc w:val="center"/>
              <w:ind w:right="50"/>
              <w:spacing w:after="0"/>
              <w:rPr>
                <w:sz w:val="20"/>
                <w:szCs w:val="20"/>
                <w:color w:val="auto"/>
              </w:rPr>
            </w:pPr>
            <w:r>
              <w:rPr>
                <w:rFonts w:ascii="Arial" w:cs="Arial" w:eastAsia="Arial" w:hAnsi="Arial"/>
                <w:sz w:val="18"/>
                <w:szCs w:val="18"/>
                <w:color w:val="auto"/>
                <w:w w:val="88"/>
              </w:rPr>
              <w:t>observable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88"/>
              </w:rPr>
              <w:t>unobservable</w:t>
            </w:r>
          </w:p>
        </w:tc>
      </w:tr>
      <w:tr>
        <w:trPr>
          <w:trHeight w:val="230"/>
        </w:trPr>
        <w:tc>
          <w:tcPr>
            <w:tcW w:w="3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w w:val="96"/>
              </w:rPr>
              <w:t>Carrying</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center"/>
              <w:ind w:right="270"/>
              <w:spacing w:after="0"/>
              <w:rPr>
                <w:sz w:val="20"/>
                <w:szCs w:val="20"/>
                <w:color w:val="auto"/>
              </w:rPr>
            </w:pPr>
            <w:r>
              <w:rPr>
                <w:rFonts w:ascii="Arial" w:cs="Arial" w:eastAsia="Arial" w:hAnsi="Arial"/>
                <w:sz w:val="18"/>
                <w:szCs w:val="18"/>
                <w:color w:val="auto"/>
              </w:rPr>
              <w:t>fair</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color w:val="auto"/>
                <w:w w:val="80"/>
              </w:rPr>
              <w:t>assets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center"/>
              <w:ind w:right="170"/>
              <w:spacing w:after="0"/>
              <w:rPr>
                <w:sz w:val="20"/>
                <w:szCs w:val="20"/>
                <w:color w:val="auto"/>
              </w:rPr>
            </w:pPr>
            <w:r>
              <w:rPr>
                <w:rFonts w:ascii="Arial" w:cs="Arial" w:eastAsia="Arial" w:hAnsi="Arial"/>
                <w:sz w:val="18"/>
                <w:szCs w:val="18"/>
                <w:color w:val="auto"/>
                <w:w w:val="91"/>
              </w:rPr>
              <w:t>inputs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91"/>
              </w:rPr>
              <w:t>inputs</w:t>
            </w:r>
          </w:p>
        </w:tc>
      </w:tr>
      <w:tr>
        <w:trPr>
          <w:trHeight w:val="277"/>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value</w:t>
            </w: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88"/>
              </w:rPr>
              <w:t>value</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6"/>
              </w:rPr>
              <w:t>Level 1</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2"/>
              </w:rPr>
              <w:t>Level 2</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2"/>
              </w:rPr>
              <w:t>Level 3</w:t>
            </w:r>
          </w:p>
        </w:tc>
      </w:tr>
      <w:tr>
        <w:trPr>
          <w:trHeight w:val="257"/>
        </w:trPr>
        <w:tc>
          <w:tcPr>
            <w:tcW w:w="3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r>
      <w:tr>
        <w:trPr>
          <w:trHeight w:val="250"/>
        </w:trPr>
        <w:tc>
          <w:tcPr>
            <w:tcW w:w="39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454</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454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454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63"/>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Restricted investments </w:t>
            </w:r>
            <w:r>
              <w:rPr>
                <w:rFonts w:ascii="Arial" w:cs="Arial" w:eastAsia="Arial" w:hAnsi="Arial"/>
                <w:sz w:val="14"/>
                <w:szCs w:val="14"/>
                <w:color w:val="auto"/>
              </w:rPr>
              <w:t>(a)</w:t>
            </w:r>
          </w:p>
        </w:tc>
        <w:tc>
          <w:tcPr>
            <w:tcW w:w="14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331</w:t>
            </w:r>
          </w:p>
        </w:tc>
        <w:tc>
          <w:tcPr>
            <w:tcW w:w="1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331</w:t>
            </w:r>
          </w:p>
        </w:tc>
        <w:tc>
          <w:tcPr>
            <w:tcW w:w="1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80" w:type="dxa"/>
            <w:vAlign w:val="bottom"/>
            <w:shd w:val="clear" w:color="auto" w:fill="CFF0FC"/>
          </w:tcPr>
          <w:p>
            <w:pPr>
              <w:ind w:left="900"/>
              <w:spacing w:after="0"/>
              <w:rPr>
                <w:sz w:val="20"/>
                <w:szCs w:val="20"/>
                <w:color w:val="auto"/>
              </w:rPr>
            </w:pPr>
            <w:r>
              <w:rPr>
                <w:rFonts w:ascii="Arial" w:cs="Arial" w:eastAsia="Arial" w:hAnsi="Arial"/>
                <w:sz w:val="18"/>
                <w:szCs w:val="18"/>
                <w:color w:val="auto"/>
              </w:rPr>
              <w:t>—</w:t>
            </w:r>
          </w:p>
        </w:tc>
      </w:tr>
      <w:tr>
        <w:trPr>
          <w:trHeight w:val="250"/>
        </w:trPr>
        <w:tc>
          <w:tcPr>
            <w:tcW w:w="3920" w:type="dxa"/>
            <w:vAlign w:val="bottom"/>
          </w:tcPr>
          <w:p>
            <w:pPr>
              <w:spacing w:after="0"/>
              <w:rPr>
                <w:sz w:val="20"/>
                <w:szCs w:val="20"/>
                <w:color w:val="auto"/>
              </w:rPr>
            </w:pPr>
            <w:r>
              <w:rPr>
                <w:rFonts w:ascii="Arial" w:cs="Arial" w:eastAsia="Arial" w:hAnsi="Arial"/>
                <w:sz w:val="18"/>
                <w:szCs w:val="18"/>
                <w:color w:val="auto"/>
              </w:rPr>
              <w:t xml:space="preserve">Investment of captive insurance company </w:t>
            </w:r>
            <w:r>
              <w:rPr>
                <w:rFonts w:ascii="Arial" w:cs="Arial" w:eastAsia="Arial" w:hAnsi="Arial"/>
                <w:sz w:val="14"/>
                <w:szCs w:val="14"/>
                <w:color w:val="auto"/>
              </w:rPr>
              <w:t>(b)</w:t>
            </w:r>
          </w:p>
        </w:tc>
        <w:tc>
          <w:tcPr>
            <w:tcW w:w="1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63"/>
        </w:trPr>
        <w:tc>
          <w:tcPr>
            <w:tcW w:w="3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Foreign currency derivatives</w:t>
            </w:r>
          </w:p>
        </w:tc>
        <w:tc>
          <w:tcPr>
            <w:tcW w:w="14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ind w:left="900"/>
              <w:spacing w:after="0"/>
              <w:rPr>
                <w:sz w:val="20"/>
                <w:szCs w:val="20"/>
                <w:color w:val="auto"/>
              </w:rPr>
            </w:pPr>
            <w:r>
              <w:rPr>
                <w:rFonts w:ascii="Arial" w:cs="Arial" w:eastAsia="Arial" w:hAnsi="Arial"/>
                <w:sz w:val="18"/>
                <w:szCs w:val="18"/>
                <w:color w:val="auto"/>
              </w:rPr>
              <w:t>—</w:t>
            </w:r>
          </w:p>
        </w:tc>
      </w:tr>
      <w:tr>
        <w:trPr>
          <w:trHeight w:val="250"/>
        </w:trPr>
        <w:tc>
          <w:tcPr>
            <w:tcW w:w="3920" w:type="dxa"/>
            <w:vAlign w:val="bottom"/>
          </w:tcPr>
          <w:p>
            <w:pPr>
              <w:spacing w:after="0"/>
              <w:rPr>
                <w:sz w:val="20"/>
                <w:szCs w:val="20"/>
                <w:color w:val="auto"/>
              </w:rPr>
            </w:pPr>
            <w:r>
              <w:rPr>
                <w:rFonts w:ascii="Arial" w:cs="Arial" w:eastAsia="Arial" w:hAnsi="Arial"/>
                <w:sz w:val="18"/>
                <w:szCs w:val="18"/>
                <w:color w:val="auto"/>
              </w:rPr>
              <w:t>Total assets at fair value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795</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795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794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0"/>
        </w:trPr>
        <w:tc>
          <w:tcPr>
            <w:tcW w:w="3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3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3248660</wp:posOffset>
            </wp:positionH>
            <wp:positionV relativeFrom="paragraph">
              <wp:posOffset>-510540</wp:posOffset>
            </wp:positionV>
            <wp:extent cx="8572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4131945</wp:posOffset>
            </wp:positionH>
            <wp:positionV relativeFrom="paragraph">
              <wp:posOffset>-510540</wp:posOffset>
            </wp:positionV>
            <wp:extent cx="7747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5040630</wp:posOffset>
            </wp:positionH>
            <wp:positionV relativeFrom="paragraph">
              <wp:posOffset>-510540</wp:posOffset>
            </wp:positionV>
            <wp:extent cx="7747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5777865</wp:posOffset>
            </wp:positionH>
            <wp:positionV relativeFrom="paragraph">
              <wp:posOffset>-510540</wp:posOffset>
            </wp:positionV>
            <wp:extent cx="76835"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51435</wp:posOffset>
            </wp:positionH>
            <wp:positionV relativeFrom="paragraph">
              <wp:posOffset>111760</wp:posOffset>
            </wp:positionV>
            <wp:extent cx="66262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272" w:lineRule="exact"/>
        <w:rPr>
          <w:sz w:val="20"/>
          <w:szCs w:val="20"/>
          <w:color w:val="auto"/>
        </w:rPr>
      </w:pPr>
    </w:p>
    <w:p>
      <w:pPr>
        <w:ind w:left="328" w:hanging="328"/>
        <w:spacing w:after="0"/>
        <w:tabs>
          <w:tab w:leader="none" w:pos="328"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restricted investments is $30 million classified in the other current assets caption on the Condensed Consolidated Balance Sheets.</w:t>
      </w:r>
    </w:p>
    <w:p>
      <w:pPr>
        <w:spacing w:after="0" w:line="41" w:lineRule="exact"/>
        <w:rPr>
          <w:rFonts w:ascii="Arial" w:cs="Arial" w:eastAsia="Arial" w:hAnsi="Arial"/>
          <w:sz w:val="14"/>
          <w:szCs w:val="14"/>
          <w:color w:val="auto"/>
        </w:rPr>
      </w:pPr>
    </w:p>
    <w:p>
      <w:pPr>
        <w:ind w:left="328" w:hanging="328"/>
        <w:spacing w:after="0"/>
        <w:tabs>
          <w:tab w:leader="none" w:pos="328"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other noncurrent assets in the Condensed Consolidated Balance Sheets.</w:t>
      </w:r>
    </w:p>
    <w:p>
      <w:pPr>
        <w:spacing w:after="0" w:line="127"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8"/>
          </w:cols>
          <w:pgMar w:left="652" w:top="136" w:right="659" w:bottom="1440" w:gutter="0" w:footer="0" w:header="0"/>
        </w:sectPr>
      </w:pPr>
    </w:p>
    <w:bookmarkStart w:id="11" w:name="page12"/>
    <w:bookmarkEnd w:id="11"/>
    <w:p>
      <w:pPr>
        <w:ind w:left="8"/>
        <w:spacing w:after="0"/>
        <w:rPr>
          <w:sz w:val="20"/>
          <w:szCs w:val="20"/>
          <w:color w:val="auto"/>
        </w:rPr>
      </w:pPr>
      <w:r>
        <w:rPr>
          <w:rFonts w:ascii="Arial" w:cs="Arial" w:eastAsia="Arial" w:hAnsi="Arial"/>
          <w:sz w:val="20"/>
          <w:szCs w:val="20"/>
          <w:b w:val="1"/>
          <w:bCs w:val="1"/>
          <w:color w:val="auto"/>
        </w:rPr>
        <w:t>Restricted investments</w:t>
      </w:r>
    </w:p>
    <w:p>
      <w:pPr>
        <w:spacing w:after="0" w:line="141" w:lineRule="exact"/>
        <w:rPr>
          <w:sz w:val="20"/>
          <w:szCs w:val="20"/>
          <w:color w:val="auto"/>
        </w:rPr>
      </w:pPr>
    </w:p>
    <w:p>
      <w:pPr>
        <w:jc w:val="both"/>
        <w:ind w:left="8"/>
        <w:spacing w:after="0" w:line="278" w:lineRule="auto"/>
        <w:rPr>
          <w:sz w:val="20"/>
          <w:szCs w:val="20"/>
          <w:color w:val="auto"/>
        </w:rPr>
      </w:pPr>
      <w:r>
        <w:rPr>
          <w:rFonts w:ascii="Arial" w:cs="Arial" w:eastAsia="Arial" w:hAnsi="Arial"/>
          <w:sz w:val="20"/>
          <w:szCs w:val="20"/>
          <w:color w:val="auto"/>
        </w:rPr>
        <w:t>Investment income and realized gains and losses on these company-restricted investments are reported within the net interest and other expense caption on the Statements of Consolidated Comprehensive Income (Loss). The following table provides a summary of the activity within the investment portfolio as of June 30, 2021 and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69215</wp:posOffset>
            </wp:positionV>
            <wp:extent cx="66262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15" w:lineRule="exact"/>
        <w:rPr>
          <w:sz w:val="20"/>
          <w:szCs w:val="20"/>
          <w:color w:val="auto"/>
        </w:rPr>
      </w:pPr>
    </w:p>
    <w:tbl>
      <w:tblPr>
        <w:tblLayout w:type="fixed"/>
        <w:tblInd w:w="88" w:type="dxa"/>
        <w:tblCellMar>
          <w:top w:w="0" w:type="dxa"/>
          <w:left w:w="0" w:type="dxa"/>
          <w:bottom w:w="0" w:type="dxa"/>
          <w:right w:w="0" w:type="dxa"/>
        </w:tblCellMar>
      </w:tblPr>
      <w:tr>
        <w:trPr>
          <w:trHeight w:val="229"/>
        </w:trPr>
        <w:tc>
          <w:tcPr>
            <w:tcW w:w="6420" w:type="dxa"/>
            <w:vAlign w:val="bottom"/>
          </w:tcPr>
          <w:p>
            <w:pPr>
              <w:spacing w:after="0"/>
              <w:rPr>
                <w:sz w:val="19"/>
                <w:szCs w:val="19"/>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June 30</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ind w:right="450"/>
              <w:spacing w:after="0"/>
              <w:rPr>
                <w:sz w:val="20"/>
                <w:szCs w:val="20"/>
                <w:color w:val="auto"/>
              </w:rPr>
            </w:pPr>
            <w:r>
              <w:rPr>
                <w:rFonts w:ascii="Arial" w:cs="Arial" w:eastAsia="Arial" w:hAnsi="Arial"/>
                <w:sz w:val="18"/>
                <w:szCs w:val="18"/>
                <w:color w:val="auto"/>
              </w:rPr>
              <w:t>September 30</w:t>
            </w:r>
          </w:p>
        </w:tc>
      </w:tr>
      <w:tr>
        <w:trPr>
          <w:trHeight w:val="230"/>
        </w:trPr>
        <w:tc>
          <w:tcPr>
            <w:tcW w:w="6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2021</w:t>
            </w:r>
          </w:p>
        </w:tc>
        <w:tc>
          <w:tcPr>
            <w:tcW w:w="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2020</w:t>
            </w:r>
          </w:p>
        </w:tc>
      </w:tr>
      <w:tr>
        <w:trPr>
          <w:trHeight w:val="250"/>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Original cost</w:t>
            </w:r>
          </w:p>
        </w:tc>
        <w:tc>
          <w:tcPr>
            <w:tcW w:w="1280" w:type="dxa"/>
            <w:vAlign w:val="bottom"/>
            <w:shd w:val="clear" w:color="auto" w:fill="CFF0FC"/>
          </w:tcPr>
          <w:p>
            <w:pPr>
              <w:jc w:val="right"/>
              <w:ind w:right="109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335</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335</w:t>
            </w:r>
          </w:p>
        </w:tc>
      </w:tr>
      <w:tr>
        <w:trPr>
          <w:trHeight w:val="257"/>
        </w:trPr>
        <w:tc>
          <w:tcPr>
            <w:tcW w:w="6420" w:type="dxa"/>
            <w:vAlign w:val="bottom"/>
          </w:tcPr>
          <w:p>
            <w:pPr>
              <w:spacing w:after="0"/>
              <w:rPr>
                <w:sz w:val="20"/>
                <w:szCs w:val="20"/>
                <w:color w:val="auto"/>
              </w:rPr>
            </w:pPr>
            <w:r>
              <w:rPr>
                <w:rFonts w:ascii="Arial" w:cs="Arial" w:eastAsia="Arial" w:hAnsi="Arial"/>
                <w:sz w:val="18"/>
                <w:szCs w:val="18"/>
                <w:color w:val="auto"/>
              </w:rPr>
              <w:t xml:space="preserve">Accumulated adjustments, net </w:t>
            </w:r>
            <w:r>
              <w:rPr>
                <w:rFonts w:ascii="Arial" w:cs="Arial" w:eastAsia="Arial" w:hAnsi="Arial"/>
                <w:sz w:val="14"/>
                <w:szCs w:val="14"/>
                <w:color w:val="auto"/>
              </w:rPr>
              <w:t>(a)</w:t>
            </w:r>
          </w:p>
        </w:tc>
        <w:tc>
          <w:tcPr>
            <w:tcW w:w="12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(50 )</w:t>
            </w:r>
          </w:p>
        </w:tc>
        <w:tc>
          <w:tcPr>
            <w:tcW w:w="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(30 )</w:t>
            </w:r>
          </w:p>
        </w:tc>
      </w:tr>
      <w:tr>
        <w:trPr>
          <w:trHeight w:val="250"/>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Adjusted cost, beginning of year</w:t>
            </w:r>
          </w:p>
        </w:tc>
        <w:tc>
          <w:tcPr>
            <w:tcW w:w="128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285</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305</w:t>
            </w:r>
          </w:p>
        </w:tc>
      </w:tr>
      <w:tr>
        <w:trPr>
          <w:trHeight w:val="250"/>
        </w:trPr>
        <w:tc>
          <w:tcPr>
            <w:tcW w:w="6420" w:type="dxa"/>
            <w:vAlign w:val="bottom"/>
          </w:tcPr>
          <w:p>
            <w:pPr>
              <w:spacing w:after="0"/>
              <w:rPr>
                <w:sz w:val="20"/>
                <w:szCs w:val="20"/>
                <w:color w:val="auto"/>
              </w:rPr>
            </w:pPr>
            <w:r>
              <w:rPr>
                <w:rFonts w:ascii="Arial" w:cs="Arial" w:eastAsia="Arial" w:hAnsi="Arial"/>
                <w:sz w:val="18"/>
                <w:szCs w:val="18"/>
                <w:color w:val="auto"/>
              </w:rPr>
              <w:t xml:space="preserve">Investment income </w:t>
            </w:r>
            <w:r>
              <w:rPr>
                <w:rFonts w:ascii="Arial" w:cs="Arial" w:eastAsia="Arial" w:hAnsi="Arial"/>
                <w:sz w:val="14"/>
                <w:szCs w:val="14"/>
                <w:color w:val="auto"/>
              </w:rPr>
              <w:t>(b)</w:t>
            </w:r>
          </w:p>
        </w:tc>
        <w:tc>
          <w:tcPr>
            <w:tcW w:w="12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63"/>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Net unrealized gain </w:t>
            </w:r>
            <w:r>
              <w:rPr>
                <w:rFonts w:ascii="Arial" w:cs="Arial" w:eastAsia="Arial" w:hAnsi="Arial"/>
                <w:sz w:val="14"/>
                <w:szCs w:val="14"/>
                <w:color w:val="auto"/>
              </w:rPr>
              <w:t>(c)</w:t>
            </w:r>
          </w:p>
        </w:tc>
        <w:tc>
          <w:tcPr>
            <w:tcW w:w="1280" w:type="dxa"/>
            <w:vAlign w:val="bottom"/>
            <w:shd w:val="clear" w:color="auto" w:fill="CFF0FC"/>
          </w:tcPr>
          <w:p>
            <w:pPr>
              <w:spacing w:after="0"/>
              <w:rPr>
                <w:sz w:val="22"/>
                <w:szCs w:val="22"/>
                <w:color w:val="auto"/>
              </w:rPr>
            </w:pPr>
          </w:p>
        </w:tc>
        <w:tc>
          <w:tcPr>
            <w:tcW w:w="5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46</w:t>
            </w:r>
          </w:p>
        </w:tc>
      </w:tr>
      <w:tr>
        <w:trPr>
          <w:trHeight w:val="250"/>
        </w:trPr>
        <w:tc>
          <w:tcPr>
            <w:tcW w:w="6420" w:type="dxa"/>
            <w:vAlign w:val="bottom"/>
          </w:tcPr>
          <w:p>
            <w:pPr>
              <w:spacing w:after="0"/>
              <w:rPr>
                <w:sz w:val="20"/>
                <w:szCs w:val="20"/>
                <w:color w:val="auto"/>
              </w:rPr>
            </w:pPr>
            <w:r>
              <w:rPr>
                <w:rFonts w:ascii="Arial" w:cs="Arial" w:eastAsia="Arial" w:hAnsi="Arial"/>
                <w:sz w:val="18"/>
                <w:szCs w:val="18"/>
                <w:color w:val="auto"/>
              </w:rPr>
              <w:t xml:space="preserve">Realized gains </w:t>
            </w:r>
            <w:r>
              <w:rPr>
                <w:rFonts w:ascii="Arial" w:cs="Arial" w:eastAsia="Arial" w:hAnsi="Arial"/>
                <w:sz w:val="14"/>
                <w:szCs w:val="14"/>
                <w:color w:val="auto"/>
              </w:rPr>
              <w:t>(c)</w:t>
            </w:r>
          </w:p>
        </w:tc>
        <w:tc>
          <w:tcPr>
            <w:tcW w:w="12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63"/>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Settlement funds</w:t>
            </w:r>
          </w:p>
        </w:tc>
        <w:tc>
          <w:tcPr>
            <w:tcW w:w="1280" w:type="dxa"/>
            <w:vAlign w:val="bottom"/>
            <w:shd w:val="clear" w:color="auto" w:fill="CFF0FC"/>
          </w:tcPr>
          <w:p>
            <w:pPr>
              <w:spacing w:after="0"/>
              <w:rPr>
                <w:sz w:val="22"/>
                <w:szCs w:val="22"/>
                <w:color w:val="auto"/>
              </w:rPr>
            </w:pPr>
          </w:p>
        </w:tc>
        <w:tc>
          <w:tcPr>
            <w:tcW w:w="5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r>
      <w:tr>
        <w:trPr>
          <w:trHeight w:val="257"/>
        </w:trPr>
        <w:tc>
          <w:tcPr>
            <w:tcW w:w="6420" w:type="dxa"/>
            <w:vAlign w:val="bottom"/>
          </w:tcPr>
          <w:p>
            <w:pPr>
              <w:spacing w:after="0"/>
              <w:rPr>
                <w:sz w:val="20"/>
                <w:szCs w:val="20"/>
                <w:color w:val="auto"/>
              </w:rPr>
            </w:pPr>
            <w:r>
              <w:rPr>
                <w:rFonts w:ascii="Arial" w:cs="Arial" w:eastAsia="Arial" w:hAnsi="Arial"/>
                <w:sz w:val="18"/>
                <w:szCs w:val="18"/>
                <w:color w:val="auto"/>
              </w:rPr>
              <w:t>Disbursements</w:t>
            </w:r>
          </w:p>
        </w:tc>
        <w:tc>
          <w:tcPr>
            <w:tcW w:w="12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(25 )</w:t>
            </w:r>
          </w:p>
        </w:tc>
        <w:tc>
          <w:tcPr>
            <w:tcW w:w="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(35 )</w:t>
            </w:r>
          </w:p>
        </w:tc>
      </w:tr>
      <w:tr>
        <w:trPr>
          <w:trHeight w:val="290"/>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Fair value</w:t>
            </w:r>
          </w:p>
        </w:tc>
        <w:tc>
          <w:tcPr>
            <w:tcW w:w="1280" w:type="dxa"/>
            <w:vAlign w:val="bottom"/>
            <w:shd w:val="clear" w:color="auto" w:fill="CFF0FC"/>
          </w:tcPr>
          <w:p>
            <w:pPr>
              <w:jc w:val="right"/>
              <w:ind w:right="109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342</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331</w:t>
            </w:r>
          </w:p>
        </w:tc>
      </w:tr>
      <w:tr>
        <w:trPr>
          <w:trHeight w:val="143"/>
        </w:trPr>
        <w:tc>
          <w:tcPr>
            <w:tcW w:w="6420" w:type="dxa"/>
            <w:vAlign w:val="bottom"/>
            <w:tcBorders>
              <w:top w:val="single" w:sz="8" w:color="CFF0FC"/>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CFF0FC"/>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720" w:type="dxa"/>
            <w:vAlign w:val="bottom"/>
            <w:tcBorders>
              <w:top w:val="single" w:sz="8" w:color="auto"/>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5280660</wp:posOffset>
            </wp:positionH>
            <wp:positionV relativeFrom="paragraph">
              <wp:posOffset>-136525</wp:posOffset>
            </wp:positionV>
            <wp:extent cx="12890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5280660</wp:posOffset>
            </wp:positionH>
            <wp:positionV relativeFrom="paragraph">
              <wp:posOffset>-119380</wp:posOffset>
            </wp:positionV>
            <wp:extent cx="1289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83" w:lineRule="exact"/>
        <w:rPr>
          <w:sz w:val="20"/>
          <w:szCs w:val="20"/>
          <w:color w:val="auto"/>
        </w:rPr>
      </w:pPr>
    </w:p>
    <w:p>
      <w:pPr>
        <w:ind w:left="328" w:hanging="328"/>
        <w:spacing w:after="0"/>
        <w:tabs>
          <w:tab w:leader="none" w:pos="328"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accumulated adjustments include investment income, realized gains, disbursements and settlements recorded in previous periods.</w:t>
      </w:r>
    </w:p>
    <w:p>
      <w:pPr>
        <w:spacing w:after="0" w:line="55" w:lineRule="exact"/>
        <w:rPr>
          <w:rFonts w:ascii="Arial" w:cs="Arial" w:eastAsia="Arial" w:hAnsi="Arial"/>
          <w:sz w:val="14"/>
          <w:szCs w:val="14"/>
          <w:color w:val="auto"/>
        </w:rPr>
      </w:pPr>
    </w:p>
    <w:p>
      <w:pPr>
        <w:ind w:left="328" w:hanging="328"/>
        <w:spacing w:after="0"/>
        <w:tabs>
          <w:tab w:leader="none" w:pos="328" w:val="left"/>
        </w:tabs>
        <w:numPr>
          <w:ilvl w:val="0"/>
          <w:numId w:val="6"/>
        </w:numPr>
        <w:rPr>
          <w:rFonts w:ascii="Arial" w:cs="Arial" w:eastAsia="Arial" w:hAnsi="Arial"/>
          <w:sz w:val="14"/>
          <w:szCs w:val="14"/>
          <w:color w:val="auto"/>
        </w:rPr>
      </w:pPr>
      <w:r>
        <w:rPr>
          <w:rFonts w:ascii="Arial" w:cs="Arial" w:eastAsia="Arial" w:hAnsi="Arial"/>
          <w:sz w:val="14"/>
          <w:szCs w:val="14"/>
          <w:color w:val="auto"/>
        </w:rPr>
        <w:t>Investment income for the demand deposit includes interest income as well as dividend income transferred from the equity and fixed income mutual funds.</w:t>
      </w:r>
    </w:p>
    <w:p>
      <w:pPr>
        <w:spacing w:after="0" w:line="41" w:lineRule="exact"/>
        <w:rPr>
          <w:rFonts w:ascii="Arial" w:cs="Arial" w:eastAsia="Arial" w:hAnsi="Arial"/>
          <w:sz w:val="14"/>
          <w:szCs w:val="14"/>
          <w:color w:val="auto"/>
        </w:rPr>
      </w:pPr>
    </w:p>
    <w:p>
      <w:pPr>
        <w:ind w:left="328" w:hanging="328"/>
        <w:spacing w:after="0"/>
        <w:tabs>
          <w:tab w:leader="none" w:pos="328" w:val="left"/>
        </w:tabs>
        <w:numPr>
          <w:ilvl w:val="0"/>
          <w:numId w:val="6"/>
        </w:numPr>
        <w:rPr>
          <w:rFonts w:ascii="Arial" w:cs="Arial" w:eastAsia="Arial" w:hAnsi="Arial"/>
          <w:sz w:val="14"/>
          <w:szCs w:val="14"/>
          <w:color w:val="auto"/>
        </w:rPr>
      </w:pPr>
      <w:r>
        <w:rPr>
          <w:rFonts w:ascii="Arial" w:cs="Arial" w:eastAsia="Arial" w:hAnsi="Arial"/>
          <w:sz w:val="14"/>
          <w:szCs w:val="14"/>
          <w:color w:val="auto"/>
        </w:rPr>
        <w:t>Presented under the original cost method.</w:t>
      </w:r>
    </w:p>
    <w:p>
      <w:pPr>
        <w:spacing w:after="0" w:line="124" w:lineRule="exact"/>
        <w:rPr>
          <w:sz w:val="20"/>
          <w:szCs w:val="20"/>
          <w:color w:val="auto"/>
        </w:rPr>
      </w:pPr>
    </w:p>
    <w:p>
      <w:pPr>
        <w:ind w:left="8"/>
        <w:spacing w:after="0"/>
        <w:rPr>
          <w:sz w:val="20"/>
          <w:szCs w:val="20"/>
          <w:color w:val="auto"/>
        </w:rPr>
      </w:pPr>
      <w:r>
        <w:rPr>
          <w:rFonts w:ascii="Arial" w:cs="Arial" w:eastAsia="Arial" w:hAnsi="Arial"/>
          <w:sz w:val="18"/>
          <w:szCs w:val="18"/>
          <w:color w:val="auto"/>
        </w:rPr>
        <w:t>The following table presents gross unrealized gains and losses for the restricted investment securities as of June 30, 2021 and</w:t>
      </w:r>
    </w:p>
    <w:p>
      <w:pPr>
        <w:spacing w:after="0" w:line="50" w:lineRule="exact"/>
        <w:rPr>
          <w:sz w:val="20"/>
          <w:szCs w:val="20"/>
          <w:color w:val="auto"/>
        </w:rPr>
      </w:pPr>
    </w:p>
    <w:p>
      <w:pPr>
        <w:ind w:left="8"/>
        <w:spacing w:after="0"/>
        <w:rPr>
          <w:sz w:val="20"/>
          <w:szCs w:val="20"/>
          <w:color w:val="auto"/>
        </w:rPr>
      </w:pPr>
      <w:r>
        <w:rPr>
          <w:rFonts w:ascii="Arial" w:cs="Arial" w:eastAsia="Arial" w:hAnsi="Arial"/>
          <w:sz w:val="20"/>
          <w:szCs w:val="20"/>
          <w:color w:val="auto"/>
        </w:rPr>
        <w:t>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104775</wp:posOffset>
            </wp:positionV>
            <wp:extent cx="66262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189" w:lineRule="exact"/>
        <w:rPr>
          <w:sz w:val="20"/>
          <w:szCs w:val="20"/>
          <w:color w:val="auto"/>
        </w:rPr>
      </w:pPr>
    </w:p>
    <w:tbl>
      <w:tblPr>
        <w:tblLayout w:type="fixed"/>
        <w:tblInd w:w="88" w:type="dxa"/>
        <w:tblCellMar>
          <w:top w:w="0" w:type="dxa"/>
          <w:left w:w="0" w:type="dxa"/>
          <w:bottom w:w="0" w:type="dxa"/>
          <w:right w:w="0" w:type="dxa"/>
        </w:tblCellMar>
      </w:tblPr>
      <w:tr>
        <w:trPr>
          <w:trHeight w:val="206"/>
        </w:trPr>
        <w:tc>
          <w:tcPr>
            <w:tcW w:w="4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ind w:right="512"/>
              <w:spacing w:after="0"/>
              <w:rPr>
                <w:sz w:val="20"/>
                <w:szCs w:val="20"/>
                <w:color w:val="auto"/>
              </w:rPr>
            </w:pPr>
            <w:r>
              <w:rPr>
                <w:rFonts w:ascii="Arial" w:cs="Arial" w:eastAsia="Arial" w:hAnsi="Arial"/>
                <w:sz w:val="16"/>
                <w:szCs w:val="16"/>
                <w:color w:val="auto"/>
              </w:rPr>
              <w:t>Gross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ind w:right="532"/>
              <w:spacing w:after="0"/>
              <w:rPr>
                <w:sz w:val="20"/>
                <w:szCs w:val="20"/>
                <w:color w:val="auto"/>
              </w:rPr>
            </w:pPr>
            <w:r>
              <w:rPr>
                <w:rFonts w:ascii="Arial" w:cs="Arial" w:eastAsia="Arial" w:hAnsi="Arial"/>
                <w:sz w:val="16"/>
                <w:szCs w:val="16"/>
                <w:color w:val="auto"/>
              </w:rPr>
              <w:t>Gross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43"/>
        </w:trPr>
        <w:tc>
          <w:tcPr>
            <w:tcW w:w="4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 millions)</w:t>
            </w: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color w:val="auto"/>
                <w:w w:val="92"/>
              </w:rPr>
              <w:t>Adjusted Cost</w:t>
            </w: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color w:val="auto"/>
                <w:w w:val="92"/>
              </w:rPr>
              <w:t>Unrealized Gain</w:t>
            </w: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color w:val="auto"/>
                <w:w w:val="92"/>
              </w:rPr>
              <w:t>Unrealized Loss</w:t>
            </w:r>
          </w:p>
        </w:tc>
        <w:tc>
          <w:tcPr>
            <w:tcW w:w="1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color w:val="auto"/>
                <w:w w:val="95"/>
              </w:rPr>
              <w:t>Fair Value</w:t>
            </w:r>
          </w:p>
        </w:tc>
      </w:tr>
      <w:tr>
        <w:trPr>
          <w:trHeight w:val="257"/>
        </w:trPr>
        <w:tc>
          <w:tcPr>
            <w:tcW w:w="4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 of June 30, 2021</w:t>
            </w:r>
          </w:p>
        </w:tc>
        <w:tc>
          <w:tcPr>
            <w:tcW w:w="12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r>
      <w:tr>
        <w:trPr>
          <w:trHeight w:val="250"/>
        </w:trPr>
        <w:tc>
          <w:tcPr>
            <w:tcW w:w="4540" w:type="dxa"/>
            <w:vAlign w:val="bottom"/>
          </w:tcPr>
          <w:p>
            <w:pPr>
              <w:spacing w:after="0"/>
              <w:rPr>
                <w:sz w:val="20"/>
                <w:szCs w:val="20"/>
                <w:color w:val="auto"/>
              </w:rPr>
            </w:pPr>
            <w:r>
              <w:rPr>
                <w:rFonts w:ascii="Arial" w:cs="Arial" w:eastAsia="Arial" w:hAnsi="Arial"/>
                <w:sz w:val="18"/>
                <w:szCs w:val="18"/>
                <w:color w:val="auto"/>
              </w:rPr>
              <w:t>Demand deposit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w:t>
            </w:r>
          </w:p>
        </w:tc>
      </w:tr>
      <w:tr>
        <w:trPr>
          <w:trHeight w:val="26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Equity mutual fund</w:t>
            </w:r>
          </w:p>
        </w:tc>
        <w:tc>
          <w:tcPr>
            <w:tcW w:w="12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140</w:t>
            </w:r>
          </w:p>
        </w:tc>
      </w:tr>
      <w:tr>
        <w:trPr>
          <w:trHeight w:val="256"/>
        </w:trPr>
        <w:tc>
          <w:tcPr>
            <w:tcW w:w="4540" w:type="dxa"/>
            <w:vAlign w:val="bottom"/>
          </w:tcPr>
          <w:p>
            <w:pPr>
              <w:spacing w:after="0"/>
              <w:rPr>
                <w:sz w:val="20"/>
                <w:szCs w:val="20"/>
                <w:color w:val="auto"/>
              </w:rPr>
            </w:pPr>
            <w:r>
              <w:rPr>
                <w:rFonts w:ascii="Arial" w:cs="Arial" w:eastAsia="Arial" w:hAnsi="Arial"/>
                <w:sz w:val="18"/>
                <w:szCs w:val="18"/>
                <w:color w:val="auto"/>
              </w:rPr>
              <w:t>Fixed income mutual fund</w:t>
            </w: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189</w:t>
            </w:r>
          </w:p>
        </w:tc>
        <w:tc>
          <w:tcPr>
            <w:tcW w:w="1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196</w:t>
            </w:r>
          </w:p>
        </w:tc>
      </w:tr>
      <w:tr>
        <w:trPr>
          <w:trHeight w:val="284"/>
        </w:trPr>
        <w:tc>
          <w:tcPr>
            <w:tcW w:w="454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287</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55</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342</w:t>
            </w:r>
          </w:p>
        </w:tc>
      </w:tr>
      <w:tr>
        <w:trPr>
          <w:trHeight w:val="243"/>
        </w:trPr>
        <w:tc>
          <w:tcPr>
            <w:tcW w:w="4540" w:type="dxa"/>
            <w:vAlign w:val="bottom"/>
            <w:tcBorders>
              <w:top w:val="single" w:sz="8" w:color="CFF0FC"/>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r>
      <w:tr>
        <w:trPr>
          <w:trHeight w:val="256"/>
        </w:trPr>
        <w:tc>
          <w:tcPr>
            <w:tcW w:w="4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 of September 30, 2020</w:t>
            </w:r>
          </w:p>
        </w:tc>
        <w:tc>
          <w:tcPr>
            <w:tcW w:w="12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r>
      <w:tr>
        <w:trPr>
          <w:trHeight w:val="250"/>
        </w:trPr>
        <w:tc>
          <w:tcPr>
            <w:tcW w:w="4540" w:type="dxa"/>
            <w:vAlign w:val="bottom"/>
          </w:tcPr>
          <w:p>
            <w:pPr>
              <w:spacing w:after="0"/>
              <w:rPr>
                <w:sz w:val="20"/>
                <w:szCs w:val="20"/>
                <w:color w:val="auto"/>
              </w:rPr>
            </w:pPr>
            <w:r>
              <w:rPr>
                <w:rFonts w:ascii="Arial" w:cs="Arial" w:eastAsia="Arial" w:hAnsi="Arial"/>
                <w:sz w:val="18"/>
                <w:szCs w:val="18"/>
                <w:color w:val="auto"/>
              </w:rPr>
              <w:t>Demand deposit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w:t>
            </w:r>
          </w:p>
        </w:tc>
      </w:tr>
      <w:tr>
        <w:trPr>
          <w:trHeight w:val="26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Equity mutual fund</w:t>
            </w:r>
          </w:p>
        </w:tc>
        <w:tc>
          <w:tcPr>
            <w:tcW w:w="12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146</w:t>
            </w:r>
          </w:p>
        </w:tc>
      </w:tr>
      <w:tr>
        <w:trPr>
          <w:trHeight w:val="256"/>
        </w:trPr>
        <w:tc>
          <w:tcPr>
            <w:tcW w:w="4540" w:type="dxa"/>
            <w:vAlign w:val="bottom"/>
          </w:tcPr>
          <w:p>
            <w:pPr>
              <w:spacing w:after="0"/>
              <w:rPr>
                <w:sz w:val="20"/>
                <w:szCs w:val="20"/>
                <w:color w:val="auto"/>
              </w:rPr>
            </w:pPr>
            <w:r>
              <w:rPr>
                <w:rFonts w:ascii="Arial" w:cs="Arial" w:eastAsia="Arial" w:hAnsi="Arial"/>
                <w:sz w:val="18"/>
                <w:szCs w:val="18"/>
                <w:color w:val="auto"/>
              </w:rPr>
              <w:t>Fixed income mutual fund</w:t>
            </w: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178</w:t>
            </w:r>
          </w:p>
        </w:tc>
      </w:tr>
      <w:tr>
        <w:trPr>
          <w:trHeight w:val="283"/>
        </w:trPr>
        <w:tc>
          <w:tcPr>
            <w:tcW w:w="45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285</w:t>
            </w: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331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3763010</wp:posOffset>
            </wp:positionH>
            <wp:positionV relativeFrom="paragraph">
              <wp:posOffset>-1036320</wp:posOffset>
            </wp:positionV>
            <wp:extent cx="9461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3763010</wp:posOffset>
            </wp:positionH>
            <wp:positionV relativeFrom="paragraph">
              <wp:posOffset>-1019175</wp:posOffset>
            </wp:positionV>
            <wp:extent cx="946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4783455</wp:posOffset>
            </wp:positionH>
            <wp:positionV relativeFrom="paragraph">
              <wp:posOffset>-1036320</wp:posOffset>
            </wp:positionV>
            <wp:extent cx="857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4783455</wp:posOffset>
            </wp:positionH>
            <wp:positionV relativeFrom="paragraph">
              <wp:posOffset>-1019175</wp:posOffset>
            </wp:positionV>
            <wp:extent cx="857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5820410</wp:posOffset>
            </wp:positionH>
            <wp:positionV relativeFrom="paragraph">
              <wp:posOffset>-1036320</wp:posOffset>
            </wp:positionV>
            <wp:extent cx="857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5820410</wp:posOffset>
            </wp:positionH>
            <wp:positionV relativeFrom="paragraph">
              <wp:posOffset>-1019175</wp:posOffset>
            </wp:positionV>
            <wp:extent cx="857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3763010</wp:posOffset>
            </wp:positionH>
            <wp:positionV relativeFrom="paragraph">
              <wp:posOffset>-24765</wp:posOffset>
            </wp:positionV>
            <wp:extent cx="946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3763010</wp:posOffset>
            </wp:positionH>
            <wp:positionV relativeFrom="paragraph">
              <wp:posOffset>-7620</wp:posOffset>
            </wp:positionV>
            <wp:extent cx="946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4783455</wp:posOffset>
            </wp:positionH>
            <wp:positionV relativeFrom="paragraph">
              <wp:posOffset>-24765</wp:posOffset>
            </wp:positionV>
            <wp:extent cx="857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4783455</wp:posOffset>
            </wp:positionH>
            <wp:positionV relativeFrom="paragraph">
              <wp:posOffset>-7620</wp:posOffset>
            </wp:positionV>
            <wp:extent cx="857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5820410</wp:posOffset>
            </wp:positionH>
            <wp:positionV relativeFrom="paragraph">
              <wp:posOffset>-24765</wp:posOffset>
            </wp:positionV>
            <wp:extent cx="857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5820410</wp:posOffset>
            </wp:positionH>
            <wp:positionV relativeFrom="paragraph">
              <wp:posOffset>-7620</wp:posOffset>
            </wp:positionV>
            <wp:extent cx="85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14" w:lineRule="exact"/>
        <w:rPr>
          <w:sz w:val="20"/>
          <w:szCs w:val="20"/>
          <w:color w:val="auto"/>
        </w:rPr>
      </w:pPr>
    </w:p>
    <w:p>
      <w:pPr>
        <w:ind w:left="8"/>
        <w:spacing w:after="0" w:line="288" w:lineRule="auto"/>
        <w:rPr>
          <w:sz w:val="20"/>
          <w:szCs w:val="20"/>
          <w:color w:val="auto"/>
        </w:rPr>
      </w:pPr>
      <w:r>
        <w:rPr>
          <w:rFonts w:ascii="Arial" w:cs="Arial" w:eastAsia="Arial" w:hAnsi="Arial"/>
          <w:sz w:val="20"/>
          <w:szCs w:val="20"/>
          <w:color w:val="auto"/>
        </w:rPr>
        <w:t>The following table presents the investment income, net gains and losses realized and disbursements related to the investments within the portfolio for the three and nine months ended June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62865</wp:posOffset>
            </wp:positionV>
            <wp:extent cx="66262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106" w:lineRule="exact"/>
        <w:rPr>
          <w:sz w:val="20"/>
          <w:szCs w:val="20"/>
          <w:color w:val="auto"/>
        </w:rPr>
      </w:pPr>
    </w:p>
    <w:tbl>
      <w:tblPr>
        <w:tblLayout w:type="fixed"/>
        <w:tblInd w:w="88"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Three months ended</w:t>
            </w: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40" w:type="dxa"/>
            <w:vAlign w:val="bottom"/>
            <w:gridSpan w:val="2"/>
          </w:tcPr>
          <w:p>
            <w:pPr>
              <w:jc w:val="center"/>
              <w:ind w:left="50"/>
              <w:spacing w:after="0"/>
              <w:rPr>
                <w:sz w:val="20"/>
                <w:szCs w:val="20"/>
                <w:color w:val="auto"/>
              </w:rPr>
            </w:pPr>
            <w:r>
              <w:rPr>
                <w:rFonts w:ascii="Arial" w:cs="Arial" w:eastAsia="Arial" w:hAnsi="Arial"/>
                <w:sz w:val="18"/>
                <w:szCs w:val="18"/>
                <w:color w:val="auto"/>
                <w:w w:val="88"/>
              </w:rPr>
              <w:t>Nine months ended</w:t>
            </w:r>
          </w:p>
        </w:tc>
        <w:tc>
          <w:tcPr>
            <w:tcW w:w="620" w:type="dxa"/>
            <w:vAlign w:val="bottom"/>
          </w:tcPr>
          <w:p>
            <w:pPr>
              <w:spacing w:after="0"/>
              <w:rPr>
                <w:sz w:val="20"/>
                <w:szCs w:val="20"/>
                <w:color w:val="auto"/>
              </w:rPr>
            </w:pPr>
          </w:p>
        </w:tc>
      </w:tr>
      <w:tr>
        <w:trPr>
          <w:trHeight w:val="263"/>
        </w:trPr>
        <w:tc>
          <w:tcPr>
            <w:tcW w:w="45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87"/>
              </w:rPr>
              <w:t>June 30</w:t>
            </w:r>
          </w:p>
        </w:tc>
        <w:tc>
          <w:tcPr>
            <w:tcW w:w="6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84"/>
              </w:rPr>
              <w:t>June 30</w:t>
            </w:r>
          </w:p>
        </w:tc>
        <w:tc>
          <w:tcPr>
            <w:tcW w:w="620" w:type="dxa"/>
            <w:vAlign w:val="bottom"/>
            <w:tcBorders>
              <w:bottom w:val="single" w:sz="8" w:color="auto"/>
            </w:tcBorders>
          </w:tcPr>
          <w:p>
            <w:pPr>
              <w:spacing w:after="0"/>
              <w:rPr>
                <w:sz w:val="22"/>
                <w:szCs w:val="22"/>
                <w:color w:val="auto"/>
              </w:rPr>
            </w:pPr>
          </w:p>
        </w:tc>
      </w:tr>
      <w:tr>
        <w:trPr>
          <w:trHeight w:val="250"/>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2021</w:t>
            </w:r>
          </w:p>
        </w:tc>
        <w:tc>
          <w:tcPr>
            <w:tcW w:w="9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2020</w:t>
            </w:r>
          </w:p>
        </w:tc>
        <w:tc>
          <w:tcPr>
            <w:tcW w:w="4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2021</w:t>
            </w:r>
          </w:p>
        </w:tc>
        <w:tc>
          <w:tcPr>
            <w:tcW w:w="6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r>
      <w:tr>
        <w:trPr>
          <w:trHeight w:val="257"/>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w:t>
            </w:r>
          </w:p>
        </w:tc>
        <w:tc>
          <w:tcPr>
            <w:tcW w:w="92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w:t>
            </w:r>
          </w:p>
        </w:tc>
        <w:tc>
          <w:tcPr>
            <w:tcW w:w="46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w:t>
            </w:r>
          </w:p>
        </w:tc>
      </w:tr>
      <w:tr>
        <w:trPr>
          <w:trHeight w:val="250"/>
        </w:trPr>
        <w:tc>
          <w:tcPr>
            <w:tcW w:w="4540" w:type="dxa"/>
            <w:vAlign w:val="bottom"/>
          </w:tcPr>
          <w:p>
            <w:pPr>
              <w:spacing w:after="0"/>
              <w:rPr>
                <w:sz w:val="20"/>
                <w:szCs w:val="20"/>
                <w:color w:val="auto"/>
              </w:rPr>
            </w:pPr>
            <w:r>
              <w:rPr>
                <w:rFonts w:ascii="Arial" w:cs="Arial" w:eastAsia="Arial" w:hAnsi="Arial"/>
                <w:sz w:val="18"/>
                <w:szCs w:val="18"/>
                <w:color w:val="auto"/>
              </w:rPr>
              <w:t xml:space="preserve">Net gains (losses) unrealized </w:t>
            </w:r>
            <w:r>
              <w:rPr>
                <w:rFonts w:ascii="Arial" w:cs="Arial" w:eastAsia="Arial" w:hAnsi="Arial"/>
                <w:sz w:val="14"/>
                <w:szCs w:val="14"/>
                <w:color w:val="auto"/>
              </w:rPr>
              <w:t>(a)</w:t>
            </w:r>
          </w:p>
        </w:tc>
        <w:tc>
          <w:tcPr>
            <w:tcW w:w="38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15</w:t>
            </w:r>
          </w:p>
        </w:tc>
        <w:tc>
          <w:tcPr>
            <w:tcW w:w="920" w:type="dxa"/>
            <w:vAlign w:val="bottom"/>
          </w:tcPr>
          <w:p>
            <w:pPr>
              <w:spacing w:after="0"/>
              <w:rPr>
                <w:sz w:val="21"/>
                <w:szCs w:val="21"/>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31</w:t>
            </w:r>
          </w:p>
        </w:tc>
        <w:tc>
          <w:tcPr>
            <w:tcW w:w="4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26</w:t>
            </w:r>
          </w:p>
        </w:tc>
        <w:tc>
          <w:tcPr>
            <w:tcW w:w="6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6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Disbursements</w:t>
            </w:r>
          </w:p>
        </w:tc>
        <w:tc>
          <w:tcPr>
            <w:tcW w:w="380" w:type="dxa"/>
            <w:vAlign w:val="bottom"/>
            <w:shd w:val="clear" w:color="auto" w:fill="CFF0FC"/>
          </w:tcPr>
          <w:p>
            <w:pPr>
              <w:spacing w:after="0"/>
              <w:rPr>
                <w:sz w:val="22"/>
                <w:szCs w:val="22"/>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(6 )</w:t>
            </w:r>
          </w:p>
        </w:tc>
        <w:tc>
          <w:tcPr>
            <w:tcW w:w="920" w:type="dxa"/>
            <w:vAlign w:val="bottom"/>
            <w:shd w:val="clear" w:color="auto" w:fill="CFF0FC"/>
          </w:tcPr>
          <w:p>
            <w:pPr>
              <w:spacing w:after="0"/>
              <w:rPr>
                <w:sz w:val="22"/>
                <w:szCs w:val="22"/>
                <w:color w:val="auto"/>
              </w:rPr>
            </w:pPr>
          </w:p>
        </w:tc>
        <w:tc>
          <w:tcPr>
            <w:tcW w:w="6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(7 )</w:t>
            </w:r>
          </w:p>
        </w:tc>
        <w:tc>
          <w:tcPr>
            <w:tcW w:w="46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(25 )</w:t>
            </w:r>
          </w:p>
        </w:tc>
        <w:tc>
          <w:tcPr>
            <w:tcW w:w="66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(26 )</w:t>
            </w:r>
          </w:p>
        </w:tc>
      </w:tr>
      <w:tr>
        <w:trPr>
          <w:trHeight w:val="162"/>
        </w:trPr>
        <w:tc>
          <w:tcPr>
            <w:tcW w:w="45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bl>
    <w:p>
      <w:pPr>
        <w:spacing w:after="0" w:line="103" w:lineRule="exact"/>
        <w:rPr>
          <w:sz w:val="20"/>
          <w:szCs w:val="20"/>
          <w:color w:val="auto"/>
        </w:rPr>
      </w:pPr>
    </w:p>
    <w:p>
      <w:pPr>
        <w:jc w:val="both"/>
        <w:ind w:left="328" w:right="140" w:hanging="328"/>
        <w:spacing w:after="0" w:line="277" w:lineRule="auto"/>
        <w:tabs>
          <w:tab w:leader="none" w:pos="328" w:val="left"/>
        </w:tabs>
        <w:numPr>
          <w:ilvl w:val="0"/>
          <w:numId w:val="7"/>
        </w:numPr>
        <w:rPr>
          <w:rFonts w:ascii="Arial" w:cs="Arial" w:eastAsia="Arial" w:hAnsi="Arial"/>
          <w:sz w:val="14"/>
          <w:szCs w:val="14"/>
          <w:color w:val="auto"/>
        </w:rPr>
      </w:pPr>
      <w:r>
        <w:rPr>
          <w:rFonts w:ascii="Arial" w:cs="Arial" w:eastAsia="Arial" w:hAnsi="Arial"/>
          <w:sz w:val="14"/>
          <w:szCs w:val="14"/>
          <w:color w:val="auto"/>
        </w:rPr>
        <w:t>Ashland determined that all unrealized gains and (losses) were related to equity securities with readily determinable fair values. Due to accounting guidance adopted in the first quarter of fiscal year 2019, the net unrealized gains and (losses) during the year ended September 30, 2019 and forward were recorded within the net interest and other expense caption in the Statements of Consolidated Income (Loss).</w:t>
      </w:r>
    </w:p>
    <w:p>
      <w:pPr>
        <w:spacing w:after="0" w:line="81"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8"/>
          </w:cols>
          <w:pgMar w:left="652" w:top="130" w:right="679" w:bottom="1440" w:gutter="0" w:footer="0" w:header="0"/>
        </w:sectPr>
      </w:pPr>
    </w:p>
    <w:bookmarkStart w:id="12" w:name="page13"/>
    <w:bookmarkEnd w:id="12"/>
    <w:p>
      <w:pPr>
        <w:ind w:left="340"/>
        <w:spacing w:after="0"/>
        <w:rPr>
          <w:sz w:val="20"/>
          <w:szCs w:val="20"/>
          <w:color w:val="auto"/>
        </w:rPr>
      </w:pPr>
      <w:r>
        <w:rPr>
          <w:rFonts w:ascii="Arial" w:cs="Arial" w:eastAsia="Arial" w:hAnsi="Arial"/>
          <w:sz w:val="20"/>
          <w:szCs w:val="20"/>
          <w:b w:val="1"/>
          <w:bCs w:val="1"/>
          <w:color w:val="auto"/>
        </w:rPr>
        <w:t>Foreign currency derivatives</w:t>
      </w:r>
    </w:p>
    <w:p>
      <w:pPr>
        <w:spacing w:after="0" w:line="141" w:lineRule="exact"/>
        <w:rPr>
          <w:sz w:val="20"/>
          <w:szCs w:val="20"/>
          <w:color w:val="auto"/>
        </w:rPr>
      </w:pPr>
    </w:p>
    <w:p>
      <w:pPr>
        <w:jc w:val="both"/>
        <w:ind w:left="340" w:right="320"/>
        <w:spacing w:after="0" w:line="285" w:lineRule="auto"/>
        <w:rPr>
          <w:sz w:val="20"/>
          <w:szCs w:val="20"/>
          <w:color w:val="auto"/>
        </w:rPr>
      </w:pPr>
      <w:r>
        <w:rPr>
          <w:rFonts w:ascii="Arial" w:cs="Arial" w:eastAsia="Arial" w:hAnsi="Arial"/>
          <w:sz w:val="19"/>
          <w:szCs w:val="19"/>
          <w:color w:val="auto"/>
        </w:rPr>
        <w:t>Ashland conducts business in a variety of foreign currencies. Accordingly, Ashland regularly uses foreign currency derivative instruments to manage exposure on certain transactions denominated in foreign currencies to curtail potential earnings volatility effects on certain assets and liabilities, including short-term inter-company loans, denominated in currencies other than Ashland’s functional currency of an entity. These derivative contracts generally require exchange of one foreign currency for another at a fixed rate at a future date and generally have maturities of less than twelve months. All contracts are valued at fair value with net changes in fair value recorded within the selling, general and administrative expense caption except for a contract entered into to manage the foreign currency exposure related to the acquisition of the Schülke personal care business, which is reported within the net income from acquisitions and divestitures caption. The impacts of these contracts were largely offset by gains and losses resulting from the impact of changes in exchange rates on transactions denominated in non-functional currencies. The following table summarizes the net gains and losses recognized during the three and nine months ended June 30, 2021 and 2020 within the Statements of Consolidated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67310</wp:posOffset>
            </wp:positionV>
            <wp:extent cx="66262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112"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Three months ended</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gridSpan w:val="2"/>
          </w:tcPr>
          <w:p>
            <w:pPr>
              <w:jc w:val="center"/>
              <w:ind w:left="50"/>
              <w:spacing w:after="0"/>
              <w:rPr>
                <w:sz w:val="20"/>
                <w:szCs w:val="20"/>
                <w:color w:val="auto"/>
              </w:rPr>
            </w:pPr>
            <w:r>
              <w:rPr>
                <w:rFonts w:ascii="Arial" w:cs="Arial" w:eastAsia="Arial" w:hAnsi="Arial"/>
                <w:sz w:val="18"/>
                <w:szCs w:val="18"/>
                <w:color w:val="auto"/>
                <w:w w:val="88"/>
              </w:rPr>
              <w:t>Nine months ended</w:t>
            </w:r>
          </w:p>
        </w:tc>
        <w:tc>
          <w:tcPr>
            <w:tcW w:w="620" w:type="dxa"/>
            <w:vAlign w:val="bottom"/>
          </w:tcPr>
          <w:p>
            <w:pPr>
              <w:spacing w:after="0"/>
              <w:rPr>
                <w:sz w:val="20"/>
                <w:szCs w:val="20"/>
                <w:color w:val="auto"/>
              </w:rPr>
            </w:pPr>
          </w:p>
        </w:tc>
      </w:tr>
      <w:tr>
        <w:trPr>
          <w:trHeight w:val="263"/>
        </w:trPr>
        <w:tc>
          <w:tcPr>
            <w:tcW w:w="45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87"/>
              </w:rPr>
              <w:t>June 30</w:t>
            </w:r>
          </w:p>
        </w:tc>
        <w:tc>
          <w:tcPr>
            <w:tcW w:w="62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84"/>
              </w:rPr>
              <w:t>June 30</w:t>
            </w:r>
          </w:p>
        </w:tc>
        <w:tc>
          <w:tcPr>
            <w:tcW w:w="620" w:type="dxa"/>
            <w:vAlign w:val="bottom"/>
            <w:tcBorders>
              <w:bottom w:val="single" w:sz="8" w:color="auto"/>
            </w:tcBorders>
          </w:tcPr>
          <w:p>
            <w:pPr>
              <w:spacing w:after="0"/>
              <w:rPr>
                <w:sz w:val="22"/>
                <w:szCs w:val="22"/>
                <w:color w:val="auto"/>
              </w:rPr>
            </w:pPr>
          </w:p>
        </w:tc>
      </w:tr>
      <w:tr>
        <w:trPr>
          <w:trHeight w:val="250"/>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2021</w:t>
            </w:r>
          </w:p>
        </w:tc>
        <w:tc>
          <w:tcPr>
            <w:tcW w:w="9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2021</w:t>
            </w:r>
          </w:p>
        </w:tc>
        <w:tc>
          <w:tcPr>
            <w:tcW w:w="7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r>
      <w:tr>
        <w:trPr>
          <w:trHeight w:val="257"/>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Foreign currency derivative gains </w:t>
            </w:r>
            <w:r>
              <w:rPr>
                <w:rFonts w:ascii="Arial" w:cs="Arial" w:eastAsia="Arial" w:hAnsi="Arial"/>
                <w:sz w:val="14"/>
                <w:szCs w:val="14"/>
                <w:color w:val="auto"/>
              </w:rPr>
              <w:t>(a)</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96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w:t>
            </w:r>
          </w:p>
        </w:tc>
        <w:tc>
          <w:tcPr>
            <w:tcW w:w="70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w:t>
            </w:r>
          </w:p>
        </w:tc>
      </w:tr>
    </w:tbl>
    <w:p>
      <w:pPr>
        <w:spacing w:after="0" w:line="10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gains of $4 million and $1 million reported within the net income from acquisitions and divestitures caption for the three and nine months ended June 30, 2021.</w:t>
      </w:r>
    </w:p>
    <w:p>
      <w:pPr>
        <w:spacing w:after="0" w:line="151" w:lineRule="exact"/>
        <w:rPr>
          <w:sz w:val="20"/>
          <w:szCs w:val="20"/>
          <w:color w:val="auto"/>
        </w:rPr>
      </w:pPr>
    </w:p>
    <w:p>
      <w:pPr>
        <w:jc w:val="both"/>
        <w:ind w:left="340" w:right="320"/>
        <w:spacing w:after="0" w:line="421" w:lineRule="auto"/>
        <w:rPr>
          <w:sz w:val="20"/>
          <w:szCs w:val="20"/>
          <w:color w:val="auto"/>
        </w:rPr>
      </w:pPr>
      <w:r>
        <w:rPr>
          <w:rFonts w:ascii="Arial" w:cs="Arial" w:eastAsia="Arial" w:hAnsi="Arial"/>
          <w:sz w:val="16"/>
          <w:szCs w:val="16"/>
          <w:color w:val="auto"/>
        </w:rPr>
        <w:t>The following table summarizes the fair values of the outstanding foreign currency derivatives as of June 30, 2021 and September 30, 2020 included in accounts receivable and accrued expenses and other liabilities of the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3810</wp:posOffset>
            </wp:positionV>
            <wp:extent cx="66262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2"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p>
        </w:tc>
        <w:tc>
          <w:tcPr>
            <w:tcW w:w="3140" w:type="dxa"/>
            <w:vAlign w:val="bottom"/>
          </w:tcPr>
          <w:p>
            <w:pPr>
              <w:jc w:val="right"/>
              <w:ind w:right="70"/>
              <w:spacing w:after="0"/>
              <w:rPr>
                <w:sz w:val="20"/>
                <w:szCs w:val="20"/>
                <w:color w:val="auto"/>
              </w:rPr>
            </w:pPr>
            <w:r>
              <w:rPr>
                <w:rFonts w:ascii="Arial" w:cs="Arial" w:eastAsia="Arial" w:hAnsi="Arial"/>
                <w:sz w:val="18"/>
                <w:szCs w:val="18"/>
                <w:color w:val="auto"/>
              </w:rPr>
              <w:t>June 30</w:t>
            </w: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20" w:type="dxa"/>
            <w:vAlign w:val="bottom"/>
          </w:tcPr>
          <w:p>
            <w:pPr>
              <w:jc w:val="right"/>
              <w:ind w:right="450"/>
              <w:spacing w:after="0"/>
              <w:rPr>
                <w:sz w:val="20"/>
                <w:szCs w:val="20"/>
                <w:color w:val="auto"/>
              </w:rPr>
            </w:pPr>
            <w:r>
              <w:rPr>
                <w:rFonts w:ascii="Arial" w:cs="Arial" w:eastAsia="Arial" w:hAnsi="Arial"/>
                <w:sz w:val="18"/>
                <w:szCs w:val="18"/>
                <w:color w:val="auto"/>
              </w:rPr>
              <w:t>September 30</w:t>
            </w:r>
          </w:p>
        </w:tc>
      </w:tr>
      <w:tr>
        <w:trPr>
          <w:trHeight w:val="263"/>
        </w:trPr>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2021</w:t>
            </w:r>
          </w:p>
        </w:tc>
        <w:tc>
          <w:tcPr>
            <w:tcW w:w="5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2020</w:t>
            </w:r>
          </w:p>
        </w:tc>
      </w:tr>
      <w:tr>
        <w:trPr>
          <w:trHeight w:val="256"/>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derivative assets</w:t>
            </w:r>
          </w:p>
        </w:tc>
        <w:tc>
          <w:tcPr>
            <w:tcW w:w="3140" w:type="dxa"/>
            <w:vAlign w:val="bottom"/>
            <w:shd w:val="clear" w:color="auto" w:fill="CFF0FC"/>
          </w:tcPr>
          <w:p>
            <w:pPr>
              <w:jc w:val="right"/>
              <w:ind w:right="109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w:t>
            </w:r>
          </w:p>
        </w:tc>
        <w:tc>
          <w:tcPr>
            <w:tcW w:w="4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r>
      <w:tr>
        <w:trPr>
          <w:trHeight w:val="250"/>
        </w:trPr>
        <w:tc>
          <w:tcPr>
            <w:tcW w:w="4560" w:type="dxa"/>
            <w:vAlign w:val="bottom"/>
          </w:tcPr>
          <w:p>
            <w:pPr>
              <w:spacing w:after="0"/>
              <w:rPr>
                <w:sz w:val="20"/>
                <w:szCs w:val="20"/>
                <w:color w:val="auto"/>
              </w:rPr>
            </w:pPr>
            <w:r>
              <w:rPr>
                <w:rFonts w:ascii="Arial" w:cs="Arial" w:eastAsia="Arial" w:hAnsi="Arial"/>
                <w:sz w:val="18"/>
                <w:szCs w:val="18"/>
                <w:color w:val="auto"/>
              </w:rPr>
              <w:t>Notional contract values</w:t>
            </w:r>
          </w:p>
        </w:tc>
        <w:tc>
          <w:tcPr>
            <w:tcW w:w="3140" w:type="dxa"/>
            <w:vAlign w:val="bottom"/>
          </w:tcPr>
          <w:p>
            <w:pPr>
              <w:spacing w:after="0"/>
              <w:rPr>
                <w:sz w:val="21"/>
                <w:szCs w:val="21"/>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204</w:t>
            </w:r>
          </w:p>
        </w:tc>
        <w:tc>
          <w:tcPr>
            <w:tcW w:w="4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170</w:t>
            </w:r>
          </w:p>
        </w:tc>
      </w:tr>
      <w:tr>
        <w:trPr>
          <w:trHeight w:val="263"/>
        </w:trPr>
        <w:tc>
          <w:tcPr>
            <w:tcW w:w="4560" w:type="dxa"/>
            <w:vAlign w:val="bottom"/>
            <w:shd w:val="clear" w:color="auto" w:fill="CFF0FC"/>
          </w:tcPr>
          <w:p>
            <w:pPr>
              <w:spacing w:after="0"/>
              <w:rPr>
                <w:sz w:val="22"/>
                <w:szCs w:val="22"/>
                <w:color w:val="auto"/>
              </w:rPr>
            </w:pPr>
          </w:p>
        </w:tc>
        <w:tc>
          <w:tcPr>
            <w:tcW w:w="314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720" w:type="dxa"/>
            <w:vAlign w:val="bottom"/>
            <w:shd w:val="clear" w:color="auto" w:fill="CFF0FC"/>
          </w:tcPr>
          <w:p>
            <w:pPr>
              <w:spacing w:after="0"/>
              <w:rPr>
                <w:sz w:val="22"/>
                <w:szCs w:val="22"/>
                <w:color w:val="auto"/>
              </w:rPr>
            </w:pPr>
          </w:p>
        </w:tc>
      </w:tr>
      <w:tr>
        <w:trPr>
          <w:trHeight w:val="250"/>
        </w:trPr>
        <w:tc>
          <w:tcPr>
            <w:tcW w:w="4560" w:type="dxa"/>
            <w:vAlign w:val="bottom"/>
          </w:tcPr>
          <w:p>
            <w:pPr>
              <w:spacing w:after="0"/>
              <w:rPr>
                <w:sz w:val="20"/>
                <w:szCs w:val="20"/>
                <w:color w:val="auto"/>
              </w:rPr>
            </w:pPr>
            <w:r>
              <w:rPr>
                <w:rFonts w:ascii="Arial" w:cs="Arial" w:eastAsia="Arial" w:hAnsi="Arial"/>
                <w:sz w:val="18"/>
                <w:szCs w:val="18"/>
                <w:color w:val="auto"/>
              </w:rPr>
              <w:t>Foreign currency derivative liabilities</w:t>
            </w:r>
          </w:p>
        </w:tc>
        <w:tc>
          <w:tcPr>
            <w:tcW w:w="3140" w:type="dxa"/>
            <w:vAlign w:val="bottom"/>
          </w:tcPr>
          <w:p>
            <w:pPr>
              <w:jc w:val="right"/>
              <w:ind w:right="109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63"/>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Notional contract values</w:t>
            </w:r>
          </w:p>
        </w:tc>
        <w:tc>
          <w:tcPr>
            <w:tcW w:w="3140" w:type="dxa"/>
            <w:vAlign w:val="bottom"/>
            <w:shd w:val="clear" w:color="auto" w:fill="CFF0FC"/>
          </w:tcPr>
          <w:p>
            <w:pPr>
              <w:spacing w:after="0"/>
              <w:rPr>
                <w:sz w:val="22"/>
                <w:szCs w:val="22"/>
                <w:color w:val="auto"/>
              </w:rPr>
            </w:pPr>
          </w:p>
        </w:tc>
        <w:tc>
          <w:tcPr>
            <w:tcW w:w="5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180</w:t>
            </w:r>
          </w:p>
        </w:tc>
        <w:tc>
          <w:tcPr>
            <w:tcW w:w="420" w:type="dxa"/>
            <w:vAlign w:val="bottom"/>
            <w:shd w:val="clear" w:color="auto" w:fill="CFF0FC"/>
          </w:tcPr>
          <w:p>
            <w:pPr>
              <w:spacing w:after="0"/>
              <w:rPr>
                <w:sz w:val="22"/>
                <w:szCs w:val="22"/>
                <w:color w:val="auto"/>
              </w:rPr>
            </w:pPr>
          </w:p>
        </w:tc>
        <w:tc>
          <w:tcPr>
            <w:tcW w:w="1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215</w:t>
            </w:r>
          </w:p>
        </w:tc>
      </w:tr>
    </w:tbl>
    <w:p>
      <w:pPr>
        <w:spacing w:after="0" w:line="261"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Other financial instruments</w:t>
      </w:r>
    </w:p>
    <w:p>
      <w:pPr>
        <w:spacing w:after="0" w:line="141" w:lineRule="exact"/>
        <w:rPr>
          <w:sz w:val="20"/>
          <w:szCs w:val="20"/>
          <w:color w:val="auto"/>
        </w:rPr>
      </w:pPr>
    </w:p>
    <w:p>
      <w:pPr>
        <w:jc w:val="both"/>
        <w:ind w:left="340" w:right="320"/>
        <w:spacing w:after="0" w:line="314" w:lineRule="auto"/>
        <w:rPr>
          <w:sz w:val="20"/>
          <w:szCs w:val="20"/>
          <w:color w:val="auto"/>
        </w:rPr>
      </w:pPr>
      <w:r>
        <w:rPr>
          <w:rFonts w:ascii="Arial" w:cs="Arial" w:eastAsia="Arial" w:hAnsi="Arial"/>
          <w:sz w:val="18"/>
          <w:szCs w:val="18"/>
          <w:color w:val="auto"/>
        </w:rPr>
        <w:t>At June 30, 2021 and September 30, 2020, Ashland's long-term debt (including the current portion and excluding debt issuance cost discounts) had a carrying value of $1,597 million and $1,588 million, respectively, compared to a fair value of $1,749 million and $1,708 million, respectively. The fair values of long-term debt are based on quoted market prices or, if market prices are not available, the present values of the underlying cash flows discounted at Ashland’s incremental borrowing rates.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F – INVENTORIES</w:t>
      </w:r>
    </w:p>
    <w:p>
      <w:pPr>
        <w:spacing w:after="0" w:line="141" w:lineRule="exact"/>
        <w:rPr>
          <w:sz w:val="20"/>
          <w:szCs w:val="20"/>
          <w:color w:val="auto"/>
        </w:rPr>
      </w:pPr>
    </w:p>
    <w:p>
      <w:pPr>
        <w:jc w:val="both"/>
        <w:ind w:left="340" w:right="340"/>
        <w:spacing w:after="0" w:line="316" w:lineRule="auto"/>
        <w:rPr>
          <w:sz w:val="20"/>
          <w:szCs w:val="20"/>
          <w:color w:val="auto"/>
        </w:rPr>
      </w:pPr>
      <w:r>
        <w:rPr>
          <w:rFonts w:ascii="Arial" w:cs="Arial" w:eastAsia="Arial" w:hAnsi="Arial"/>
          <w:sz w:val="19"/>
          <w:szCs w:val="19"/>
          <w:color w:val="auto"/>
        </w:rPr>
        <w:t>Inventories are carried at the lower of cost or net realizable value. Inventories are primarily stated at cost using the weighted-average cost method. In addition, certain inventories are valued at cost using the last-in, first-out (LIFO) method.</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following table summarizes Ashland’s inventories as of the reported Condensed Consolidated Balance Sheet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104775</wp:posOffset>
            </wp:positionV>
            <wp:extent cx="66262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June 30</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tcPr>
          <w:p>
            <w:pPr>
              <w:jc w:val="right"/>
              <w:ind w:right="455"/>
              <w:spacing w:after="0"/>
              <w:rPr>
                <w:sz w:val="20"/>
                <w:szCs w:val="20"/>
                <w:color w:val="auto"/>
              </w:rPr>
            </w:pPr>
            <w:r>
              <w:rPr>
                <w:rFonts w:ascii="Arial" w:cs="Arial" w:eastAsia="Arial" w:hAnsi="Arial"/>
                <w:sz w:val="18"/>
                <w:szCs w:val="18"/>
                <w:color w:val="auto"/>
              </w:rPr>
              <w:t>September 30</w:t>
            </w:r>
          </w:p>
        </w:tc>
        <w:tc>
          <w:tcPr>
            <w:tcW w:w="400" w:type="dxa"/>
            <w:vAlign w:val="bottom"/>
          </w:tcPr>
          <w:p>
            <w:pPr>
              <w:spacing w:after="0"/>
              <w:rPr>
                <w:sz w:val="20"/>
                <w:szCs w:val="20"/>
                <w:color w:val="auto"/>
              </w:rPr>
            </w:pPr>
          </w:p>
        </w:tc>
      </w:tr>
      <w:tr>
        <w:trPr>
          <w:trHeight w:val="263"/>
        </w:trPr>
        <w:tc>
          <w:tcPr>
            <w:tcW w:w="420" w:type="dxa"/>
            <w:vAlign w:val="bottom"/>
          </w:tcPr>
          <w:p>
            <w:pPr>
              <w:spacing w:after="0"/>
              <w:rPr>
                <w:sz w:val="22"/>
                <w:szCs w:val="22"/>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 millions)</w:t>
            </w:r>
          </w:p>
        </w:tc>
        <w:tc>
          <w:tcPr>
            <w:tcW w:w="368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2021</w:t>
            </w:r>
          </w:p>
        </w:tc>
        <w:tc>
          <w:tcPr>
            <w:tcW w:w="5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775"/>
              <w:spacing w:after="0"/>
              <w:rPr>
                <w:sz w:val="20"/>
                <w:szCs w:val="20"/>
                <w:color w:val="auto"/>
              </w:rPr>
            </w:pPr>
            <w:r>
              <w:rPr>
                <w:rFonts w:ascii="Arial" w:cs="Arial" w:eastAsia="Arial" w:hAnsi="Arial"/>
                <w:sz w:val="18"/>
                <w:szCs w:val="18"/>
                <w:color w:val="auto"/>
              </w:rPr>
              <w:t>2020</w:t>
            </w:r>
          </w:p>
        </w:tc>
        <w:tc>
          <w:tcPr>
            <w:tcW w:w="400" w:type="dxa"/>
            <w:vAlign w:val="bottom"/>
          </w:tcPr>
          <w:p>
            <w:pPr>
              <w:spacing w:after="0"/>
              <w:rPr>
                <w:sz w:val="22"/>
                <w:szCs w:val="22"/>
                <w:color w:val="auto"/>
              </w:rPr>
            </w:pPr>
          </w:p>
        </w:tc>
      </w:tr>
      <w:tr>
        <w:trPr>
          <w:trHeight w:val="230"/>
        </w:trPr>
        <w:tc>
          <w:tcPr>
            <w:tcW w:w="4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6"/>
                <w:szCs w:val="16"/>
                <w:color w:val="auto"/>
              </w:rPr>
              <w:t>Finished products</w:t>
            </w:r>
          </w:p>
        </w:tc>
        <w:tc>
          <w:tcPr>
            <w:tcW w:w="3680" w:type="dxa"/>
            <w:vAlign w:val="bottom"/>
            <w:gridSpan w:val="2"/>
            <w:shd w:val="clear" w:color="auto" w:fill="CFF0FC"/>
          </w:tcPr>
          <w:p>
            <w:pPr>
              <w:jc w:val="right"/>
              <w:ind w:right="125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305</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FF0FC"/>
          </w:tcPr>
          <w:p>
            <w:pPr>
              <w:jc w:val="right"/>
              <w:ind w:right="15"/>
              <w:spacing w:after="0"/>
              <w:rPr>
                <w:sz w:val="20"/>
                <w:szCs w:val="20"/>
                <w:color w:val="auto"/>
              </w:rPr>
            </w:pPr>
            <w:r>
              <w:rPr>
                <w:rFonts w:ascii="Arial" w:cs="Arial" w:eastAsia="Arial" w:hAnsi="Arial"/>
                <w:sz w:val="16"/>
                <w:szCs w:val="16"/>
                <w:color w:val="auto"/>
              </w:rPr>
              <w:t>336</w:t>
            </w:r>
          </w:p>
        </w:tc>
        <w:tc>
          <w:tcPr>
            <w:tcW w:w="400" w:type="dxa"/>
            <w:vAlign w:val="bottom"/>
          </w:tcPr>
          <w:p>
            <w:pPr>
              <w:spacing w:after="0"/>
              <w:rPr>
                <w:sz w:val="19"/>
                <w:szCs w:val="19"/>
                <w:color w:val="auto"/>
              </w:rPr>
            </w:pPr>
          </w:p>
        </w:tc>
      </w:tr>
      <w:tr>
        <w:trPr>
          <w:trHeight w:val="226"/>
        </w:trPr>
        <w:tc>
          <w:tcPr>
            <w:tcW w:w="4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6"/>
                <w:szCs w:val="16"/>
                <w:color w:val="auto"/>
              </w:rPr>
              <w:t>Raw materials, supplies and work in process</w:t>
            </w:r>
          </w:p>
        </w:tc>
        <w:tc>
          <w:tcPr>
            <w:tcW w:w="226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212</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color w:val="auto"/>
              </w:rPr>
              <w:t>193</w:t>
            </w:r>
          </w:p>
        </w:tc>
        <w:tc>
          <w:tcPr>
            <w:tcW w:w="400" w:type="dxa"/>
            <w:vAlign w:val="bottom"/>
          </w:tcPr>
          <w:p>
            <w:pPr>
              <w:spacing w:after="0"/>
              <w:rPr>
                <w:sz w:val="19"/>
                <w:szCs w:val="19"/>
                <w:color w:val="auto"/>
              </w:rPr>
            </w:pPr>
          </w:p>
        </w:tc>
      </w:tr>
      <w:tr>
        <w:trPr>
          <w:trHeight w:val="260"/>
        </w:trPr>
        <w:tc>
          <w:tcPr>
            <w:tcW w:w="420" w:type="dxa"/>
            <w:vAlign w:val="bottom"/>
          </w:tcPr>
          <w:p>
            <w:pPr>
              <w:spacing w:after="0"/>
              <w:rPr>
                <w:sz w:val="22"/>
                <w:szCs w:val="22"/>
                <w:color w:val="auto"/>
              </w:rPr>
            </w:pPr>
          </w:p>
        </w:tc>
        <w:tc>
          <w:tcPr>
            <w:tcW w:w="4000" w:type="dxa"/>
            <w:vAlign w:val="bottom"/>
            <w:shd w:val="clear" w:color="auto" w:fill="CFF0FC"/>
          </w:tcPr>
          <w:p>
            <w:pPr>
              <w:spacing w:after="0"/>
              <w:rPr>
                <w:sz w:val="22"/>
                <w:szCs w:val="22"/>
                <w:color w:val="auto"/>
              </w:rPr>
            </w:pPr>
          </w:p>
        </w:tc>
        <w:tc>
          <w:tcPr>
            <w:tcW w:w="3680" w:type="dxa"/>
            <w:vAlign w:val="bottom"/>
            <w:gridSpan w:val="2"/>
            <w:shd w:val="clear" w:color="auto" w:fill="CFF0FC"/>
          </w:tcPr>
          <w:p>
            <w:pPr>
              <w:jc w:val="right"/>
              <w:ind w:right="125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517</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FF0FC"/>
          </w:tcPr>
          <w:p>
            <w:pPr>
              <w:jc w:val="right"/>
              <w:ind w:right="15"/>
              <w:spacing w:after="0"/>
              <w:rPr>
                <w:sz w:val="20"/>
                <w:szCs w:val="20"/>
                <w:color w:val="auto"/>
              </w:rPr>
            </w:pPr>
            <w:r>
              <w:rPr>
                <w:rFonts w:ascii="Arial" w:cs="Arial" w:eastAsia="Arial" w:hAnsi="Arial"/>
                <w:sz w:val="16"/>
                <w:szCs w:val="16"/>
                <w:color w:val="auto"/>
              </w:rPr>
              <w:t>529</w:t>
            </w:r>
          </w:p>
        </w:tc>
        <w:tc>
          <w:tcPr>
            <w:tcW w:w="400" w:type="dxa"/>
            <w:vAlign w:val="bottom"/>
          </w:tcPr>
          <w:p>
            <w:pPr>
              <w:spacing w:after="0"/>
              <w:rPr>
                <w:sz w:val="22"/>
                <w:szCs w:val="22"/>
                <w:color w:val="auto"/>
              </w:rPr>
            </w:pPr>
          </w:p>
        </w:tc>
      </w:tr>
      <w:tr>
        <w:trPr>
          <w:trHeight w:val="554"/>
        </w:trPr>
        <w:tc>
          <w:tcPr>
            <w:tcW w:w="420" w:type="dxa"/>
            <w:vAlign w:val="bottom"/>
          </w:tcPr>
          <w:p>
            <w:pPr>
              <w:spacing w:after="0"/>
              <w:rPr>
                <w:sz w:val="24"/>
                <w:szCs w:val="24"/>
                <w:color w:val="auto"/>
              </w:rPr>
            </w:pPr>
          </w:p>
        </w:tc>
        <w:tc>
          <w:tcPr>
            <w:tcW w:w="4000" w:type="dxa"/>
            <w:vAlign w:val="bottom"/>
            <w:tcBorders>
              <w:top w:val="single" w:sz="8" w:color="CFF0FC"/>
            </w:tcBorders>
          </w:tcPr>
          <w:p>
            <w:pPr>
              <w:spacing w:after="0"/>
              <w:rPr>
                <w:sz w:val="24"/>
                <w:szCs w:val="24"/>
                <w:color w:val="auto"/>
              </w:rPr>
            </w:pPr>
          </w:p>
        </w:tc>
        <w:tc>
          <w:tcPr>
            <w:tcW w:w="2260" w:type="dxa"/>
            <w:vAlign w:val="bottom"/>
            <w:tcBorders>
              <w:top w:val="single" w:sz="8" w:color="CFF0FC"/>
            </w:tcBorders>
          </w:tcPr>
          <w:p>
            <w:pPr>
              <w:jc w:val="right"/>
              <w:ind w:right="875"/>
              <w:spacing w:after="0"/>
              <w:rPr>
                <w:sz w:val="20"/>
                <w:szCs w:val="20"/>
                <w:color w:val="auto"/>
              </w:rPr>
            </w:pPr>
            <w:r>
              <w:rPr>
                <w:rFonts w:ascii="Arial" w:cs="Arial" w:eastAsia="Arial" w:hAnsi="Arial"/>
                <w:sz w:val="18"/>
                <w:szCs w:val="18"/>
                <w:color w:val="auto"/>
              </w:rPr>
              <w:t>13</w:t>
            </w:r>
          </w:p>
        </w:tc>
        <w:tc>
          <w:tcPr>
            <w:tcW w:w="14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-471170</wp:posOffset>
            </wp:positionV>
            <wp:extent cx="12890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-453390</wp:posOffset>
            </wp:positionV>
            <wp:extent cx="12890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spacing w:after="0"/>
        <w:rPr>
          <w:sz w:val="20"/>
          <w:szCs w:val="20"/>
          <w:color w:val="auto"/>
        </w:rPr>
      </w:pPr>
      <w:r>
        <w:rPr>
          <w:rFonts w:ascii="Arial" w:cs="Arial" w:eastAsia="Arial" w:hAnsi="Arial"/>
          <w:sz w:val="20"/>
          <w:szCs w:val="20"/>
          <w:b w:val="1"/>
          <w:bCs w:val="1"/>
          <w:color w:val="auto"/>
        </w:rPr>
        <w:t>NOTE G – GOODWILL AND OTHER INTANGIBLES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Goodwill</w:t>
      </w:r>
    </w:p>
    <w:p>
      <w:pPr>
        <w:spacing w:after="0" w:line="141" w:lineRule="exact"/>
        <w:rPr>
          <w:sz w:val="20"/>
          <w:szCs w:val="20"/>
          <w:color w:val="auto"/>
        </w:rPr>
      </w:pPr>
    </w:p>
    <w:p>
      <w:pPr>
        <w:jc w:val="both"/>
        <w:ind w:left="340" w:right="20"/>
        <w:spacing w:after="0" w:line="288" w:lineRule="auto"/>
        <w:rPr>
          <w:sz w:val="20"/>
          <w:szCs w:val="20"/>
          <w:color w:val="auto"/>
        </w:rPr>
      </w:pPr>
      <w:r>
        <w:rPr>
          <w:rFonts w:ascii="Arial" w:cs="Arial" w:eastAsia="Arial" w:hAnsi="Arial"/>
          <w:sz w:val="19"/>
          <w:szCs w:val="19"/>
          <w:color w:val="auto"/>
        </w:rPr>
        <w:t>Ashland tests goodwill and other indefinite-lived intangible assets for impairment annually as of July 1 and when events and circumstances indicate an impairment may have occurred. Ashland tests goodwill and other indefinite-lived intangible assets for impairment by comparing the estimated fair value of the reporting units (for goodwill) and other indefinite-lived intangible assets to the related carrying value. If the carrying amount of a reporting unit or other indefinite-lived intangible asset exceeds its estimated fair value, Ashland records an impairment loss based on the difference between fair value and carrying amount, in the case of reporting units, not to exceed to the associated carrying amount of goodwill.</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w:t>
      </w:r>
      <w:r>
        <w:rPr>
          <w:rFonts w:ascii="Arial" w:cs="Arial" w:eastAsia="Arial" w:hAnsi="Arial"/>
          <w:sz w:val="19"/>
          <w:szCs w:val="19"/>
          <w:color w:val="auto"/>
        </w:rPr>
        <w:t>o indicators of impairment were identified in the three and nine months ended June 30, 2021.</w:t>
      </w:r>
    </w:p>
    <w:p>
      <w:pPr>
        <w:spacing w:after="0" w:line="146" w:lineRule="exact"/>
        <w:rPr>
          <w:sz w:val="20"/>
          <w:szCs w:val="20"/>
          <w:color w:val="auto"/>
        </w:rPr>
      </w:pPr>
    </w:p>
    <w:p>
      <w:pPr>
        <w:jc w:val="both"/>
        <w:ind w:left="340"/>
        <w:spacing w:after="0" w:line="272" w:lineRule="auto"/>
        <w:rPr>
          <w:sz w:val="20"/>
          <w:szCs w:val="20"/>
          <w:color w:val="auto"/>
        </w:rPr>
      </w:pPr>
      <w:r>
        <w:rPr>
          <w:rFonts w:ascii="Arial" w:cs="Arial" w:eastAsia="Arial" w:hAnsi="Arial"/>
          <w:sz w:val="20"/>
          <w:szCs w:val="20"/>
          <w:color w:val="auto"/>
        </w:rPr>
        <w:t>Ashland’s assessment of an impairment on any of these assets classified currently as having indefinite lives, including goodwill, could change in future periods if significant events happen and/or circumstances change that effect the previously mentioned assumptions such as: a significant change in projected business results, a divestiture decision, increase in Ashland’s weighted-average cost of capital rates, decrease in growth rates or assumptions, economic deterioration that is more severe or of a longer duration than anticipated, or another significant economic event.</w:t>
      </w:r>
    </w:p>
    <w:p>
      <w:pPr>
        <w:spacing w:after="0" w:line="87" w:lineRule="exact"/>
        <w:rPr>
          <w:sz w:val="20"/>
          <w:szCs w:val="20"/>
          <w:color w:val="auto"/>
        </w:rPr>
      </w:pPr>
    </w:p>
    <w:p>
      <w:pPr>
        <w:jc w:val="both"/>
        <w:ind w:left="340"/>
        <w:spacing w:after="0" w:line="271" w:lineRule="auto"/>
        <w:rPr>
          <w:sz w:val="20"/>
          <w:szCs w:val="20"/>
          <w:color w:val="auto"/>
        </w:rPr>
      </w:pPr>
      <w:r>
        <w:rPr>
          <w:rFonts w:ascii="Arial" w:cs="Arial" w:eastAsia="Arial" w:hAnsi="Arial"/>
          <w:sz w:val="20"/>
          <w:szCs w:val="20"/>
          <w:color w:val="auto"/>
        </w:rPr>
        <w:t>During the second quarter of fiscal 2020, Ashland realigned its operations which resulted in a reassessment of the Company’s reporting units used to evaluate goodwill impairment. The Company’s reporting units align with its reportable segments. Ashland determined that its reporting units are Life Sciences, Personal Care &amp; Household, Specialty Additives, Performance Adhesives, and Intermediates and Solvents. Prior to the business realignment, the reporting units consisted of Ashland Specialty Ingredients and Intermediates and Solvents. The Ashland Specialty Ingredients reporting unit contained all of Ashland’s reported goodwill at September 30, 2019.</w:t>
      </w:r>
    </w:p>
    <w:p>
      <w:pPr>
        <w:spacing w:after="0" w:line="89" w:lineRule="exact"/>
        <w:rPr>
          <w:sz w:val="20"/>
          <w:szCs w:val="20"/>
          <w:color w:val="auto"/>
        </w:rPr>
      </w:pPr>
    </w:p>
    <w:p>
      <w:pPr>
        <w:jc w:val="both"/>
        <w:ind w:left="340" w:right="20"/>
        <w:spacing w:after="0" w:line="309" w:lineRule="auto"/>
        <w:rPr>
          <w:sz w:val="20"/>
          <w:szCs w:val="20"/>
          <w:color w:val="auto"/>
        </w:rPr>
      </w:pPr>
      <w:r>
        <w:rPr>
          <w:rFonts w:ascii="Arial" w:cs="Arial" w:eastAsia="Arial" w:hAnsi="Arial"/>
          <w:sz w:val="18"/>
          <w:szCs w:val="18"/>
          <w:color w:val="auto"/>
        </w:rPr>
        <w:t>In conjunction with the realignment, Ashland tested goodwill for impairment for each reporting unit both immediately before and immediately after the business realignment. The fair values of the reporting units were determined using a combination of discounted cash flow models and valuations based on earnings multiples for guideline public companies in each reporting unit’s industry peer group. Significant assumptions inherent in the valuation methodologies include estimates of future projected business results (principally revenue and EBITDA), long-term growth rates, and the weighted-average cost of capital.</w:t>
      </w:r>
    </w:p>
    <w:p>
      <w:pPr>
        <w:spacing w:after="0" w:line="58" w:lineRule="exact"/>
        <w:rPr>
          <w:sz w:val="20"/>
          <w:szCs w:val="20"/>
          <w:color w:val="auto"/>
        </w:rPr>
      </w:pPr>
    </w:p>
    <w:p>
      <w:pPr>
        <w:jc w:val="both"/>
        <w:ind w:left="340"/>
        <w:spacing w:after="0" w:line="285" w:lineRule="auto"/>
        <w:rPr>
          <w:sz w:val="20"/>
          <w:szCs w:val="20"/>
          <w:color w:val="auto"/>
        </w:rPr>
      </w:pPr>
      <w:r>
        <w:rPr>
          <w:rFonts w:ascii="Arial" w:cs="Arial" w:eastAsia="Arial" w:hAnsi="Arial"/>
          <w:sz w:val="19"/>
          <w:szCs w:val="19"/>
          <w:color w:val="auto"/>
        </w:rPr>
        <w:t>The goodwill impairment test under the former reporting unit structure concluded that no impairment existed at the remeasurement date. Ashland then allocated goodwill to the new reporting unit structure using a relative fair value approach and re-assessed goodwill for impairment for each of its new reporting units. The impairment test under the new reporting unit structure concluded that the carrying value of the Personal Care &amp; Household and the Specialty Additives reporting units exceeded their fair value, resulting in a non-cash goodwill impairment charge of $530 million, which was recorded within the Goodwill impairment caption within the Statement of Consolidated Comprehensive Income (Loss) for the nine months ended June 30, 2020. The Personal Care &amp; Household goodwill impairment charge was due in large part to lower growth and lower margins since the acquisition of the Oral Care and Avoca businesses, which collectively have resulted in reduced cash flow projections. The Specialty Additives goodwill impairment charge was also due in large part to lower growth and lower margins within the global construction and energy markets, which collectively have resulted in reduced cash flow projections.</w:t>
      </w:r>
    </w:p>
    <w:p>
      <w:pPr>
        <w:spacing w:after="0" w:line="31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30" w:right="659" w:bottom="1440" w:gutter="0" w:footer="0" w:header="0"/>
        </w:sectPr>
      </w:pPr>
    </w:p>
    <w:bookmarkStart w:id="14" w:name="page15"/>
    <w:bookmarkEnd w:id="14"/>
    <w:p>
      <w:pPr>
        <w:ind w:left="8"/>
        <w:spacing w:after="0"/>
        <w:rPr>
          <w:sz w:val="20"/>
          <w:szCs w:val="20"/>
          <w:color w:val="auto"/>
        </w:rPr>
      </w:pPr>
      <w:r>
        <w:rPr>
          <w:rFonts w:ascii="Arial" w:cs="Arial" w:eastAsia="Arial" w:hAnsi="Arial"/>
          <w:sz w:val="20"/>
          <w:szCs w:val="20"/>
          <w:color w:val="auto"/>
        </w:rPr>
        <w:t>The following is a progression of goodwill by reportable segment for the nine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104775</wp:posOffset>
            </wp:positionV>
            <wp:extent cx="66262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71" w:lineRule="exact"/>
        <w:rPr>
          <w:sz w:val="20"/>
          <w:szCs w:val="20"/>
          <w:color w:val="auto"/>
        </w:rPr>
      </w:pPr>
    </w:p>
    <w:tbl>
      <w:tblPr>
        <w:tblLayout w:type="fixed"/>
        <w:tblInd w:w="88" w:type="dxa"/>
        <w:tblCellMar>
          <w:top w:w="0" w:type="dxa"/>
          <w:left w:w="0" w:type="dxa"/>
          <w:bottom w:w="0" w:type="dxa"/>
          <w:right w:w="0" w:type="dxa"/>
        </w:tblCellMar>
      </w:tblPr>
      <w:tr>
        <w:trPr>
          <w:trHeight w:val="229"/>
        </w:trPr>
        <w:tc>
          <w:tcPr>
            <w:tcW w:w="2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270"/>
              <w:spacing w:after="0"/>
              <w:rPr>
                <w:sz w:val="20"/>
                <w:szCs w:val="20"/>
                <w:color w:val="auto"/>
              </w:rPr>
            </w:pPr>
            <w:r>
              <w:rPr>
                <w:rFonts w:ascii="Arial" w:cs="Arial" w:eastAsia="Arial" w:hAnsi="Arial"/>
                <w:sz w:val="18"/>
                <w:szCs w:val="18"/>
                <w:color w:val="auto"/>
              </w:rPr>
              <w:t>Life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w w:val="86"/>
              </w:rPr>
              <w:t>Personal Care</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Specialty</w:t>
            </w: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w w:val="97"/>
              </w:rPr>
              <w:t>Performance</w:t>
            </w:r>
          </w:p>
        </w:tc>
        <w:tc>
          <w:tcPr>
            <w:tcW w:w="80" w:type="dxa"/>
            <w:vAlign w:val="bottom"/>
          </w:tcPr>
          <w:p>
            <w:pPr>
              <w:spacing w:after="0"/>
              <w:rPr>
                <w:sz w:val="19"/>
                <w:szCs w:val="19"/>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color w:val="auto"/>
              </w:rPr>
              <w:t>Intermediates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9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5"/>
              </w:rPr>
              <w:t>Sciences</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5"/>
              </w:rPr>
              <w:t>&amp; Household</w:t>
            </w:r>
          </w:p>
        </w:tc>
        <w:tc>
          <w:tcPr>
            <w:tcW w:w="3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color w:val="auto"/>
                <w:w w:val="81"/>
              </w:rPr>
              <w:t>(a)</w:t>
            </w: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 xml:space="preserve">Additives   </w:t>
            </w:r>
            <w:r>
              <w:rPr>
                <w:rFonts w:ascii="Arial" w:cs="Arial" w:eastAsia="Arial" w:hAnsi="Arial"/>
                <w:sz w:val="14"/>
                <w:szCs w:val="14"/>
                <w:color w:val="auto"/>
              </w:rPr>
              <w:t>(a)</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1"/>
              </w:rPr>
              <w:t>Adhesives</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and Solvents</w:t>
            </w:r>
          </w:p>
        </w:tc>
        <w:tc>
          <w:tcPr>
            <w:tcW w:w="3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color w:val="auto"/>
                <w:w w:val="81"/>
              </w:rPr>
              <w:t>(a)</w:t>
            </w: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Total</w:t>
            </w:r>
          </w:p>
        </w:tc>
      </w:tr>
      <w:tr>
        <w:trPr>
          <w:trHeight w:val="243"/>
        </w:trPr>
        <w:tc>
          <w:tcPr>
            <w:tcW w:w="2920" w:type="dxa"/>
            <w:vAlign w:val="bottom"/>
          </w:tcPr>
          <w:p>
            <w:pPr>
              <w:spacing w:after="0"/>
              <w:rPr>
                <w:sz w:val="20"/>
                <w:szCs w:val="20"/>
                <w:color w:val="auto"/>
              </w:rPr>
            </w:pPr>
            <w:r>
              <w:rPr>
                <w:rFonts w:ascii="Arial" w:cs="Arial" w:eastAsia="Arial" w:hAnsi="Arial"/>
                <w:sz w:val="18"/>
                <w:szCs w:val="18"/>
                <w:color w:val="auto"/>
              </w:rPr>
              <w:t>Balance at September 30, 2020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861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444</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453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ind w:left="8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1,758</w:t>
            </w:r>
          </w:p>
        </w:tc>
      </w:tr>
      <w:tr>
        <w:trPr>
          <w:trHeight w:val="263"/>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Acquisitions (b)</w:t>
            </w:r>
          </w:p>
        </w:tc>
        <w:tc>
          <w:tcPr>
            <w:tcW w:w="180" w:type="dxa"/>
            <w:vAlign w:val="bottom"/>
            <w:shd w:val="clear" w:color="auto" w:fill="CFF0FC"/>
          </w:tcPr>
          <w:p>
            <w:pPr>
              <w:spacing w:after="0"/>
              <w:rPr>
                <w:sz w:val="22"/>
                <w:szCs w:val="22"/>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129</w:t>
            </w:r>
          </w:p>
        </w:tc>
        <w:tc>
          <w:tcPr>
            <w:tcW w:w="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60" w:type="dxa"/>
            <w:vAlign w:val="bottom"/>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6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129</w:t>
            </w:r>
          </w:p>
        </w:tc>
      </w:tr>
      <w:tr>
        <w:trPr>
          <w:trHeight w:val="257"/>
        </w:trPr>
        <w:tc>
          <w:tcPr>
            <w:tcW w:w="2920" w:type="dxa"/>
            <w:vAlign w:val="bottom"/>
          </w:tcPr>
          <w:p>
            <w:pPr>
              <w:spacing w:after="0"/>
              <w:rPr>
                <w:sz w:val="20"/>
                <w:szCs w:val="20"/>
                <w:color w:val="auto"/>
              </w:rPr>
            </w:pPr>
            <w:r>
              <w:rPr>
                <w:rFonts w:ascii="Arial" w:cs="Arial" w:eastAsia="Arial" w:hAnsi="Arial"/>
                <w:sz w:val="18"/>
                <w:szCs w:val="18"/>
                <w:color w:val="auto"/>
              </w:rPr>
              <w:t>Currency translation</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2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r>
      <w:tr>
        <w:trPr>
          <w:trHeight w:val="290"/>
        </w:trPr>
        <w:tc>
          <w:tcPr>
            <w:tcW w:w="2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2021</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128</w:t>
            </w:r>
          </w:p>
        </w:tc>
        <w:tc>
          <w:tcPr>
            <w:tcW w:w="2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451</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453</w:t>
            </w:r>
          </w:p>
        </w:tc>
        <w:tc>
          <w:tcPr>
            <w:tcW w:w="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1,901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2494280</wp:posOffset>
            </wp:positionH>
            <wp:positionV relativeFrom="paragraph">
              <wp:posOffset>-25400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2494280</wp:posOffset>
            </wp:positionH>
            <wp:positionV relativeFrom="paragraph">
              <wp:posOffset>-8255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-25400</wp:posOffset>
            </wp:positionV>
            <wp:extent cx="1625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-8255</wp:posOffset>
            </wp:positionV>
            <wp:extent cx="1625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-25400</wp:posOffset>
            </wp:positionV>
            <wp:extent cx="1454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-8255</wp:posOffset>
            </wp:positionV>
            <wp:extent cx="14541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5143500</wp:posOffset>
            </wp:positionH>
            <wp:positionV relativeFrom="paragraph">
              <wp:posOffset>-25400</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5143500</wp:posOffset>
            </wp:positionH>
            <wp:positionV relativeFrom="paragraph">
              <wp:posOffset>-8255</wp:posOffset>
            </wp:positionV>
            <wp:extent cx="603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6009005</wp:posOffset>
            </wp:positionH>
            <wp:positionV relativeFrom="paragraph">
              <wp:posOffset>-25400</wp:posOffset>
            </wp:positionV>
            <wp:extent cx="1460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6009005</wp:posOffset>
            </wp:positionH>
            <wp:positionV relativeFrom="paragraph">
              <wp:posOffset>-8255</wp:posOffset>
            </wp:positionV>
            <wp:extent cx="14605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51435</wp:posOffset>
            </wp:positionH>
            <wp:positionV relativeFrom="paragraph">
              <wp:posOffset>162560</wp:posOffset>
            </wp:positionV>
            <wp:extent cx="66262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353" w:lineRule="exact"/>
        <w:rPr>
          <w:sz w:val="20"/>
          <w:szCs w:val="20"/>
          <w:color w:val="auto"/>
        </w:rPr>
      </w:pPr>
    </w:p>
    <w:p>
      <w:pPr>
        <w:ind w:left="328" w:right="320" w:hanging="328"/>
        <w:spacing w:after="0" w:line="293" w:lineRule="auto"/>
        <w:tabs>
          <w:tab w:leader="none" w:pos="328" w:val="left"/>
        </w:tabs>
        <w:numPr>
          <w:ilvl w:val="0"/>
          <w:numId w:val="9"/>
        </w:numPr>
        <w:rPr>
          <w:rFonts w:ascii="Arial" w:cs="Arial" w:eastAsia="Arial" w:hAnsi="Arial"/>
          <w:sz w:val="14"/>
          <w:szCs w:val="14"/>
          <w:color w:val="auto"/>
        </w:rPr>
      </w:pPr>
      <w:r>
        <w:rPr>
          <w:rFonts w:ascii="Arial" w:cs="Arial" w:eastAsia="Arial" w:hAnsi="Arial"/>
          <w:sz w:val="14"/>
          <w:szCs w:val="14"/>
          <w:color w:val="auto"/>
        </w:rPr>
        <w:t>As of June 30, 2021 and September 30, 2020, there were accumulated impairments of $356 million, $174 million and $90 million related to the Personal Care &amp; Household, Specialty Additives and Intermediates and Solvents reportable segments, respectively.</w:t>
      </w:r>
    </w:p>
    <w:p>
      <w:pPr>
        <w:spacing w:after="0" w:line="65" w:lineRule="exact"/>
        <w:rPr>
          <w:rFonts w:ascii="Arial" w:cs="Arial" w:eastAsia="Arial" w:hAnsi="Arial"/>
          <w:sz w:val="14"/>
          <w:szCs w:val="14"/>
          <w:color w:val="auto"/>
        </w:rPr>
      </w:pPr>
    </w:p>
    <w:p>
      <w:pPr>
        <w:ind w:left="328" w:hanging="328"/>
        <w:spacing w:after="0"/>
        <w:tabs>
          <w:tab w:leader="none" w:pos="328" w:val="left"/>
        </w:tabs>
        <w:numPr>
          <w:ilvl w:val="0"/>
          <w:numId w:val="9"/>
        </w:numPr>
        <w:rPr>
          <w:rFonts w:ascii="Arial" w:cs="Arial" w:eastAsia="Arial" w:hAnsi="Arial"/>
          <w:sz w:val="14"/>
          <w:szCs w:val="14"/>
          <w:color w:val="auto"/>
        </w:rPr>
      </w:pPr>
      <w:r>
        <w:rPr>
          <w:rFonts w:ascii="Arial" w:cs="Arial" w:eastAsia="Arial" w:hAnsi="Arial"/>
          <w:sz w:val="14"/>
          <w:szCs w:val="14"/>
          <w:color w:val="auto"/>
        </w:rPr>
        <w:t>Relates to the acquisition of the Schülke personal care business during the current quarter. See Note B for more information.</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20"/>
          <w:szCs w:val="20"/>
          <w:b w:val="1"/>
          <w:bCs w:val="1"/>
          <w:color w:val="auto"/>
        </w:rPr>
        <w:t>Other intangible assets</w:t>
      </w:r>
    </w:p>
    <w:p>
      <w:pPr>
        <w:spacing w:after="0" w:line="141" w:lineRule="exact"/>
        <w:rPr>
          <w:sz w:val="20"/>
          <w:szCs w:val="20"/>
          <w:color w:val="auto"/>
        </w:rPr>
      </w:pPr>
    </w:p>
    <w:p>
      <w:pPr>
        <w:jc w:val="both"/>
        <w:ind w:left="8"/>
        <w:spacing w:after="0" w:line="274" w:lineRule="auto"/>
        <w:rPr>
          <w:sz w:val="20"/>
          <w:szCs w:val="20"/>
          <w:color w:val="auto"/>
        </w:rPr>
      </w:pPr>
      <w:r>
        <w:rPr>
          <w:rFonts w:ascii="Arial" w:cs="Arial" w:eastAsia="Arial" w:hAnsi="Arial"/>
          <w:sz w:val="20"/>
          <w:szCs w:val="20"/>
          <w:color w:val="auto"/>
        </w:rPr>
        <w:t>Intangible assets principally consist of trademarks and trade names, intellectual property and customer and supplier relationships. Intangible assets classified as finite are amortized on a straight-line basis over their estimated useful lives. The cost of trademarks and trade names is amortized principally over 3 to 25 years, intellectual property over 5 to 25 years, and customer and supplier relationships over 3 to 24 years.</w:t>
      </w:r>
    </w:p>
    <w:p>
      <w:pPr>
        <w:spacing w:after="0" w:line="84" w:lineRule="exact"/>
        <w:rPr>
          <w:sz w:val="20"/>
          <w:szCs w:val="20"/>
          <w:color w:val="auto"/>
        </w:rPr>
      </w:pPr>
    </w:p>
    <w:p>
      <w:pPr>
        <w:jc w:val="both"/>
        <w:ind w:left="8"/>
        <w:spacing w:after="0" w:line="288" w:lineRule="auto"/>
        <w:rPr>
          <w:sz w:val="20"/>
          <w:szCs w:val="20"/>
          <w:color w:val="auto"/>
        </w:rPr>
      </w:pPr>
      <w:r>
        <w:rPr>
          <w:rFonts w:ascii="Arial" w:cs="Arial" w:eastAsia="Arial" w:hAnsi="Arial"/>
          <w:sz w:val="20"/>
          <w:szCs w:val="20"/>
          <w:color w:val="auto"/>
        </w:rPr>
        <w:t>Ashland annually reviews, as of July 1, indefinite-lived intangible assets for possible impairment or whenever events or changes in circumstances indicate that carrying amounts may not be recoverable.</w:t>
      </w:r>
    </w:p>
    <w:p>
      <w:pPr>
        <w:spacing w:after="0" w:line="69" w:lineRule="exact"/>
        <w:rPr>
          <w:sz w:val="20"/>
          <w:szCs w:val="20"/>
          <w:color w:val="auto"/>
        </w:rPr>
      </w:pPr>
    </w:p>
    <w:p>
      <w:pPr>
        <w:jc w:val="both"/>
        <w:ind w:left="8"/>
        <w:spacing w:after="0" w:line="288" w:lineRule="auto"/>
        <w:rPr>
          <w:sz w:val="20"/>
          <w:szCs w:val="20"/>
          <w:color w:val="auto"/>
        </w:rPr>
      </w:pPr>
      <w:r>
        <w:rPr>
          <w:rFonts w:ascii="Arial" w:cs="Arial" w:eastAsia="Arial" w:hAnsi="Arial"/>
          <w:sz w:val="20"/>
          <w:szCs w:val="20"/>
          <w:color w:val="auto"/>
        </w:rPr>
        <w:t>Trademarks and trade names are valued using a “relief-from-royalty” valuation method compared to the carrying value. No indicators of impairment were identified in the three and nine months ended June 30, 2021.</w:t>
      </w:r>
    </w:p>
    <w:p>
      <w:pPr>
        <w:spacing w:after="0" w:line="69" w:lineRule="exact"/>
        <w:rPr>
          <w:sz w:val="20"/>
          <w:szCs w:val="20"/>
          <w:color w:val="auto"/>
        </w:rPr>
      </w:pPr>
    </w:p>
    <w:p>
      <w:pPr>
        <w:jc w:val="both"/>
        <w:ind w:left="8"/>
        <w:spacing w:after="0" w:line="288" w:lineRule="auto"/>
        <w:rPr>
          <w:sz w:val="20"/>
          <w:szCs w:val="20"/>
          <w:color w:val="auto"/>
        </w:rPr>
      </w:pPr>
      <w:r>
        <w:rPr>
          <w:rFonts w:ascii="Arial" w:cs="Arial" w:eastAsia="Arial" w:hAnsi="Arial"/>
          <w:sz w:val="20"/>
          <w:szCs w:val="20"/>
          <w:color w:val="auto"/>
        </w:rPr>
        <w:t>As a result of the business realignment executed during the second quarter of fiscal 2020, Ashland tested its indefinite-lived tangible assets for impairment and found no indicators of impairment.</w:t>
      </w:r>
    </w:p>
    <w:p>
      <w:pPr>
        <w:spacing w:after="0" w:line="69" w:lineRule="exact"/>
        <w:rPr>
          <w:sz w:val="20"/>
          <w:szCs w:val="20"/>
          <w:color w:val="auto"/>
        </w:rPr>
      </w:pPr>
    </w:p>
    <w:p>
      <w:pPr>
        <w:ind w:left="8"/>
        <w:spacing w:after="0"/>
        <w:rPr>
          <w:sz w:val="20"/>
          <w:szCs w:val="20"/>
          <w:color w:val="auto"/>
        </w:rPr>
      </w:pPr>
      <w:r>
        <w:rPr>
          <w:rFonts w:ascii="Arial" w:cs="Arial" w:eastAsia="Arial" w:hAnsi="Arial"/>
          <w:sz w:val="20"/>
          <w:szCs w:val="20"/>
          <w:color w:val="auto"/>
        </w:rPr>
        <w:t>Intangible assets were comprised of the following as of June 30, 2021 and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104775</wp:posOffset>
            </wp:positionV>
            <wp:extent cx="66262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71" w:lineRule="exact"/>
        <w:rPr>
          <w:sz w:val="20"/>
          <w:szCs w:val="20"/>
          <w:color w:val="auto"/>
        </w:rPr>
      </w:pPr>
    </w:p>
    <w:tbl>
      <w:tblPr>
        <w:tblLayout w:type="fixed"/>
        <w:tblInd w:w="88"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June 30, 2021</w:t>
            </w:r>
          </w:p>
        </w:tc>
        <w:tc>
          <w:tcPr>
            <w:tcW w:w="4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37"/>
        </w:trPr>
        <w:tc>
          <w:tcPr>
            <w:tcW w:w="4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center"/>
              <w:ind w:right="230"/>
              <w:spacing w:after="0"/>
              <w:rPr>
                <w:sz w:val="20"/>
                <w:szCs w:val="20"/>
                <w:color w:val="auto"/>
              </w:rPr>
            </w:pPr>
            <w:r>
              <w:rPr>
                <w:rFonts w:ascii="Arial" w:cs="Arial" w:eastAsia="Arial" w:hAnsi="Arial"/>
                <w:sz w:val="18"/>
                <w:szCs w:val="18"/>
                <w:color w:val="auto"/>
                <w:w w:val="87"/>
              </w:rPr>
              <w:t>Gross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center"/>
              <w:ind w:right="290"/>
              <w:spacing w:after="0"/>
              <w:rPr>
                <w:sz w:val="20"/>
                <w:szCs w:val="20"/>
                <w:color w:val="auto"/>
              </w:rPr>
            </w:pPr>
            <w:r>
              <w:rPr>
                <w:rFonts w:ascii="Arial" w:cs="Arial" w:eastAsia="Arial" w:hAnsi="Arial"/>
                <w:sz w:val="18"/>
                <w:szCs w:val="18"/>
                <w:color w:val="auto"/>
                <w:w w:val="92"/>
              </w:rPr>
              <w:t>Net</w:t>
            </w:r>
          </w:p>
        </w:tc>
      </w:tr>
      <w:tr>
        <w:trPr>
          <w:trHeight w:val="257"/>
        </w:trPr>
        <w:tc>
          <w:tcPr>
            <w:tcW w:w="4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center"/>
              <w:ind w:right="210"/>
              <w:spacing w:after="0"/>
              <w:rPr>
                <w:sz w:val="20"/>
                <w:szCs w:val="20"/>
                <w:color w:val="auto"/>
              </w:rPr>
            </w:pPr>
            <w:r>
              <w:rPr>
                <w:rFonts w:ascii="Arial" w:cs="Arial" w:eastAsia="Arial" w:hAnsi="Arial"/>
                <w:sz w:val="18"/>
                <w:szCs w:val="18"/>
                <w:color w:val="auto"/>
                <w:w w:val="93"/>
              </w:rPr>
              <w:t>carrying</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20" w:type="dxa"/>
            <w:vAlign w:val="bottom"/>
          </w:tcPr>
          <w:p>
            <w:pPr>
              <w:jc w:val="right"/>
              <w:ind w:right="550"/>
              <w:spacing w:after="0"/>
              <w:rPr>
                <w:sz w:val="20"/>
                <w:szCs w:val="20"/>
                <w:color w:val="auto"/>
              </w:rPr>
            </w:pPr>
            <w:r>
              <w:rPr>
                <w:rFonts w:ascii="Arial" w:cs="Arial" w:eastAsia="Arial" w:hAnsi="Arial"/>
                <w:sz w:val="18"/>
                <w:szCs w:val="18"/>
                <w:color w:val="auto"/>
              </w:rPr>
              <w:t>Accumulated</w:t>
            </w: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jc w:val="center"/>
              <w:ind w:right="270"/>
              <w:spacing w:after="0"/>
              <w:rPr>
                <w:sz w:val="20"/>
                <w:szCs w:val="20"/>
                <w:color w:val="auto"/>
              </w:rPr>
            </w:pPr>
            <w:r>
              <w:rPr>
                <w:rFonts w:ascii="Arial" w:cs="Arial" w:eastAsia="Arial" w:hAnsi="Arial"/>
                <w:sz w:val="18"/>
                <w:szCs w:val="18"/>
                <w:color w:val="auto"/>
                <w:w w:val="93"/>
              </w:rPr>
              <w:t>carrying</w:t>
            </w:r>
          </w:p>
        </w:tc>
      </w:tr>
      <w:tr>
        <w:trPr>
          <w:trHeight w:val="263"/>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2"/>
              </w:rPr>
              <w:t xml:space="preserve">amount </w:t>
            </w:r>
            <w:r>
              <w:rPr>
                <w:rFonts w:ascii="Arial" w:cs="Arial" w:eastAsia="Arial" w:hAnsi="Arial"/>
                <w:sz w:val="14"/>
                <w:szCs w:val="14"/>
                <w:color w:val="auto"/>
                <w:w w:val="92"/>
              </w:rPr>
              <w:t>(a)</w:t>
            </w:r>
          </w:p>
        </w:tc>
        <w:tc>
          <w:tcPr>
            <w:tcW w:w="1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amortization</w:t>
            </w:r>
          </w:p>
        </w:tc>
        <w:tc>
          <w:tcPr>
            <w:tcW w:w="4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color w:val="auto"/>
                <w:w w:val="89"/>
              </w:rPr>
              <w:t>amount</w:t>
            </w:r>
          </w:p>
        </w:tc>
      </w:tr>
      <w:tr>
        <w:trPr>
          <w:trHeight w:val="256"/>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Definite-lived intangibles</w:t>
            </w:r>
          </w:p>
        </w:tc>
        <w:tc>
          <w:tcPr>
            <w:tcW w:w="18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8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r>
      <w:tr>
        <w:trPr>
          <w:trHeight w:val="250"/>
        </w:trPr>
        <w:tc>
          <w:tcPr>
            <w:tcW w:w="4700" w:type="dxa"/>
            <w:vAlign w:val="bottom"/>
          </w:tcPr>
          <w:p>
            <w:pPr>
              <w:ind w:left="120"/>
              <w:spacing w:after="0"/>
              <w:rPr>
                <w:sz w:val="20"/>
                <w:szCs w:val="20"/>
                <w:color w:val="auto"/>
              </w:rPr>
            </w:pPr>
            <w:r>
              <w:rPr>
                <w:rFonts w:ascii="Arial" w:cs="Arial" w:eastAsia="Arial" w:hAnsi="Arial"/>
                <w:sz w:val="18"/>
                <w:szCs w:val="18"/>
                <w:color w:val="auto"/>
              </w:rPr>
              <w:t>Trademarks and trade names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107</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(35 )</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72</w:t>
            </w:r>
          </w:p>
        </w:tc>
      </w:tr>
      <w:tr>
        <w:trPr>
          <w:trHeight w:val="263"/>
        </w:trPr>
        <w:tc>
          <w:tcPr>
            <w:tcW w:w="47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Intellectual property</w:t>
            </w:r>
          </w:p>
        </w:tc>
        <w:tc>
          <w:tcPr>
            <w:tcW w:w="180" w:type="dxa"/>
            <w:vAlign w:val="bottom"/>
            <w:shd w:val="clear" w:color="auto" w:fill="CFF0FC"/>
          </w:tcPr>
          <w:p>
            <w:pPr>
              <w:spacing w:after="0"/>
              <w:rPr>
                <w:sz w:val="22"/>
                <w:szCs w:val="22"/>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742</w:t>
            </w:r>
          </w:p>
        </w:tc>
        <w:tc>
          <w:tcPr>
            <w:tcW w:w="1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(480 )</w:t>
            </w:r>
          </w:p>
        </w:tc>
        <w:tc>
          <w:tcPr>
            <w:tcW w:w="4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262</w:t>
            </w:r>
          </w:p>
        </w:tc>
      </w:tr>
      <w:tr>
        <w:trPr>
          <w:trHeight w:val="257"/>
        </w:trPr>
        <w:tc>
          <w:tcPr>
            <w:tcW w:w="4700" w:type="dxa"/>
            <w:vAlign w:val="bottom"/>
          </w:tcPr>
          <w:p>
            <w:pPr>
              <w:ind w:left="120"/>
              <w:spacing w:after="0"/>
              <w:rPr>
                <w:sz w:val="20"/>
                <w:szCs w:val="20"/>
                <w:color w:val="auto"/>
              </w:rPr>
            </w:pPr>
            <w:r>
              <w:rPr>
                <w:rFonts w:ascii="Arial" w:cs="Arial" w:eastAsia="Arial" w:hAnsi="Arial"/>
                <w:sz w:val="18"/>
                <w:szCs w:val="18"/>
                <w:color w:val="auto"/>
              </w:rPr>
              <w:t>Customer and supplier relationships</w:t>
            </w: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887</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(366 )</w:t>
            </w:r>
          </w:p>
        </w:tc>
        <w:tc>
          <w:tcPr>
            <w:tcW w:w="4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521</w:t>
            </w:r>
          </w:p>
        </w:tc>
      </w:tr>
      <w:tr>
        <w:trPr>
          <w:trHeight w:val="250"/>
        </w:trPr>
        <w:tc>
          <w:tcPr>
            <w:tcW w:w="4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definite-lived intangibles</w:t>
            </w:r>
          </w:p>
        </w:tc>
        <w:tc>
          <w:tcPr>
            <w:tcW w:w="18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1,736</w:t>
            </w: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(881 )</w:t>
            </w:r>
          </w:p>
        </w:tc>
        <w:tc>
          <w:tcPr>
            <w:tcW w:w="4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855</w:t>
            </w:r>
          </w:p>
        </w:tc>
      </w:tr>
      <w:tr>
        <w:trPr>
          <w:trHeight w:val="250"/>
        </w:trPr>
        <w:tc>
          <w:tcPr>
            <w:tcW w:w="4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6"/>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Indefinite-lived intangibles</w:t>
            </w:r>
          </w:p>
        </w:tc>
        <w:tc>
          <w:tcPr>
            <w:tcW w:w="18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8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r>
      <w:tr>
        <w:trPr>
          <w:trHeight w:val="257"/>
        </w:trPr>
        <w:tc>
          <w:tcPr>
            <w:tcW w:w="4700" w:type="dxa"/>
            <w:vAlign w:val="bottom"/>
          </w:tcPr>
          <w:p>
            <w:pPr>
              <w:ind w:left="120"/>
              <w:spacing w:after="0"/>
              <w:rPr>
                <w:sz w:val="20"/>
                <w:szCs w:val="20"/>
                <w:color w:val="auto"/>
              </w:rPr>
            </w:pPr>
            <w:r>
              <w:rPr>
                <w:rFonts w:ascii="Arial" w:cs="Arial" w:eastAsia="Arial" w:hAnsi="Arial"/>
                <w:sz w:val="18"/>
                <w:szCs w:val="18"/>
                <w:color w:val="auto"/>
              </w:rPr>
              <w:t>Trademarks and trade names</w:t>
            </w: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278</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278</w:t>
            </w:r>
          </w:p>
        </w:tc>
      </w:tr>
      <w:tr>
        <w:trPr>
          <w:trHeight w:val="27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2,014</w:t>
            </w: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(881 )</w:t>
            </w: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1,133</w:t>
            </w: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8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3960495</wp:posOffset>
            </wp:positionH>
            <wp:positionV relativeFrom="paragraph">
              <wp:posOffset>-690880</wp:posOffset>
            </wp:positionV>
            <wp:extent cx="10287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5417820</wp:posOffset>
            </wp:positionH>
            <wp:positionV relativeFrom="paragraph">
              <wp:posOffset>-690880</wp:posOffset>
            </wp:positionV>
            <wp:extent cx="248285"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48285" cy="5715"/>
                    </a:xfrm>
                    <a:prstGeom prst="rect">
                      <a:avLst/>
                    </a:prstGeom>
                    <a:noFill/>
                  </pic:spPr>
                </pic:pic>
              </a:graphicData>
            </a:graphic>
          </wp:anchor>
        </w:drawing>
        <w:drawing>
          <wp:anchor simplePos="0" relativeHeight="251657728" behindDoc="1" locked="0" layoutInCell="0" allowOverlap="1">
            <wp:simplePos x="0" y="0"/>
            <wp:positionH relativeFrom="column">
              <wp:posOffset>3960495</wp:posOffset>
            </wp:positionH>
            <wp:positionV relativeFrom="paragraph">
              <wp:posOffset>-24765</wp:posOffset>
            </wp:positionV>
            <wp:extent cx="1028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3960495</wp:posOffset>
            </wp:positionH>
            <wp:positionV relativeFrom="paragraph">
              <wp:posOffset>-8255</wp:posOffset>
            </wp:positionV>
            <wp:extent cx="1028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5417820</wp:posOffset>
            </wp:positionH>
            <wp:positionV relativeFrom="paragraph">
              <wp:posOffset>-24765</wp:posOffset>
            </wp:positionV>
            <wp:extent cx="24828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5417820</wp:posOffset>
            </wp:positionH>
            <wp:positionV relativeFrom="paragraph">
              <wp:posOffset>-8255</wp:posOffset>
            </wp:positionV>
            <wp:extent cx="24828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48285" cy="8890"/>
                    </a:xfrm>
                    <a:prstGeom prst="rect">
                      <a:avLst/>
                    </a:prstGeom>
                    <a:noFill/>
                  </pic:spPr>
                </pic:pic>
              </a:graphicData>
            </a:graphic>
          </wp:anchor>
        </w:drawing>
      </w:r>
    </w:p>
    <w:p>
      <w:pPr>
        <w:spacing w:after="0" w:line="83" w:lineRule="exact"/>
        <w:rPr>
          <w:sz w:val="20"/>
          <w:szCs w:val="20"/>
          <w:color w:val="auto"/>
        </w:rPr>
      </w:pPr>
    </w:p>
    <w:p>
      <w:pPr>
        <w:ind w:left="328" w:hanging="328"/>
        <w:spacing w:after="0"/>
        <w:tabs>
          <w:tab w:leader="none" w:pos="328"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an addition of $185 million of intangibles from the Schülke personal care business acquisition. See note B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98425</wp:posOffset>
            </wp:positionV>
            <wp:extent cx="66262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161" w:lineRule="exact"/>
        <w:rPr>
          <w:sz w:val="20"/>
          <w:szCs w:val="20"/>
          <w:color w:val="auto"/>
        </w:rPr>
      </w:pPr>
    </w:p>
    <w:tbl>
      <w:tblPr>
        <w:tblLayout w:type="fixed"/>
        <w:tblInd w:w="88"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8"/>
              </w:rPr>
              <w:t>September 30, 2020</w:t>
            </w:r>
          </w:p>
        </w:tc>
        <w:tc>
          <w:tcPr>
            <w:tcW w:w="4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37"/>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center"/>
              <w:ind w:right="270"/>
              <w:spacing w:after="0"/>
              <w:rPr>
                <w:sz w:val="20"/>
                <w:szCs w:val="20"/>
                <w:color w:val="auto"/>
              </w:rPr>
            </w:pPr>
            <w:r>
              <w:rPr>
                <w:rFonts w:ascii="Arial" w:cs="Arial" w:eastAsia="Arial" w:hAnsi="Arial"/>
                <w:sz w:val="18"/>
                <w:szCs w:val="18"/>
                <w:color w:val="auto"/>
                <w:w w:val="87"/>
              </w:rPr>
              <w:t>Gross</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center"/>
              <w:ind w:right="290"/>
              <w:spacing w:after="0"/>
              <w:rPr>
                <w:sz w:val="20"/>
                <w:szCs w:val="20"/>
                <w:color w:val="auto"/>
              </w:rPr>
            </w:pPr>
            <w:r>
              <w:rPr>
                <w:rFonts w:ascii="Arial" w:cs="Arial" w:eastAsia="Arial" w:hAnsi="Arial"/>
                <w:sz w:val="18"/>
                <w:szCs w:val="18"/>
                <w:color w:val="auto"/>
                <w:w w:val="92"/>
              </w:rPr>
              <w:t>Net</w:t>
            </w:r>
          </w:p>
        </w:tc>
      </w:tr>
      <w:tr>
        <w:trPr>
          <w:trHeight w:val="256"/>
        </w:trPr>
        <w:tc>
          <w:tcPr>
            <w:tcW w:w="4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jc w:val="center"/>
              <w:ind w:right="250"/>
              <w:spacing w:after="0"/>
              <w:rPr>
                <w:sz w:val="20"/>
                <w:szCs w:val="20"/>
                <w:color w:val="auto"/>
              </w:rPr>
            </w:pPr>
            <w:r>
              <w:rPr>
                <w:rFonts w:ascii="Arial" w:cs="Arial" w:eastAsia="Arial" w:hAnsi="Arial"/>
                <w:sz w:val="18"/>
                <w:szCs w:val="18"/>
                <w:color w:val="auto"/>
                <w:w w:val="93"/>
              </w:rPr>
              <w:t>carrying</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40" w:type="dxa"/>
            <w:vAlign w:val="bottom"/>
          </w:tcPr>
          <w:p>
            <w:pPr>
              <w:jc w:val="right"/>
              <w:ind w:right="550"/>
              <w:spacing w:after="0"/>
              <w:rPr>
                <w:sz w:val="20"/>
                <w:szCs w:val="20"/>
                <w:color w:val="auto"/>
              </w:rPr>
            </w:pPr>
            <w:r>
              <w:rPr>
                <w:rFonts w:ascii="Arial" w:cs="Arial" w:eastAsia="Arial" w:hAnsi="Arial"/>
                <w:sz w:val="18"/>
                <w:szCs w:val="18"/>
                <w:color w:val="auto"/>
              </w:rPr>
              <w:t>Accumulated</w:t>
            </w: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jc w:val="center"/>
              <w:ind w:right="270"/>
              <w:spacing w:after="0"/>
              <w:rPr>
                <w:sz w:val="20"/>
                <w:szCs w:val="20"/>
                <w:color w:val="auto"/>
              </w:rPr>
            </w:pPr>
            <w:r>
              <w:rPr>
                <w:rFonts w:ascii="Arial" w:cs="Arial" w:eastAsia="Arial" w:hAnsi="Arial"/>
                <w:sz w:val="18"/>
                <w:szCs w:val="18"/>
                <w:color w:val="auto"/>
                <w:w w:val="93"/>
              </w:rPr>
              <w:t>carrying</w:t>
            </w:r>
          </w:p>
        </w:tc>
      </w:tr>
      <w:tr>
        <w:trPr>
          <w:trHeight w:val="263"/>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89"/>
              </w:rPr>
              <w:t>amount</w:t>
            </w:r>
          </w:p>
        </w:tc>
        <w:tc>
          <w:tcPr>
            <w:tcW w:w="1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amortization</w:t>
            </w:r>
          </w:p>
        </w:tc>
        <w:tc>
          <w:tcPr>
            <w:tcW w:w="4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color w:val="auto"/>
                <w:w w:val="89"/>
              </w:rPr>
              <w:t>amount</w:t>
            </w:r>
          </w:p>
        </w:tc>
      </w:tr>
      <w:tr>
        <w:trPr>
          <w:trHeight w:val="257"/>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Definite-lived intangibles</w:t>
            </w:r>
          </w:p>
        </w:tc>
        <w:tc>
          <w:tcPr>
            <w:tcW w:w="22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84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r>
      <w:tr>
        <w:trPr>
          <w:trHeight w:val="250"/>
        </w:trPr>
        <w:tc>
          <w:tcPr>
            <w:tcW w:w="4700" w:type="dxa"/>
            <w:vAlign w:val="bottom"/>
          </w:tcPr>
          <w:p>
            <w:pPr>
              <w:ind w:left="120"/>
              <w:spacing w:after="0"/>
              <w:rPr>
                <w:sz w:val="20"/>
                <w:szCs w:val="20"/>
                <w:color w:val="auto"/>
              </w:rPr>
            </w:pPr>
            <w:r>
              <w:rPr>
                <w:rFonts w:ascii="Arial" w:cs="Arial" w:eastAsia="Arial" w:hAnsi="Arial"/>
                <w:sz w:val="18"/>
                <w:szCs w:val="18"/>
                <w:color w:val="auto"/>
              </w:rPr>
              <w:t>Trademarks and trade names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(32 )</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63"/>
        </w:trPr>
        <w:tc>
          <w:tcPr>
            <w:tcW w:w="47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Intellectual property</w:t>
            </w:r>
          </w:p>
        </w:tc>
        <w:tc>
          <w:tcPr>
            <w:tcW w:w="22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721</w:t>
            </w:r>
          </w:p>
        </w:tc>
        <w:tc>
          <w:tcPr>
            <w:tcW w:w="1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(442 )</w:t>
            </w:r>
          </w:p>
        </w:tc>
        <w:tc>
          <w:tcPr>
            <w:tcW w:w="4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279</w:t>
            </w:r>
          </w:p>
        </w:tc>
      </w:tr>
      <w:tr>
        <w:trPr>
          <w:trHeight w:val="256"/>
        </w:trPr>
        <w:tc>
          <w:tcPr>
            <w:tcW w:w="4700" w:type="dxa"/>
            <w:vAlign w:val="bottom"/>
          </w:tcPr>
          <w:p>
            <w:pPr>
              <w:ind w:left="120"/>
              <w:spacing w:after="0"/>
              <w:rPr>
                <w:sz w:val="20"/>
                <w:szCs w:val="20"/>
                <w:color w:val="auto"/>
              </w:rPr>
            </w:pPr>
            <w:r>
              <w:rPr>
                <w:rFonts w:ascii="Arial" w:cs="Arial" w:eastAsia="Arial" w:hAnsi="Arial"/>
                <w:sz w:val="18"/>
                <w:szCs w:val="18"/>
                <w:color w:val="auto"/>
              </w:rPr>
              <w:t>Customer and supplier relationships</w:t>
            </w: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757</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(335 )</w:t>
            </w:r>
          </w:p>
        </w:tc>
        <w:tc>
          <w:tcPr>
            <w:tcW w:w="4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422</w:t>
            </w:r>
          </w:p>
        </w:tc>
      </w:tr>
      <w:tr>
        <w:trPr>
          <w:trHeight w:val="250"/>
        </w:trPr>
        <w:tc>
          <w:tcPr>
            <w:tcW w:w="4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definite-lived intangibles</w:t>
            </w:r>
          </w:p>
        </w:tc>
        <w:tc>
          <w:tcPr>
            <w:tcW w:w="2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1,544</w:t>
            </w:r>
          </w:p>
        </w:tc>
        <w:tc>
          <w:tcPr>
            <w:tcW w:w="1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(809 )</w:t>
            </w:r>
          </w:p>
        </w:tc>
        <w:tc>
          <w:tcPr>
            <w:tcW w:w="4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735</w:t>
            </w: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6"/>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Indefinite-lived intangibles</w:t>
            </w:r>
          </w:p>
        </w:tc>
        <w:tc>
          <w:tcPr>
            <w:tcW w:w="22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84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r>
      <w:tr>
        <w:trPr>
          <w:trHeight w:val="256"/>
        </w:trPr>
        <w:tc>
          <w:tcPr>
            <w:tcW w:w="4700" w:type="dxa"/>
            <w:vAlign w:val="bottom"/>
          </w:tcPr>
          <w:p>
            <w:pPr>
              <w:ind w:left="120"/>
              <w:spacing w:after="0"/>
              <w:rPr>
                <w:sz w:val="20"/>
                <w:szCs w:val="20"/>
                <w:color w:val="auto"/>
              </w:rPr>
            </w:pPr>
            <w:r>
              <w:rPr>
                <w:rFonts w:ascii="Arial" w:cs="Arial" w:eastAsia="Arial" w:hAnsi="Arial"/>
                <w:sz w:val="18"/>
                <w:szCs w:val="18"/>
                <w:color w:val="auto"/>
              </w:rPr>
              <w:t>Trademarks and trade names</w:t>
            </w: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278</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278</w:t>
            </w:r>
          </w:p>
        </w:tc>
      </w:tr>
      <w:tr>
        <w:trPr>
          <w:trHeight w:val="27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1,822</w:t>
            </w: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(809 )</w:t>
            </w: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1,013</w:t>
            </w: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8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3960495</wp:posOffset>
            </wp:positionH>
            <wp:positionV relativeFrom="paragraph">
              <wp:posOffset>-690880</wp:posOffset>
            </wp:positionV>
            <wp:extent cx="10287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5417820</wp:posOffset>
            </wp:positionH>
            <wp:positionV relativeFrom="paragraph">
              <wp:posOffset>-690880</wp:posOffset>
            </wp:positionV>
            <wp:extent cx="248285"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48285" cy="5715"/>
                    </a:xfrm>
                    <a:prstGeom prst="rect">
                      <a:avLst/>
                    </a:prstGeom>
                    <a:noFill/>
                  </pic:spPr>
                </pic:pic>
              </a:graphicData>
            </a:graphic>
          </wp:anchor>
        </w:drawing>
        <w:drawing>
          <wp:anchor simplePos="0" relativeHeight="251657728" behindDoc="1" locked="0" layoutInCell="0" allowOverlap="1">
            <wp:simplePos x="0" y="0"/>
            <wp:positionH relativeFrom="column">
              <wp:posOffset>3960495</wp:posOffset>
            </wp:positionH>
            <wp:positionV relativeFrom="paragraph">
              <wp:posOffset>-24765</wp:posOffset>
            </wp:positionV>
            <wp:extent cx="1028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3960495</wp:posOffset>
            </wp:positionH>
            <wp:positionV relativeFrom="paragraph">
              <wp:posOffset>-8255</wp:posOffset>
            </wp:positionV>
            <wp:extent cx="1028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5417820</wp:posOffset>
            </wp:positionH>
            <wp:positionV relativeFrom="paragraph">
              <wp:posOffset>-24765</wp:posOffset>
            </wp:positionV>
            <wp:extent cx="24828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48285" cy="8890"/>
                    </a:xfrm>
                    <a:prstGeom prst="rect">
                      <a:avLst/>
                    </a:prstGeom>
                    <a:noFill/>
                  </pic:spPr>
                </pic:pic>
              </a:graphicData>
            </a:graphic>
          </wp:anchor>
        </w:drawing>
        <w:drawing>
          <wp:anchor simplePos="0" relativeHeight="251657728" behindDoc="1" locked="0" layoutInCell="0" allowOverlap="1">
            <wp:simplePos x="0" y="0"/>
            <wp:positionH relativeFrom="column">
              <wp:posOffset>5417820</wp:posOffset>
            </wp:positionH>
            <wp:positionV relativeFrom="paragraph">
              <wp:posOffset>-8255</wp:posOffset>
            </wp:positionV>
            <wp:extent cx="24828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48285" cy="8890"/>
                    </a:xfrm>
                    <a:prstGeom prst="rect">
                      <a:avLst/>
                    </a:prstGeom>
                    <a:noFill/>
                  </pic:spPr>
                </pic:pic>
              </a:graphicData>
            </a:graphic>
          </wp:anchor>
        </w:drawing>
      </w:r>
    </w:p>
    <w:p>
      <w:pPr>
        <w:sectPr>
          <w:pgSz w:w="11900" w:h="16838" w:orient="portrait"/>
          <w:cols w:equalWidth="0" w:num="1">
            <w:col w:w="10588"/>
          </w:cols>
          <w:pgMar w:left="652" w:top="136" w:right="659" w:bottom="1440" w:gutter="0" w:footer="0" w:header="0"/>
        </w:sectPr>
      </w:pPr>
    </w:p>
    <w:p>
      <w:pPr>
        <w:spacing w:after="0" w:line="337" w:lineRule="exact"/>
        <w:rPr>
          <w:sz w:val="20"/>
          <w:szCs w:val="20"/>
          <w:color w:val="auto"/>
        </w:rPr>
      </w:pPr>
    </w:p>
    <w:p>
      <w:pPr>
        <w:jc w:val="center"/>
        <w:ind w:right="-7"/>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76835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8"/>
          </w:cols>
          <w:pgMar w:left="652" w:top="136" w:right="659" w:bottom="1440" w:gutter="0" w:footer="0" w:header="0"/>
          <w:type w:val="continuous"/>
        </w:sectPr>
      </w:pPr>
    </w:p>
    <w:bookmarkStart w:id="15" w:name="page16"/>
    <w:bookmarkEnd w:id="15"/>
    <w:p>
      <w:pPr>
        <w:jc w:val="both"/>
        <w:ind w:left="340"/>
        <w:spacing w:after="0" w:line="287" w:lineRule="auto"/>
        <w:rPr>
          <w:sz w:val="20"/>
          <w:szCs w:val="20"/>
          <w:color w:val="auto"/>
        </w:rPr>
      </w:pPr>
      <w:r>
        <w:rPr>
          <w:rFonts w:ascii="Arial" w:cs="Arial" w:eastAsia="Arial" w:hAnsi="Arial"/>
          <w:sz w:val="19"/>
          <w:szCs w:val="19"/>
          <w:color w:val="auto"/>
        </w:rPr>
        <w:t>Amortization expense recognized on intangible assets was $24 million and $21 million for the three months ended June 30, 2021 and 2020, respectively, and $66 million and $63 million for the nine months ended June 30, 2021 and 2020, respectively, and is included in the Intangibles Amortization Expense caption of the Statements of Consolidated Comprehensive Income (Loss). Estimated amortization expense for future periods is $99 million in 2021 (includes nine months actual and three months estimated), $98 million in 2022, $98 million in 2023, $82 million in 2024 and $79 million in 2025. Actual amounts may change from such estimated amounts due to fluctuations in foreign currency exchange rates, additional intangible asset acquisitions and divestitures, potential impairment, accelerated amortization, or other events.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H – DEBT AND OTHER FINANCING ACTIVITIES</w:t>
      </w:r>
    </w:p>
    <w:p>
      <w:pPr>
        <w:spacing w:after="0" w:line="141" w:lineRule="exact"/>
        <w:rPr>
          <w:sz w:val="20"/>
          <w:szCs w:val="20"/>
          <w:color w:val="auto"/>
        </w:rPr>
      </w:pPr>
    </w:p>
    <w:p>
      <w:pPr>
        <w:jc w:val="both"/>
        <w:ind w:left="340"/>
        <w:spacing w:after="0" w:line="288" w:lineRule="auto"/>
        <w:rPr>
          <w:sz w:val="20"/>
          <w:szCs w:val="20"/>
          <w:color w:val="auto"/>
        </w:rPr>
      </w:pPr>
      <w:r>
        <w:rPr>
          <w:rFonts w:ascii="Arial" w:cs="Arial" w:eastAsia="Arial" w:hAnsi="Arial"/>
          <w:sz w:val="20"/>
          <w:szCs w:val="20"/>
          <w:color w:val="auto"/>
        </w:rPr>
        <w:t>The following table summarizes Ashland’s current and long-term debt as of the dates reported in the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62865</wp:posOffset>
            </wp:positionV>
            <wp:extent cx="66262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06"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6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June 30, 2021</w:t>
            </w: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September 30, 2020</w:t>
            </w:r>
          </w:p>
        </w:tc>
      </w:tr>
      <w:tr>
        <w:trPr>
          <w:trHeight w:val="250"/>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4.750% notes, due 2022</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411</w:t>
            </w: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411</w:t>
            </w:r>
          </w:p>
        </w:tc>
      </w:tr>
      <w:tr>
        <w:trPr>
          <w:trHeight w:val="250"/>
        </w:trPr>
        <w:tc>
          <w:tcPr>
            <w:tcW w:w="6260" w:type="dxa"/>
            <w:vAlign w:val="bottom"/>
          </w:tcPr>
          <w:p>
            <w:pPr>
              <w:spacing w:after="0"/>
              <w:rPr>
                <w:sz w:val="20"/>
                <w:szCs w:val="20"/>
                <w:color w:val="auto"/>
              </w:rPr>
            </w:pPr>
            <w:r>
              <w:rPr>
                <w:rFonts w:ascii="Arial" w:cs="Arial" w:eastAsia="Arial" w:hAnsi="Arial"/>
                <w:sz w:val="18"/>
                <w:szCs w:val="18"/>
                <w:color w:val="auto"/>
              </w:rPr>
              <w:t>2.00% Senior Notes, due 2028 (Euro 500 million principal)</w:t>
            </w: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595</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587</w:t>
            </w:r>
          </w:p>
        </w:tc>
      </w:tr>
      <w:tr>
        <w:trPr>
          <w:trHeight w:val="263"/>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6.875% notes, due 2043</w:t>
            </w:r>
          </w:p>
        </w:tc>
        <w:tc>
          <w:tcPr>
            <w:tcW w:w="460" w:type="dxa"/>
            <w:vAlign w:val="bottom"/>
            <w:shd w:val="clear" w:color="auto" w:fill="CFF0FC"/>
          </w:tcPr>
          <w:p>
            <w:pPr>
              <w:spacing w:after="0"/>
              <w:rPr>
                <w:sz w:val="22"/>
                <w:szCs w:val="22"/>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282</w:t>
            </w:r>
          </w:p>
        </w:tc>
        <w:tc>
          <w:tcPr>
            <w:tcW w:w="1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282</w:t>
            </w:r>
          </w:p>
        </w:tc>
      </w:tr>
      <w:tr>
        <w:trPr>
          <w:trHeight w:val="250"/>
        </w:trPr>
        <w:tc>
          <w:tcPr>
            <w:tcW w:w="6260" w:type="dxa"/>
            <w:vAlign w:val="bottom"/>
          </w:tcPr>
          <w:p>
            <w:pPr>
              <w:spacing w:after="0"/>
              <w:rPr>
                <w:sz w:val="20"/>
                <w:szCs w:val="20"/>
                <w:color w:val="auto"/>
              </w:rPr>
            </w:pPr>
            <w:r>
              <w:rPr>
                <w:rFonts w:ascii="Arial" w:cs="Arial" w:eastAsia="Arial" w:hAnsi="Arial"/>
                <w:sz w:val="18"/>
                <w:szCs w:val="18"/>
                <w:color w:val="auto"/>
              </w:rPr>
              <w:t>Term loan A</w:t>
            </w: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250</w:t>
            </w:r>
          </w:p>
        </w:tc>
      </w:tr>
      <w:tr>
        <w:trPr>
          <w:trHeight w:val="263"/>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securitizations</w:t>
            </w:r>
          </w:p>
        </w:tc>
        <w:tc>
          <w:tcPr>
            <w:tcW w:w="460" w:type="dxa"/>
            <w:vAlign w:val="bottom"/>
            <w:shd w:val="clear" w:color="auto" w:fill="CFF0FC"/>
          </w:tcPr>
          <w:p>
            <w:pPr>
              <w:spacing w:after="0"/>
              <w:rPr>
                <w:sz w:val="22"/>
                <w:szCs w:val="22"/>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177</w:t>
            </w:r>
          </w:p>
        </w:tc>
      </w:tr>
      <w:tr>
        <w:trPr>
          <w:trHeight w:val="250"/>
        </w:trPr>
        <w:tc>
          <w:tcPr>
            <w:tcW w:w="6260" w:type="dxa"/>
            <w:vAlign w:val="bottom"/>
          </w:tcPr>
          <w:p>
            <w:pPr>
              <w:spacing w:after="0"/>
              <w:rPr>
                <w:sz w:val="20"/>
                <w:szCs w:val="20"/>
                <w:color w:val="auto"/>
              </w:rPr>
            </w:pPr>
            <w:r>
              <w:rPr>
                <w:rFonts w:ascii="Arial" w:cs="Arial" w:eastAsia="Arial" w:hAnsi="Arial"/>
                <w:sz w:val="18"/>
                <w:szCs w:val="18"/>
                <w:color w:val="auto"/>
              </w:rPr>
              <w:t>6.50% junior subordinated notes, due 2029</w:t>
            </w: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63"/>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460" w:type="dxa"/>
            <w:vAlign w:val="bottom"/>
            <w:shd w:val="clear" w:color="auto" w:fill="CFF0FC"/>
          </w:tcPr>
          <w:p>
            <w:pPr>
              <w:spacing w:after="0"/>
              <w:rPr>
                <w:sz w:val="22"/>
                <w:szCs w:val="22"/>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80</w:t>
            </w:r>
          </w:p>
        </w:tc>
      </w:tr>
      <w:tr>
        <w:trPr>
          <w:trHeight w:val="257"/>
        </w:trPr>
        <w:tc>
          <w:tcPr>
            <w:tcW w:w="626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(a)</w:t>
            </w: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r>
      <w:tr>
        <w:trPr>
          <w:trHeight w:val="250"/>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Total debt</w:t>
            </w:r>
          </w:p>
        </w:tc>
        <w:tc>
          <w:tcPr>
            <w:tcW w:w="46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1,679</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1,853</w:t>
            </w:r>
          </w:p>
        </w:tc>
      </w:tr>
      <w:tr>
        <w:trPr>
          <w:trHeight w:val="257"/>
        </w:trPr>
        <w:tc>
          <w:tcPr>
            <w:tcW w:w="6260" w:type="dxa"/>
            <w:vAlign w:val="bottom"/>
          </w:tcPr>
          <w:p>
            <w:pPr>
              <w:spacing w:after="0"/>
              <w:rPr>
                <w:sz w:val="20"/>
                <w:szCs w:val="20"/>
                <w:color w:val="auto"/>
              </w:rPr>
            </w:pPr>
            <w:r>
              <w:rPr>
                <w:rFonts w:ascii="Arial" w:cs="Arial" w:eastAsia="Arial" w:hAnsi="Arial"/>
                <w:sz w:val="18"/>
                <w:szCs w:val="18"/>
                <w:color w:val="auto"/>
              </w:rPr>
              <w:t>Short-term debt (includes current portion of long-term debt)</w:t>
            </w: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(101 )</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(280 )</w:t>
            </w:r>
          </w:p>
        </w:tc>
      </w:tr>
      <w:tr>
        <w:trPr>
          <w:trHeight w:val="290"/>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Long-term debt (less current portion)</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1,578</w:t>
            </w: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1,573</w:t>
            </w:r>
          </w:p>
        </w:tc>
      </w:tr>
      <w:tr>
        <w:trPr>
          <w:trHeight w:val="143"/>
        </w:trPr>
        <w:tc>
          <w:tcPr>
            <w:tcW w:w="6260" w:type="dxa"/>
            <w:vAlign w:val="bottom"/>
            <w:tcBorders>
              <w:top w:val="single" w:sz="8" w:color="CFF0FC"/>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CFF0FC"/>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740" w:type="dxa"/>
            <w:vAlign w:val="bottom"/>
            <w:tcBorders>
              <w:top w:val="single" w:sz="8" w:color="auto"/>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-136525</wp:posOffset>
            </wp:positionV>
            <wp:extent cx="12001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-119380</wp:posOffset>
            </wp:positionV>
            <wp:extent cx="12001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83" w:lineRule="exact"/>
        <w:rPr>
          <w:sz w:val="20"/>
          <w:szCs w:val="20"/>
          <w:color w:val="auto"/>
        </w:rPr>
      </w:pPr>
    </w:p>
    <w:p>
      <w:pPr>
        <w:ind w:left="660" w:right="60" w:hanging="328"/>
        <w:spacing w:after="0" w:line="353" w:lineRule="auto"/>
        <w:tabs>
          <w:tab w:leader="none" w:pos="696"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$13 million and $15 million of debt issuance cost discounts as of June 30, 2021 and September 30, 2020, respectively. Additionally, as of June 30, 2021 and September 30, 2020, Other includes a European short-term loan facility with an outstanding balance of $24 million and $23 million, respectively.</w:t>
      </w:r>
    </w:p>
    <w:p>
      <w:pPr>
        <w:spacing w:after="0" w:line="41" w:lineRule="exact"/>
        <w:rPr>
          <w:sz w:val="20"/>
          <w:szCs w:val="20"/>
          <w:color w:val="auto"/>
        </w:rPr>
      </w:pPr>
    </w:p>
    <w:p>
      <w:pPr>
        <w:jc w:val="both"/>
        <w:ind w:left="340"/>
        <w:spacing w:after="0" w:line="278" w:lineRule="auto"/>
        <w:rPr>
          <w:sz w:val="20"/>
          <w:szCs w:val="20"/>
          <w:color w:val="auto"/>
        </w:rPr>
      </w:pPr>
      <w:r>
        <w:rPr>
          <w:rFonts w:ascii="Arial" w:cs="Arial" w:eastAsia="Arial" w:hAnsi="Arial"/>
          <w:sz w:val="20"/>
          <w:szCs w:val="20"/>
          <w:color w:val="auto"/>
        </w:rPr>
        <w:t>The scheduled aggregate maturities of long-term debt by year (including the current portion and excluding debt issuance costs) are as follows as of June 30, 2021: zero remaining in 2021, $421 million in 2022, $22 million in 2023, $44 million in 2024 and $175 million in 2025.</w:t>
      </w:r>
    </w:p>
    <w:p>
      <w:pPr>
        <w:spacing w:after="0" w:line="72" w:lineRule="exact"/>
        <w:rPr>
          <w:sz w:val="20"/>
          <w:szCs w:val="20"/>
          <w:color w:val="auto"/>
        </w:rPr>
      </w:pPr>
    </w:p>
    <w:p>
      <w:pPr>
        <w:ind w:left="340" w:right="4820"/>
        <w:spacing w:after="0" w:line="383" w:lineRule="auto"/>
        <w:rPr>
          <w:sz w:val="20"/>
          <w:szCs w:val="20"/>
          <w:color w:val="auto"/>
        </w:rPr>
      </w:pPr>
      <w:r>
        <w:rPr>
          <w:rFonts w:ascii="Arial" w:cs="Arial" w:eastAsia="Arial" w:hAnsi="Arial"/>
          <w:sz w:val="20"/>
          <w:szCs w:val="20"/>
          <w:b w:val="1"/>
          <w:bCs w:val="1"/>
          <w:color w:val="auto"/>
        </w:rPr>
        <w:t xml:space="preserve">Accounts Receivable Facilities and Off-Balance Sheet Arrangements </w:t>
      </w:r>
      <w:r>
        <w:rPr>
          <w:rFonts w:ascii="Arial" w:cs="Arial" w:eastAsia="Arial" w:hAnsi="Arial"/>
          <w:sz w:val="20"/>
          <w:szCs w:val="20"/>
          <w:i w:val="1"/>
          <w:iCs w:val="1"/>
          <w:color w:val="auto"/>
        </w:rPr>
        <w:t>U.S. Accounts Receivable Securitization Facility</w:t>
      </w:r>
    </w:p>
    <w:p>
      <w:pPr>
        <w:spacing w:after="0" w:line="1" w:lineRule="exact"/>
        <w:rPr>
          <w:sz w:val="20"/>
          <w:szCs w:val="20"/>
          <w:color w:val="auto"/>
        </w:rPr>
      </w:pPr>
    </w:p>
    <w:p>
      <w:pPr>
        <w:jc w:val="both"/>
        <w:ind w:left="340"/>
        <w:spacing w:after="0" w:line="274" w:lineRule="auto"/>
        <w:rPr>
          <w:sz w:val="20"/>
          <w:szCs w:val="20"/>
          <w:color w:val="auto"/>
        </w:rPr>
      </w:pPr>
      <w:r>
        <w:rPr>
          <w:rFonts w:ascii="Arial" w:cs="Arial" w:eastAsia="Arial" w:hAnsi="Arial"/>
          <w:sz w:val="20"/>
          <w:szCs w:val="20"/>
          <w:color w:val="auto"/>
        </w:rPr>
        <w:t>On March 17, 2021, Ashland terminated its U.S. 2012 Accounts Receivable Securitization Facility. The program had no outstanding borrowings at its termination. At September 30, 2020, the outstanding amount of accounts receivable pledged was $151 million and borrowings under the facility totaled $84 million. This program did not meet the criteria for sale accounting and was reported as secured borrowing under ASC 860.</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U.S. Accounts Receivable Sales Program</w:t>
      </w:r>
    </w:p>
    <w:p>
      <w:pPr>
        <w:spacing w:after="0" w:line="135" w:lineRule="exact"/>
        <w:rPr>
          <w:sz w:val="20"/>
          <w:szCs w:val="20"/>
          <w:color w:val="auto"/>
        </w:rPr>
      </w:pPr>
    </w:p>
    <w:p>
      <w:pPr>
        <w:jc w:val="both"/>
        <w:ind w:left="340"/>
        <w:spacing w:after="0" w:line="287" w:lineRule="auto"/>
        <w:rPr>
          <w:sz w:val="20"/>
          <w:szCs w:val="20"/>
          <w:color w:val="auto"/>
        </w:rPr>
      </w:pPr>
      <w:r>
        <w:rPr>
          <w:rFonts w:ascii="Arial" w:cs="Arial" w:eastAsia="Arial" w:hAnsi="Arial"/>
          <w:sz w:val="19"/>
          <w:szCs w:val="19"/>
          <w:color w:val="auto"/>
        </w:rPr>
        <w:t>On March 17, 2021, a wholly-owned, bankruptcy-remote special purpose entity (SPE) and consolidated Ashland subsidiary entered into an agreement with a group of entities (buyers) to sell certain trade receivables, without recourse beyond the pledged receivables, of two other U.S. based Ashland subsidiaries. Under the agreement, Ashland can transfer whole receivables up to a limit established by the buyer, which is currently set at $125 million between February and October of each year and up to $100 million all other times. Ashland’s continuing involvement is limited to servicing the receivables, including billing, collections and remittance of payments to the buyers as well as a limited guarantee on over-collateralization. The arrangement terminates on May 31, 2023, unless terminated earlier pursuant to the terms of the agreement.</w:t>
      </w:r>
    </w:p>
    <w:p>
      <w:pPr>
        <w:spacing w:after="0" w:line="7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528" w:right="659" w:bottom="1440" w:gutter="0" w:footer="0" w:header="0"/>
        </w:sectPr>
      </w:pPr>
    </w:p>
    <w:bookmarkStart w:id="16" w:name="page17"/>
    <w:bookmarkEnd w:id="16"/>
    <w:p>
      <w:pPr>
        <w:jc w:val="both"/>
        <w:spacing w:after="0" w:line="285" w:lineRule="auto"/>
        <w:rPr>
          <w:sz w:val="20"/>
          <w:szCs w:val="20"/>
          <w:color w:val="auto"/>
        </w:rPr>
      </w:pPr>
      <w:r>
        <w:rPr>
          <w:rFonts w:ascii="Arial" w:cs="Arial" w:eastAsia="Arial" w:hAnsi="Arial"/>
          <w:sz w:val="19"/>
          <w:szCs w:val="19"/>
          <w:color w:val="auto"/>
        </w:rPr>
        <w:t>Ashland determined that any receivables transferred under this agreement are put presumptively beyond the reach of Ashland and its creditors, even in bankruptcy or other receivership. Ashland received a true sale at law and non-consolidation opinions to support the legal isolation of these receivables. Consequently, Ashland accounts for the receivables transferred to buyers as part of this agreement as sales under ASC 860. Ashland recognizes any gains or losses based on the excess of proceeds received net of buyer’s discounts and fees compared to the carrying value of the assets. Proceeds received, net of buyer’s discounts and fees, are recorded within the operating activities of the Statement of Condensed Consolidated Cash Flows. Losses on sale of assets, including related transaction expenses are recorded within the Net interest and other expense (income) caption of the Statement of Consolidated Comprehensive Income (Loss). Ashland regularly assesses its servicing obligations and records them as assets or liabilities when appropriate. Ashland also monitors its obligation with regards to the limited guarantee and records the resulting guarantee liability when warranted. When applicable, Ashland discloses the amount of the receivable that serves as over-collateralization as a restricted asset.</w:t>
      </w:r>
    </w:p>
    <w:p>
      <w:pPr>
        <w:spacing w:after="0" w:line="7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Ashland recognized a $1 million loss within its Statement of Consolidated Comprehensive Income (Loss) for the three and nine months ended June 30, 2021 within the net interest and other expense (income) caption associated with sales under the program. Ashland has recorded $90 million of sales against the buyer’s limit, which was $117 million at June 30, 2021. Ashland transferred $139 million in receivables to the SPE as of June 30, 2021. Ashland recorded liabilities related to its service obligations and limited guarantee as of June 30, 2021 of less than $1 million. As of June 30, 2021, the year-to-date gross cash proceeds received for receivables transferred and derecognized was $233 million, of which $143 million was collected. The difference of $90 million represents the proceeds from new transfers of receivables as of June 30, 2021.</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Foreign Accounts Receivable Securitization Facility</w:t>
      </w:r>
    </w:p>
    <w:p>
      <w:pPr>
        <w:spacing w:after="0" w:line="135"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Ashland continues to maintain its foreign 2018 Accounts Receivable Securitization Facility. Ashland accounts for the foreign 2018 Accounts Receivable Securitization Facility as secured borrowings, and the receivables sold pursuant to the facility are included in the Consolidated Balance Sheets as accounts receivable. At June 30, 2021 and September 30, 2020, the outstanding amount of accounts receivable transferred by Ashland was $104 million and $131 million, respectively, and there were $71 million and $93 million, respectively, of borrowings (denominated in multiple currencies) under the facility.</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Credit Agreement and Refinancing</w:t>
      </w:r>
    </w:p>
    <w:p>
      <w:pPr>
        <w:spacing w:after="0" w:line="135"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During January 2020, Ashland LLC and Ashland Services B.V., indirect wholly owned subsidiaries of Ashland, entered into a senior unsecured credit agreement (the 2020 Credit Agreement) with a group of lenders. The 2020 Credit Agreement provides for (i) a $600 million unsecured five-year revolving credit facility (the Revolving Credit Facility) and (ii) a $250 million unsecured five-year term loan facility (the 2020 Term Loan Facility).</w:t>
      </w:r>
    </w:p>
    <w:p>
      <w:pPr>
        <w:spacing w:after="0" w:line="84"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Ashland incurred $4 million of new debt issuance costs in connection with the 2020 Credit Agreement, of which $1 million was expensed immediately during the nine months ended June 30, 2020 within the net interest and other expense caption of the Statements of Consolidated Comprehensive Income (Loss). The remaining balance is amortized using either the effective interest method or straight-line method. Additionally, as a result of the termination of the 2017 Credit Agreement, Ashland recognized a $1 million charge for the accelerated amortization of previously capitalized debt issuance costs during the nine months ended June 30, 2020, which is included in the net interest and other expense caption of the Statements of Consolidated Comprehensive Income (Loss).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62230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660" w:top="136" w:right="659" w:bottom="1440" w:gutter="0" w:footer="0" w:header="0"/>
        </w:sectPr>
      </w:pPr>
    </w:p>
    <w:bookmarkStart w:id="17" w:name="page18"/>
    <w:bookmarkEnd w:id="17"/>
    <w:p>
      <w:pPr>
        <w:ind w:left="340"/>
        <w:spacing w:after="0"/>
        <w:rPr>
          <w:sz w:val="20"/>
          <w:szCs w:val="20"/>
          <w:color w:val="auto"/>
        </w:rPr>
      </w:pPr>
      <w:r>
        <w:rPr>
          <w:rFonts w:ascii="Arial" w:cs="Arial" w:eastAsia="Arial" w:hAnsi="Arial"/>
          <w:sz w:val="20"/>
          <w:szCs w:val="20"/>
          <w:i w:val="1"/>
          <w:iCs w:val="1"/>
          <w:color w:val="auto"/>
        </w:rPr>
        <w:t>Note Issuance and existing notes tender</w:t>
      </w:r>
    </w:p>
    <w:p>
      <w:pPr>
        <w:spacing w:after="0" w:line="135" w:lineRule="exact"/>
        <w:rPr>
          <w:sz w:val="20"/>
          <w:szCs w:val="20"/>
          <w:color w:val="auto"/>
        </w:rPr>
      </w:pPr>
    </w:p>
    <w:p>
      <w:pPr>
        <w:jc w:val="both"/>
        <w:ind w:left="340" w:right="20"/>
        <w:spacing w:after="0" w:line="288" w:lineRule="auto"/>
        <w:rPr>
          <w:sz w:val="20"/>
          <w:szCs w:val="20"/>
          <w:color w:val="auto"/>
        </w:rPr>
      </w:pPr>
      <w:r>
        <w:rPr>
          <w:rFonts w:ascii="Arial" w:cs="Arial" w:eastAsia="Arial" w:hAnsi="Arial"/>
          <w:sz w:val="20"/>
          <w:szCs w:val="20"/>
          <w:color w:val="auto"/>
        </w:rPr>
        <w:t>During January 2020, a subsidiary of Ashland, Ashland Services B.V., completed the issuance of 2.00% senior unsecured notes due 2028 with an aggregate principal amount of €500 million (the 2028 Notes).</w:t>
      </w:r>
    </w:p>
    <w:p>
      <w:pPr>
        <w:spacing w:after="0" w:line="69" w:lineRule="exact"/>
        <w:rPr>
          <w:sz w:val="20"/>
          <w:szCs w:val="20"/>
          <w:color w:val="auto"/>
        </w:rPr>
      </w:pPr>
    </w:p>
    <w:p>
      <w:pPr>
        <w:jc w:val="both"/>
        <w:ind w:left="340" w:right="20"/>
        <w:spacing w:after="0" w:line="288" w:lineRule="auto"/>
        <w:rPr>
          <w:sz w:val="20"/>
          <w:szCs w:val="20"/>
          <w:color w:val="auto"/>
        </w:rPr>
      </w:pPr>
      <w:r>
        <w:rPr>
          <w:rFonts w:ascii="Arial" w:cs="Arial" w:eastAsia="Arial" w:hAnsi="Arial"/>
          <w:sz w:val="20"/>
          <w:szCs w:val="20"/>
          <w:color w:val="auto"/>
        </w:rPr>
        <w:t>Ashland incurred $8 million of new debt issuance costs in connection with the 2028 Notes, which is amortized using the effective interest method over the term of the Notes.</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Tender offers of 4.750% notes due 2022</w:t>
      </w:r>
    </w:p>
    <w:p>
      <w:pPr>
        <w:spacing w:after="0" w:line="135" w:lineRule="exact"/>
        <w:rPr>
          <w:sz w:val="20"/>
          <w:szCs w:val="20"/>
          <w:color w:val="auto"/>
        </w:rPr>
      </w:pPr>
    </w:p>
    <w:p>
      <w:pPr>
        <w:jc w:val="both"/>
        <w:ind w:left="340"/>
        <w:spacing w:after="0" w:line="272" w:lineRule="auto"/>
        <w:rPr>
          <w:sz w:val="20"/>
          <w:szCs w:val="20"/>
          <w:color w:val="auto"/>
        </w:rPr>
      </w:pPr>
      <w:r>
        <w:rPr>
          <w:rFonts w:ascii="Arial" w:cs="Arial" w:eastAsia="Arial" w:hAnsi="Arial"/>
          <w:sz w:val="20"/>
          <w:szCs w:val="20"/>
          <w:color w:val="auto"/>
        </w:rPr>
        <w:t>During the nine months ended June 30, 2020, Ashland executed open market repurchases of its 4.750% notes due 2022 (the 2022 Notes). As a result of these repurchases, the carrying values of the 2022 Notes were reduced by $670 million. Ashland recognized a $5 million charge related to accelerated accretion on debt discounts and accelerated amortization of previously capitalized debt issuance costs, which is included in the net interest and other expense caption of the Statements of Consolidated Comprehensive Income (Loss) for the nine months ended June 30, 2020.</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Tender offers of 6.875% notes due 2043</w:t>
      </w:r>
    </w:p>
    <w:p>
      <w:pPr>
        <w:spacing w:after="0" w:line="135" w:lineRule="exact"/>
        <w:rPr>
          <w:sz w:val="20"/>
          <w:szCs w:val="20"/>
          <w:color w:val="auto"/>
        </w:rPr>
      </w:pPr>
    </w:p>
    <w:p>
      <w:pPr>
        <w:jc w:val="both"/>
        <w:ind w:left="340"/>
        <w:spacing w:after="0" w:line="272" w:lineRule="auto"/>
        <w:rPr>
          <w:sz w:val="20"/>
          <w:szCs w:val="20"/>
          <w:color w:val="auto"/>
        </w:rPr>
      </w:pPr>
      <w:r>
        <w:rPr>
          <w:rFonts w:ascii="Arial" w:cs="Arial" w:eastAsia="Arial" w:hAnsi="Arial"/>
          <w:sz w:val="20"/>
          <w:szCs w:val="20"/>
          <w:color w:val="auto"/>
        </w:rPr>
        <w:t>During the nine months ended June 30, 2020, Ashland executed open market repurchases of its 6.875% notes due 2043 (the 2043 Notes). As a result of these repurchases, the carrying values of the 2043 Notes were reduced by $92 million. Ashland recognized a $1 million charge related to accelerated accretion on debt premiums and accelerated amortization previously capitalized debt issuance costs, which is included in the net interest and other expense caption of the Statements of Consolidated Comprehensive Income (Loss) for the nine months ended June 30, 2020.</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Tender offers of 6.500% Junior Subordinated Debentures due 2029</w:t>
      </w:r>
    </w:p>
    <w:p>
      <w:pPr>
        <w:spacing w:after="0" w:line="135" w:lineRule="exact"/>
        <w:rPr>
          <w:sz w:val="20"/>
          <w:szCs w:val="20"/>
          <w:color w:val="auto"/>
        </w:rPr>
      </w:pPr>
    </w:p>
    <w:p>
      <w:pPr>
        <w:jc w:val="both"/>
        <w:ind w:left="340"/>
        <w:spacing w:after="0" w:line="278" w:lineRule="auto"/>
        <w:rPr>
          <w:sz w:val="20"/>
          <w:szCs w:val="20"/>
          <w:color w:val="auto"/>
        </w:rPr>
      </w:pPr>
      <w:r>
        <w:rPr>
          <w:rFonts w:ascii="Arial" w:cs="Arial" w:eastAsia="Arial" w:hAnsi="Arial"/>
          <w:sz w:val="20"/>
          <w:szCs w:val="20"/>
          <w:color w:val="auto"/>
        </w:rPr>
        <w:t>During the nine months ended June 30, 2020, Ashland executed open market repurchases of Hercules LLC’s 6.500% notes due 2029 (the 2029 Junior Debentures). As a result of these repurchases, the carrying values of the 2029 Junior Debentures were reduced by $2 million.</w:t>
      </w:r>
    </w:p>
    <w:p>
      <w:pPr>
        <w:spacing w:after="0" w:line="78" w:lineRule="exact"/>
        <w:rPr>
          <w:sz w:val="20"/>
          <w:szCs w:val="20"/>
          <w:color w:val="auto"/>
        </w:rPr>
      </w:pPr>
    </w:p>
    <w:p>
      <w:pPr>
        <w:jc w:val="both"/>
        <w:ind w:left="340"/>
        <w:spacing w:after="0" w:line="347" w:lineRule="auto"/>
        <w:rPr>
          <w:sz w:val="20"/>
          <w:szCs w:val="20"/>
          <w:color w:val="auto"/>
        </w:rPr>
      </w:pPr>
      <w:r>
        <w:rPr>
          <w:rFonts w:ascii="Arial" w:cs="Arial" w:eastAsia="Arial" w:hAnsi="Arial"/>
          <w:sz w:val="18"/>
          <w:szCs w:val="18"/>
          <w:color w:val="auto"/>
        </w:rPr>
        <w:t>Total premiums paid for all tender offers noted above were $59 million, which is included in the net interest and other expenses caption of the Statements of Consolidated Comprehensive Income (Loss) for the nine months ended June 30, 2020.</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Available borrowing capacity and liquidity</w:t>
      </w:r>
    </w:p>
    <w:p>
      <w:pPr>
        <w:spacing w:after="0" w:line="141" w:lineRule="exact"/>
        <w:rPr>
          <w:sz w:val="20"/>
          <w:szCs w:val="20"/>
          <w:color w:val="auto"/>
        </w:rPr>
      </w:pPr>
    </w:p>
    <w:p>
      <w:pPr>
        <w:jc w:val="both"/>
        <w:ind w:left="340" w:right="20"/>
        <w:spacing w:after="0" w:line="322" w:lineRule="auto"/>
        <w:rPr>
          <w:sz w:val="20"/>
          <w:szCs w:val="20"/>
          <w:color w:val="auto"/>
        </w:rPr>
      </w:pPr>
      <w:r>
        <w:rPr>
          <w:rFonts w:ascii="Arial" w:cs="Arial" w:eastAsia="Arial" w:hAnsi="Arial"/>
          <w:sz w:val="18"/>
          <w:szCs w:val="18"/>
          <w:color w:val="auto"/>
        </w:rPr>
        <w:t>The borrowing capacity remaining under the 2020 $600 million Revolving Credit Facility was $581 million due to a reduction of $19 million for letters of credit outstanding as of June 30, 2021. Ashland's total borrowing capacity at June 30, 2021 was $614 million, which included $33 million of available capacity from the foreign 2018 Accounts Receivable Securitization Facility.</w:t>
      </w:r>
    </w:p>
    <w:p>
      <w:pPr>
        <w:spacing w:after="0" w:line="44" w:lineRule="exact"/>
        <w:rPr>
          <w:sz w:val="20"/>
          <w:szCs w:val="20"/>
          <w:color w:val="auto"/>
        </w:rPr>
      </w:pPr>
    </w:p>
    <w:p>
      <w:pPr>
        <w:ind w:left="340" w:right="1360"/>
        <w:spacing w:after="0" w:line="380" w:lineRule="auto"/>
        <w:rPr>
          <w:sz w:val="20"/>
          <w:szCs w:val="20"/>
          <w:color w:val="auto"/>
        </w:rPr>
      </w:pPr>
      <w:r>
        <w:rPr>
          <w:rFonts w:ascii="Arial" w:cs="Arial" w:eastAsia="Arial" w:hAnsi="Arial"/>
          <w:sz w:val="20"/>
          <w:szCs w:val="20"/>
          <w:color w:val="auto"/>
        </w:rPr>
        <w:t xml:space="preserve">Additionally, Ashland has $27 million available liquidity under its current U.S. Accounts Receivable Sales Program. </w:t>
      </w:r>
      <w:r>
        <w:rPr>
          <w:rFonts w:ascii="Arial" w:cs="Arial" w:eastAsia="Arial" w:hAnsi="Arial"/>
          <w:sz w:val="20"/>
          <w:szCs w:val="20"/>
          <w:b w:val="1"/>
          <w:bCs w:val="1"/>
          <w:color w:val="auto"/>
        </w:rPr>
        <w:t>Covenants related to current Ashland debt agreements</w:t>
      </w:r>
    </w:p>
    <w:p>
      <w:pPr>
        <w:spacing w:after="0" w:line="1" w:lineRule="exact"/>
        <w:rPr>
          <w:sz w:val="20"/>
          <w:szCs w:val="20"/>
          <w:color w:val="auto"/>
        </w:rPr>
      </w:pPr>
    </w:p>
    <w:p>
      <w:pPr>
        <w:jc w:val="both"/>
        <w:ind w:left="340"/>
        <w:spacing w:after="0" w:line="293" w:lineRule="auto"/>
        <w:rPr>
          <w:sz w:val="20"/>
          <w:szCs w:val="20"/>
          <w:color w:val="auto"/>
        </w:rPr>
      </w:pPr>
      <w:r>
        <w:rPr>
          <w:rFonts w:ascii="Arial" w:cs="Arial" w:eastAsia="Arial" w:hAnsi="Arial"/>
          <w:sz w:val="19"/>
          <w:szCs w:val="19"/>
          <w:color w:val="auto"/>
        </w:rPr>
        <w:t>Ashland's debt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June 30, 2021, Ashland is in compliance with all debt agreement covenant restrictions.</w:t>
      </w:r>
    </w:p>
    <w:p>
      <w:pPr>
        <w:spacing w:after="0" w:line="67" w:lineRule="exact"/>
        <w:rPr>
          <w:sz w:val="20"/>
          <w:szCs w:val="20"/>
          <w:color w:val="auto"/>
        </w:rPr>
      </w:pPr>
    </w:p>
    <w:p>
      <w:pPr>
        <w:jc w:val="both"/>
        <w:ind w:left="340" w:right="20"/>
        <w:spacing w:after="0" w:line="288" w:lineRule="auto"/>
        <w:rPr>
          <w:sz w:val="20"/>
          <w:szCs w:val="20"/>
          <w:color w:val="auto"/>
        </w:rPr>
      </w:pPr>
      <w:r>
        <w:rPr>
          <w:rFonts w:ascii="Arial" w:cs="Arial" w:eastAsia="Arial" w:hAnsi="Arial"/>
          <w:sz w:val="20"/>
          <w:szCs w:val="20"/>
          <w:color w:val="auto"/>
        </w:rPr>
        <w:t>The maximum consolidated net leverage ratio permitted under Ashland's most recent credit agreement (the 2020 Credit Agreement) is 4.0. At June 30, 2021, Ashland’s calculation of the consolidated net leverage ratio was 2.6.</w:t>
      </w:r>
    </w:p>
    <w:p>
      <w:pPr>
        <w:spacing w:after="0" w:line="69" w:lineRule="exact"/>
        <w:rPr>
          <w:sz w:val="20"/>
          <w:szCs w:val="20"/>
          <w:color w:val="auto"/>
        </w:rPr>
      </w:pPr>
    </w:p>
    <w:p>
      <w:pPr>
        <w:jc w:val="both"/>
        <w:ind w:left="340"/>
        <w:spacing w:after="0" w:line="288" w:lineRule="auto"/>
        <w:rPr>
          <w:sz w:val="20"/>
          <w:szCs w:val="20"/>
          <w:color w:val="auto"/>
        </w:rPr>
      </w:pPr>
      <w:r>
        <w:rPr>
          <w:rFonts w:ascii="Arial" w:cs="Arial" w:eastAsia="Arial" w:hAnsi="Arial"/>
          <w:sz w:val="20"/>
          <w:szCs w:val="20"/>
          <w:color w:val="auto"/>
        </w:rPr>
        <w:t>The minimum required consolidated interest coverage ratio under the 2020 Credit Agreement during its entire duration is 3.0. At June 30, 2021, Ashland’s calculation of the interest coverage ratio was 8.3.</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I – LEASING ARRANGEMENTS</w:t>
      </w:r>
    </w:p>
    <w:p>
      <w:pPr>
        <w:spacing w:after="0" w:line="141" w:lineRule="exact"/>
        <w:rPr>
          <w:sz w:val="20"/>
          <w:szCs w:val="20"/>
          <w:color w:val="auto"/>
        </w:rPr>
      </w:pPr>
    </w:p>
    <w:p>
      <w:pPr>
        <w:jc w:val="both"/>
        <w:ind w:left="340"/>
        <w:spacing w:after="0" w:line="288" w:lineRule="auto"/>
        <w:rPr>
          <w:sz w:val="20"/>
          <w:szCs w:val="20"/>
          <w:color w:val="auto"/>
        </w:rPr>
      </w:pPr>
      <w:r>
        <w:rPr>
          <w:rFonts w:ascii="Arial" w:cs="Arial" w:eastAsia="Arial" w:hAnsi="Arial"/>
          <w:sz w:val="20"/>
          <w:szCs w:val="20"/>
          <w:color w:val="auto"/>
        </w:rPr>
        <w:t>Ashland determines if an arrangement is or contains a lease at contract inception and determines its classification as an operating or finance lease at lease commencement. Ashland leases certain office buildings, transportation</w:t>
      </w:r>
    </w:p>
    <w:p>
      <w:pPr>
        <w:spacing w:after="0" w:line="7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36" w:right="659" w:bottom="1440" w:gutter="0" w:footer="0" w:header="0"/>
        </w:sectPr>
      </w:pPr>
    </w:p>
    <w:bookmarkStart w:id="18" w:name="page19"/>
    <w:bookmarkEnd w:id="18"/>
    <w:p>
      <w:pPr>
        <w:jc w:val="both"/>
        <w:spacing w:after="0" w:line="274" w:lineRule="auto"/>
        <w:rPr>
          <w:sz w:val="20"/>
          <w:szCs w:val="20"/>
          <w:color w:val="auto"/>
        </w:rPr>
      </w:pPr>
      <w:r>
        <w:rPr>
          <w:rFonts w:ascii="Arial" w:cs="Arial" w:eastAsia="Arial" w:hAnsi="Arial"/>
          <w:sz w:val="20"/>
          <w:szCs w:val="20"/>
          <w:color w:val="auto"/>
        </w:rPr>
        <w:t>equipment, warehouses and storage facilities, and equipment. All of Ashland’s leases are operating leases. Real estate leases represent approximately 89% of the total lease liability. Operating lease assets and obligations are reflected within operating lease assets, net; current operating lease obligations; and non-current operating lease obligations captions on the Condensed Consolidated Balance Sheets.</w:t>
      </w:r>
    </w:p>
    <w:p>
      <w:pPr>
        <w:spacing w:after="0" w:line="84"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Lease expense for these leases is recognized on a straight-line basis over the lease term, with variable lease payments recognized in the period those payments are incurred. The components of lease cost recognized within the Statements of Consolidated Comprehensive Income (Loss)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128905</wp:posOffset>
            </wp:positionV>
            <wp:extent cx="66262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09"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7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Three months ended</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Nine months ended</w:t>
            </w:r>
          </w:p>
        </w:tc>
        <w:tc>
          <w:tcPr>
            <w:tcW w:w="520" w:type="dxa"/>
            <w:vAlign w:val="bottom"/>
          </w:tcPr>
          <w:p>
            <w:pPr>
              <w:spacing w:after="0"/>
              <w:rPr>
                <w:sz w:val="20"/>
                <w:szCs w:val="20"/>
                <w:color w:val="auto"/>
              </w:rPr>
            </w:pPr>
          </w:p>
        </w:tc>
      </w:tr>
      <w:tr>
        <w:trPr>
          <w:trHeight w:val="263"/>
        </w:trPr>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8"/>
                <w:szCs w:val="18"/>
                <w:color w:val="auto"/>
              </w:rPr>
              <w:t>June 30</w:t>
            </w:r>
          </w:p>
        </w:tc>
        <w:tc>
          <w:tcPr>
            <w:tcW w:w="5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8"/>
                <w:szCs w:val="18"/>
                <w:color w:val="auto"/>
              </w:rPr>
              <w:t>June 30</w:t>
            </w:r>
          </w:p>
        </w:tc>
        <w:tc>
          <w:tcPr>
            <w:tcW w:w="520" w:type="dxa"/>
            <w:vAlign w:val="bottom"/>
            <w:tcBorders>
              <w:bottom w:val="single" w:sz="8" w:color="auto"/>
            </w:tcBorders>
          </w:tcPr>
          <w:p>
            <w:pPr>
              <w:spacing w:after="0"/>
              <w:rPr>
                <w:sz w:val="22"/>
                <w:szCs w:val="22"/>
                <w:color w:val="auto"/>
              </w:rPr>
            </w:pPr>
          </w:p>
        </w:tc>
      </w:tr>
      <w:tr>
        <w:trPr>
          <w:trHeight w:val="250"/>
        </w:trPr>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52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Location</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2020</w:t>
            </w:r>
          </w:p>
        </w:tc>
        <w:tc>
          <w:tcPr>
            <w:tcW w:w="1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2020</w:t>
            </w:r>
          </w:p>
        </w:tc>
      </w:tr>
      <w:tr>
        <w:trPr>
          <w:trHeight w:val="250"/>
        </w:trPr>
        <w:tc>
          <w:tcPr>
            <w:tcW w:w="1760" w:type="dxa"/>
            <w:vAlign w:val="bottom"/>
          </w:tcPr>
          <w:p>
            <w:pPr>
              <w:spacing w:after="0"/>
              <w:rPr>
                <w:sz w:val="20"/>
                <w:szCs w:val="20"/>
                <w:color w:val="auto"/>
              </w:rPr>
            </w:pPr>
            <w:r>
              <w:rPr>
                <w:rFonts w:ascii="Arial" w:cs="Arial" w:eastAsia="Arial" w:hAnsi="Arial"/>
                <w:sz w:val="18"/>
                <w:szCs w:val="18"/>
                <w:b w:val="1"/>
                <w:bCs w:val="1"/>
                <w:color w:val="auto"/>
              </w:rPr>
              <w:t>Lease cost:</w:t>
            </w:r>
          </w:p>
        </w:tc>
        <w:tc>
          <w:tcPr>
            <w:tcW w:w="3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63"/>
        </w:trPr>
        <w:tc>
          <w:tcPr>
            <w:tcW w:w="17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35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Selling, General &amp; Administrative</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840" w:type="dxa"/>
            <w:vAlign w:val="bottom"/>
            <w:gridSpan w:val="2"/>
            <w:shd w:val="clear" w:color="auto" w:fill="CFF0FC"/>
          </w:tcPr>
          <w:p>
            <w:pPr>
              <w:jc w:val="right"/>
              <w:ind w:righ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w:t>
            </w:r>
          </w:p>
        </w:tc>
        <w:tc>
          <w:tcPr>
            <w:tcW w:w="76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w:t>
            </w:r>
          </w:p>
        </w:tc>
      </w:tr>
      <w:tr>
        <w:trPr>
          <w:trHeight w:val="250"/>
        </w:trPr>
        <w:tc>
          <w:tcPr>
            <w:tcW w:w="1760" w:type="dxa"/>
            <w:vAlign w:val="bottom"/>
          </w:tcPr>
          <w:p>
            <w:pPr>
              <w:spacing w:after="0"/>
              <w:rPr>
                <w:sz w:val="20"/>
                <w:szCs w:val="20"/>
                <w:color w:val="auto"/>
              </w:rPr>
            </w:pPr>
            <w:r>
              <w:rPr>
                <w:rFonts w:ascii="Arial" w:cs="Arial" w:eastAsia="Arial" w:hAnsi="Arial"/>
                <w:sz w:val="18"/>
                <w:szCs w:val="18"/>
                <w:color w:val="auto"/>
              </w:rPr>
              <w:t>Operating lease cost</w:t>
            </w:r>
          </w:p>
        </w:tc>
        <w:tc>
          <w:tcPr>
            <w:tcW w:w="3520" w:type="dxa"/>
            <w:vAlign w:val="bottom"/>
          </w:tcPr>
          <w:p>
            <w:pPr>
              <w:ind w:left="30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63"/>
        </w:trPr>
        <w:tc>
          <w:tcPr>
            <w:tcW w:w="1760" w:type="dxa"/>
            <w:vAlign w:val="bottom"/>
            <w:shd w:val="clear" w:color="auto" w:fill="CFF0FC"/>
          </w:tcPr>
          <w:p>
            <w:pPr>
              <w:spacing w:after="0"/>
              <w:rPr>
                <w:sz w:val="20"/>
                <w:szCs w:val="20"/>
                <w:color w:val="auto"/>
              </w:rPr>
            </w:pPr>
            <w:r>
              <w:rPr>
                <w:rFonts w:ascii="Arial" w:cs="Arial" w:eastAsia="Arial" w:hAnsi="Arial"/>
                <w:sz w:val="18"/>
                <w:szCs w:val="18"/>
                <w:color w:val="auto"/>
              </w:rPr>
              <w:t>Variable lease cost</w:t>
            </w:r>
          </w:p>
        </w:tc>
        <w:tc>
          <w:tcPr>
            <w:tcW w:w="35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Selling, General &amp; Administrative</w:t>
            </w: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5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r>
      <w:tr>
        <w:trPr>
          <w:trHeight w:val="250"/>
        </w:trPr>
        <w:tc>
          <w:tcPr>
            <w:tcW w:w="1760" w:type="dxa"/>
            <w:vAlign w:val="bottom"/>
          </w:tcPr>
          <w:p>
            <w:pPr>
              <w:spacing w:after="0"/>
              <w:rPr>
                <w:sz w:val="20"/>
                <w:szCs w:val="20"/>
                <w:color w:val="auto"/>
              </w:rPr>
            </w:pPr>
            <w:r>
              <w:rPr>
                <w:rFonts w:ascii="Arial" w:cs="Arial" w:eastAsia="Arial" w:hAnsi="Arial"/>
                <w:sz w:val="18"/>
                <w:szCs w:val="18"/>
                <w:color w:val="auto"/>
              </w:rPr>
              <w:t>Variable lease cost</w:t>
            </w:r>
          </w:p>
        </w:tc>
        <w:tc>
          <w:tcPr>
            <w:tcW w:w="3520" w:type="dxa"/>
            <w:vAlign w:val="bottom"/>
          </w:tcPr>
          <w:p>
            <w:pPr>
              <w:ind w:left="30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63"/>
        </w:trPr>
        <w:tc>
          <w:tcPr>
            <w:tcW w:w="1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Short-term leases</w:t>
            </w:r>
          </w:p>
        </w:tc>
        <w:tc>
          <w:tcPr>
            <w:tcW w:w="35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shd w:val="clear" w:color="auto" w:fill="CFF0FC"/>
          </w:tcPr>
          <w:p>
            <w:pPr>
              <w:spacing w:after="0"/>
              <w:rPr>
                <w:sz w:val="22"/>
                <w:szCs w:val="22"/>
                <w:color w:val="auto"/>
              </w:rPr>
            </w:pPr>
          </w:p>
        </w:tc>
        <w:tc>
          <w:tcPr>
            <w:tcW w:w="700" w:type="dxa"/>
            <w:vAlign w:val="bottom"/>
            <w:tcBorders>
              <w:bottom w:val="single" w:sz="8" w:color="auto"/>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r>
      <w:tr>
        <w:trPr>
          <w:trHeight w:val="250"/>
        </w:trPr>
        <w:tc>
          <w:tcPr>
            <w:tcW w:w="1760" w:type="dxa"/>
            <w:vAlign w:val="bottom"/>
          </w:tcPr>
          <w:p>
            <w:pPr>
              <w:spacing w:after="0"/>
              <w:rPr>
                <w:sz w:val="20"/>
                <w:szCs w:val="20"/>
                <w:color w:val="auto"/>
              </w:rPr>
            </w:pPr>
            <w:r>
              <w:rPr>
                <w:rFonts w:ascii="Arial" w:cs="Arial" w:eastAsia="Arial" w:hAnsi="Arial"/>
                <w:sz w:val="18"/>
                <w:szCs w:val="18"/>
                <w:color w:val="auto"/>
              </w:rPr>
              <w:t>Total lease cost</w:t>
            </w:r>
          </w:p>
        </w:tc>
        <w:tc>
          <w:tcPr>
            <w:tcW w:w="3520" w:type="dxa"/>
            <w:vAlign w:val="bottom"/>
          </w:tcPr>
          <w:p>
            <w:pPr>
              <w:spacing w:after="0"/>
              <w:rPr>
                <w:sz w:val="21"/>
                <w:szCs w:val="21"/>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7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0"/>
        </w:trPr>
        <w:tc>
          <w:tcPr>
            <w:tcW w:w="17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4152265</wp:posOffset>
            </wp:positionH>
            <wp:positionV relativeFrom="paragraph">
              <wp:posOffset>-193675</wp:posOffset>
            </wp:positionV>
            <wp:extent cx="94615"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5035550</wp:posOffset>
            </wp:positionH>
            <wp:positionV relativeFrom="paragraph">
              <wp:posOffset>-193675</wp:posOffset>
            </wp:positionV>
            <wp:extent cx="94615"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5858510</wp:posOffset>
            </wp:positionH>
            <wp:positionV relativeFrom="paragraph">
              <wp:posOffset>-193675</wp:posOffset>
            </wp:positionV>
            <wp:extent cx="85725"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Ashland’s lease assets and liabilities as presented in the Condensed 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119380</wp:posOffset>
            </wp:positionV>
            <wp:extent cx="66262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94" w:lineRule="exact"/>
        <w:rPr>
          <w:sz w:val="20"/>
          <w:szCs w:val="20"/>
          <w:color w:val="auto"/>
        </w:rPr>
      </w:pPr>
    </w:p>
    <w:tbl>
      <w:tblPr>
        <w:tblLayout w:type="fixed"/>
        <w:tblInd w:w="80" w:type="dxa"/>
        <w:tblCellMar>
          <w:top w:w="0" w:type="dxa"/>
          <w:left w:w="0" w:type="dxa"/>
          <w:bottom w:w="0" w:type="dxa"/>
          <w:right w:w="0" w:type="dxa"/>
        </w:tblCellMar>
      </w:tblPr>
      <w:tr>
        <w:trPr>
          <w:trHeight w:val="229"/>
        </w:trPr>
        <w:tc>
          <w:tcPr>
            <w:tcW w:w="70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June 30,</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270"/>
              <w:spacing w:after="0"/>
              <w:rPr>
                <w:sz w:val="20"/>
                <w:szCs w:val="20"/>
                <w:color w:val="auto"/>
              </w:rPr>
            </w:pPr>
            <w:r>
              <w:rPr>
                <w:rFonts w:ascii="Arial" w:cs="Arial" w:eastAsia="Arial" w:hAnsi="Arial"/>
                <w:sz w:val="18"/>
                <w:szCs w:val="18"/>
                <w:color w:val="auto"/>
                <w:w w:val="89"/>
              </w:rPr>
              <w:t>September 30,</w:t>
            </w:r>
          </w:p>
        </w:tc>
      </w:tr>
      <w:tr>
        <w:trPr>
          <w:trHeight w:val="230"/>
        </w:trPr>
        <w:tc>
          <w:tcPr>
            <w:tcW w:w="7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2021</w:t>
            </w:r>
          </w:p>
        </w:tc>
        <w:tc>
          <w:tcPr>
            <w:tcW w:w="4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r>
      <w:tr>
        <w:trPr>
          <w:trHeight w:val="250"/>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1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r>
      <w:tr>
        <w:trPr>
          <w:trHeight w:val="256"/>
        </w:trPr>
        <w:tc>
          <w:tcPr>
            <w:tcW w:w="7060" w:type="dxa"/>
            <w:vAlign w:val="bottom"/>
          </w:tcPr>
          <w:p>
            <w:pPr>
              <w:spacing w:after="0"/>
              <w:rPr>
                <w:sz w:val="20"/>
                <w:szCs w:val="20"/>
                <w:color w:val="auto"/>
              </w:rPr>
            </w:pPr>
            <w:r>
              <w:rPr>
                <w:rFonts w:ascii="Arial" w:cs="Arial" w:eastAsia="Arial" w:hAnsi="Arial"/>
                <w:sz w:val="18"/>
                <w:szCs w:val="18"/>
                <w:color w:val="auto"/>
              </w:rPr>
              <w:t>Operating lease assets, net</w:t>
            </w:r>
          </w:p>
        </w:tc>
        <w:tc>
          <w:tcPr>
            <w:tcW w:w="11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w:t>
            </w:r>
          </w:p>
        </w:tc>
      </w:tr>
      <w:tr>
        <w:trPr>
          <w:trHeight w:val="290"/>
        </w:trPr>
        <w:tc>
          <w:tcPr>
            <w:tcW w:w="7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lease assets</w:t>
            </w:r>
          </w:p>
        </w:tc>
        <w:tc>
          <w:tcPr>
            <w:tcW w:w="1100" w:type="dxa"/>
            <w:vAlign w:val="bottom"/>
            <w:tcBorders>
              <w:bottom w:val="single" w:sz="8" w:color="auto"/>
            </w:tcBorders>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134</w:t>
            </w:r>
          </w:p>
        </w:tc>
        <w:tc>
          <w:tcPr>
            <w:tcW w:w="3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137</w:t>
            </w:r>
          </w:p>
        </w:tc>
      </w:tr>
      <w:tr>
        <w:trPr>
          <w:trHeight w:val="237"/>
        </w:trPr>
        <w:tc>
          <w:tcPr>
            <w:tcW w:w="7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56"/>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10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40" w:type="dxa"/>
            <w:vAlign w:val="bottom"/>
            <w:shd w:val="clear" w:color="auto" w:fill="CFF0FC"/>
          </w:tcPr>
          <w:p>
            <w:pPr>
              <w:spacing w:after="0"/>
              <w:rPr>
                <w:sz w:val="22"/>
                <w:szCs w:val="22"/>
                <w:color w:val="auto"/>
              </w:rPr>
            </w:pPr>
          </w:p>
        </w:tc>
      </w:tr>
      <w:tr>
        <w:trPr>
          <w:trHeight w:val="250"/>
        </w:trPr>
        <w:tc>
          <w:tcPr>
            <w:tcW w:w="7060" w:type="dxa"/>
            <w:vAlign w:val="bottom"/>
          </w:tcPr>
          <w:p>
            <w:pPr>
              <w:spacing w:after="0"/>
              <w:rPr>
                <w:sz w:val="20"/>
                <w:szCs w:val="20"/>
                <w:color w:val="auto"/>
              </w:rPr>
            </w:pPr>
            <w:r>
              <w:rPr>
                <w:rFonts w:ascii="Arial" w:cs="Arial" w:eastAsia="Arial" w:hAnsi="Arial"/>
                <w:sz w:val="18"/>
                <w:szCs w:val="18"/>
                <w:color w:val="auto"/>
              </w:rPr>
              <w:t>Current operating lease obligations</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63"/>
        </w:trPr>
        <w:tc>
          <w:tcPr>
            <w:tcW w:w="7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Non-current operating lease obligations</w:t>
            </w:r>
          </w:p>
        </w:tc>
        <w:tc>
          <w:tcPr>
            <w:tcW w:w="1100" w:type="dxa"/>
            <w:vAlign w:val="bottom"/>
            <w:tcBorders>
              <w:bottom w:val="single" w:sz="8" w:color="auto"/>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118</w:t>
            </w:r>
          </w:p>
        </w:tc>
        <w:tc>
          <w:tcPr>
            <w:tcW w:w="1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124</w:t>
            </w:r>
          </w:p>
        </w:tc>
      </w:tr>
      <w:tr>
        <w:trPr>
          <w:trHeight w:val="250"/>
        </w:trPr>
        <w:tc>
          <w:tcPr>
            <w:tcW w:w="7060" w:type="dxa"/>
            <w:vAlign w:val="bottom"/>
          </w:tcPr>
          <w:p>
            <w:pPr>
              <w:spacing w:after="0"/>
              <w:rPr>
                <w:sz w:val="20"/>
                <w:szCs w:val="20"/>
                <w:color w:val="auto"/>
              </w:rPr>
            </w:pPr>
            <w:r>
              <w:rPr>
                <w:rFonts w:ascii="Arial" w:cs="Arial" w:eastAsia="Arial" w:hAnsi="Arial"/>
                <w:sz w:val="18"/>
                <w:szCs w:val="18"/>
                <w:b w:val="1"/>
                <w:bCs w:val="1"/>
                <w:color w:val="auto"/>
              </w:rPr>
              <w:t>Total lease liabilities</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142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147</w:t>
            </w:r>
          </w:p>
        </w:tc>
      </w:tr>
      <w:tr>
        <w:trPr>
          <w:trHeight w:val="20"/>
        </w:trPr>
        <w:tc>
          <w:tcPr>
            <w:tcW w:w="70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5532755</wp:posOffset>
            </wp:positionH>
            <wp:positionV relativeFrom="paragraph">
              <wp:posOffset>-193675</wp:posOffset>
            </wp:positionV>
            <wp:extent cx="12001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0015" cy="5715"/>
                    </a:xfrm>
                    <a:prstGeom prst="rect">
                      <a:avLst/>
                    </a:prstGeom>
                    <a:noFill/>
                  </pic:spPr>
                </pic:pic>
              </a:graphicData>
            </a:graphic>
          </wp:anchor>
        </w:drawing>
      </w:r>
    </w:p>
    <w:p>
      <w:pPr>
        <w:spacing w:after="0" w:line="85"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Ashland often has options to renew lease terms for buildings and other assets. The exercise of lease renewal options are generally at Ashland’s sole discretion. In addition, certain lease arrangements may be terminated prior to their original expiration date at Ashland’s discretion. Ashland evaluates renewal and termination options at the lease commencement date to determine if it is reasonably certain to exercise the option on the basis of economic factors. The weighted average remaining lease term for operating leases as of June 30, 2021 and September 30, 2020 was approximately 15 years for each period.</w:t>
      </w:r>
    </w:p>
    <w:p>
      <w:pPr>
        <w:spacing w:after="0" w:line="58"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Residual value guarantees are not common within Ashland’s lease agreements nor are restrictions or covenants imposed by leases. Ashland has elected the practical expedient to combine lease and non-lease components. The discount rate implicit within the leases is generally not determinable. Therefore, Ashland determines the discount rate based on its incremental borrowing rate. The incremental borrowing rate is determined using a buildup method resulting in an estimated range of secured borrowing rates matching the lease term and the currency of the jurisdiction in which lease payments are made, adjusted for impacts of collateral. Consideration was given to Ashland’s own relevant debt issuances as well as debt instruments of comparable companies with similar credit characteristics. The weighted average discount rate used to measure operating lease liabilities as of June 30, 2021 and September 30, 2020 was 2.9%, respectively. As of June 30, 2021, Ashland entered into certain leases that have not yet commenced but that create significant rights and obligations. The aggregate value of these leases was $5 million.</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660" w:top="136" w:right="659" w:bottom="1440" w:gutter="0" w:footer="0" w:header="0"/>
        </w:sectPr>
      </w:pPr>
    </w:p>
    <w:bookmarkStart w:id="19" w:name="page20"/>
    <w:bookmarkEnd w:id="19"/>
    <w:p>
      <w:pPr>
        <w:jc w:val="both"/>
        <w:ind w:left="340"/>
        <w:spacing w:after="0" w:line="274" w:lineRule="auto"/>
        <w:rPr>
          <w:sz w:val="20"/>
          <w:szCs w:val="20"/>
          <w:color w:val="auto"/>
        </w:rPr>
      </w:pPr>
      <w:r>
        <w:rPr>
          <w:rFonts w:ascii="Arial" w:cs="Arial" w:eastAsia="Arial" w:hAnsi="Arial"/>
          <w:sz w:val="20"/>
          <w:szCs w:val="20"/>
          <w:color w:val="auto"/>
        </w:rPr>
        <w:t>Right-of-use assets exchanged for new operating lease obligations were $6 million and $1 million for the three months ended June 30, 2021 and 2020, respectively, and $16 million and $3 million for the nine months ended June 30, 2021 and 2020. This includes $1 million of right-of-use assets and operating lease obligations recorded as a result of the purchase of the Schülke personal care business during the three and nine months ended June 30, 2021.</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Cash paid for amounts included in the measurement of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22860</wp:posOffset>
            </wp:positionV>
            <wp:extent cx="66262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42"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40" w:type="dxa"/>
            <w:vAlign w:val="bottom"/>
            <w:gridSpan w:val="3"/>
          </w:tcPr>
          <w:p>
            <w:pPr>
              <w:jc w:val="center"/>
              <w:ind w:left="50"/>
              <w:spacing w:after="0"/>
              <w:rPr>
                <w:sz w:val="20"/>
                <w:szCs w:val="20"/>
                <w:color w:val="auto"/>
              </w:rPr>
            </w:pPr>
            <w:r>
              <w:rPr>
                <w:rFonts w:ascii="Arial" w:cs="Arial" w:eastAsia="Arial" w:hAnsi="Arial"/>
                <w:sz w:val="18"/>
                <w:szCs w:val="18"/>
                <w:color w:val="auto"/>
                <w:w w:val="89"/>
              </w:rPr>
              <w:t>Three months ended</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Nine months ended</w:t>
            </w:r>
          </w:p>
        </w:tc>
        <w:tc>
          <w:tcPr>
            <w:tcW w:w="520" w:type="dxa"/>
            <w:vAlign w:val="bottom"/>
          </w:tcPr>
          <w:p>
            <w:pPr>
              <w:spacing w:after="0"/>
              <w:rPr>
                <w:sz w:val="20"/>
                <w:szCs w:val="20"/>
                <w:color w:val="auto"/>
              </w:rPr>
            </w:pPr>
          </w:p>
        </w:tc>
      </w:tr>
      <w:tr>
        <w:trPr>
          <w:trHeight w:val="263"/>
        </w:trPr>
        <w:tc>
          <w:tcPr>
            <w:tcW w:w="4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7"/>
              </w:rPr>
              <w:t>June 30</w:t>
            </w:r>
          </w:p>
        </w:tc>
        <w:tc>
          <w:tcPr>
            <w:tcW w:w="5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87"/>
              </w:rPr>
              <w:t>June 30</w:t>
            </w:r>
          </w:p>
        </w:tc>
        <w:tc>
          <w:tcPr>
            <w:tcW w:w="520" w:type="dxa"/>
            <w:vAlign w:val="bottom"/>
            <w:tcBorders>
              <w:bottom w:val="single" w:sz="8" w:color="auto"/>
            </w:tcBorders>
          </w:tcPr>
          <w:p>
            <w:pPr>
              <w:spacing w:after="0"/>
              <w:rPr>
                <w:sz w:val="22"/>
                <w:szCs w:val="22"/>
                <w:color w:val="auto"/>
              </w:rPr>
            </w:pPr>
          </w:p>
        </w:tc>
      </w:tr>
      <w:tr>
        <w:trPr>
          <w:trHeight w:val="250"/>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2020</w:t>
            </w:r>
          </w:p>
        </w:tc>
        <w:tc>
          <w:tcPr>
            <w:tcW w:w="1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7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2020</w:t>
            </w:r>
          </w:p>
        </w:tc>
      </w:tr>
      <w:tr>
        <w:trPr>
          <w:trHeight w:val="257"/>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Operating cash flows from operating leases</w:t>
            </w:r>
          </w:p>
        </w:tc>
        <w:tc>
          <w:tcPr>
            <w:tcW w:w="13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840" w:type="dxa"/>
            <w:vAlign w:val="bottom"/>
            <w:gridSpan w:val="2"/>
            <w:shd w:val="clear" w:color="auto" w:fill="CFF0FC"/>
          </w:tcPr>
          <w:p>
            <w:pPr>
              <w:jc w:val="right"/>
              <w:ind w:righ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w:t>
            </w:r>
          </w:p>
        </w:tc>
        <w:tc>
          <w:tcPr>
            <w:tcW w:w="74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21</w:t>
            </w:r>
          </w:p>
        </w:tc>
      </w:tr>
    </w:tbl>
    <w:p>
      <w:pPr>
        <w:spacing w:after="0" w:line="126"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Maturity Analysis of Lease Liabilities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20"/>
          <w:szCs w:val="20"/>
          <w:color w:val="auto"/>
        </w:rPr>
        <w:t>Maturities of lease liabilities are shown below as of June 30, 2021 and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87630</wp:posOffset>
            </wp:positionV>
            <wp:extent cx="66262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44" w:lineRule="exact"/>
        <w:rPr>
          <w:sz w:val="20"/>
          <w:szCs w:val="20"/>
          <w:color w:val="auto"/>
        </w:rPr>
      </w:pPr>
    </w:p>
    <w:tbl>
      <w:tblPr>
        <w:tblLayout w:type="fixed"/>
        <w:tblInd w:w="420" w:type="dxa"/>
        <w:tblCellMar>
          <w:top w:w="0" w:type="dxa"/>
          <w:left w:w="0" w:type="dxa"/>
          <w:bottom w:w="0" w:type="dxa"/>
          <w:right w:w="0" w:type="dxa"/>
        </w:tblCellMar>
      </w:tblPr>
      <w:tr>
        <w:trPr>
          <w:trHeight w:val="229"/>
        </w:trPr>
        <w:tc>
          <w:tcPr>
            <w:tcW w:w="70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June 30,</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270"/>
              <w:spacing w:after="0"/>
              <w:rPr>
                <w:sz w:val="20"/>
                <w:szCs w:val="20"/>
                <w:color w:val="auto"/>
              </w:rPr>
            </w:pPr>
            <w:r>
              <w:rPr>
                <w:rFonts w:ascii="Arial" w:cs="Arial" w:eastAsia="Arial" w:hAnsi="Arial"/>
                <w:sz w:val="18"/>
                <w:szCs w:val="18"/>
                <w:color w:val="auto"/>
                <w:w w:val="89"/>
              </w:rPr>
              <w:t>September 30,</w:t>
            </w:r>
          </w:p>
        </w:tc>
      </w:tr>
      <w:tr>
        <w:trPr>
          <w:trHeight w:val="230"/>
        </w:trPr>
        <w:tc>
          <w:tcPr>
            <w:tcW w:w="7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2021</w:t>
            </w:r>
          </w:p>
        </w:tc>
        <w:tc>
          <w:tcPr>
            <w:tcW w:w="4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r>
      <w:tr>
        <w:trPr>
          <w:trHeight w:val="25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1100" w:type="dxa"/>
            <w:vAlign w:val="bottom"/>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28</w:t>
            </w:r>
          </w:p>
        </w:tc>
      </w:tr>
      <w:tr>
        <w:trPr>
          <w:trHeight w:val="250"/>
        </w:trPr>
        <w:tc>
          <w:tcPr>
            <w:tcW w:w="7060" w:type="dxa"/>
            <w:vAlign w:val="bottom"/>
          </w:tcPr>
          <w:p>
            <w:pPr>
              <w:spacing w:after="0"/>
              <w:rPr>
                <w:sz w:val="20"/>
                <w:szCs w:val="20"/>
                <w:color w:val="auto"/>
              </w:rPr>
            </w:pPr>
            <w:r>
              <w:rPr>
                <w:rFonts w:ascii="Arial" w:cs="Arial" w:eastAsia="Arial" w:hAnsi="Arial"/>
                <w:sz w:val="18"/>
                <w:szCs w:val="18"/>
                <w:color w:val="auto"/>
              </w:rPr>
              <w:t>2022</w:t>
            </w:r>
          </w:p>
        </w:tc>
        <w:tc>
          <w:tcPr>
            <w:tcW w:w="110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63"/>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100" w:type="dxa"/>
            <w:vAlign w:val="bottom"/>
            <w:shd w:val="clear" w:color="auto" w:fill="CFF0FC"/>
          </w:tcPr>
          <w:p>
            <w:pPr>
              <w:spacing w:after="0"/>
              <w:rPr>
                <w:sz w:val="22"/>
                <w:szCs w:val="22"/>
                <w:color w:val="auto"/>
              </w:rPr>
            </w:pP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17</w:t>
            </w:r>
          </w:p>
        </w:tc>
      </w:tr>
      <w:tr>
        <w:trPr>
          <w:trHeight w:val="250"/>
        </w:trPr>
        <w:tc>
          <w:tcPr>
            <w:tcW w:w="7060" w:type="dxa"/>
            <w:vAlign w:val="bottom"/>
          </w:tcPr>
          <w:p>
            <w:pPr>
              <w:spacing w:after="0"/>
              <w:rPr>
                <w:sz w:val="20"/>
                <w:szCs w:val="20"/>
                <w:color w:val="auto"/>
              </w:rPr>
            </w:pPr>
            <w:r>
              <w:rPr>
                <w:rFonts w:ascii="Arial" w:cs="Arial" w:eastAsia="Arial" w:hAnsi="Arial"/>
                <w:sz w:val="18"/>
                <w:szCs w:val="18"/>
                <w:color w:val="auto"/>
              </w:rPr>
              <w:t>2024</w:t>
            </w:r>
          </w:p>
        </w:tc>
        <w:tc>
          <w:tcPr>
            <w:tcW w:w="110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63"/>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100" w:type="dxa"/>
            <w:vAlign w:val="bottom"/>
            <w:shd w:val="clear" w:color="auto" w:fill="CFF0FC"/>
          </w:tcPr>
          <w:p>
            <w:pPr>
              <w:spacing w:after="0"/>
              <w:rPr>
                <w:sz w:val="22"/>
                <w:szCs w:val="22"/>
                <w:color w:val="auto"/>
              </w:rPr>
            </w:pP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w:t>
            </w:r>
          </w:p>
        </w:tc>
      </w:tr>
      <w:tr>
        <w:trPr>
          <w:trHeight w:val="257"/>
        </w:trPr>
        <w:tc>
          <w:tcPr>
            <w:tcW w:w="7060" w:type="dxa"/>
            <w:vAlign w:val="bottom"/>
          </w:tcPr>
          <w:p>
            <w:pPr>
              <w:spacing w:after="0"/>
              <w:rPr>
                <w:sz w:val="20"/>
                <w:szCs w:val="20"/>
                <w:color w:val="auto"/>
              </w:rPr>
            </w:pPr>
            <w:r>
              <w:rPr>
                <w:rFonts w:ascii="Arial" w:cs="Arial" w:eastAsia="Arial" w:hAnsi="Arial"/>
                <w:sz w:val="18"/>
                <w:szCs w:val="18"/>
                <w:color w:val="auto"/>
              </w:rPr>
              <w:t>Thereafter</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92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5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1100" w:type="dxa"/>
            <w:vAlign w:val="bottom"/>
            <w:tcBorders>
              <w:top w:val="single" w:sz="8" w:color="auto"/>
            </w:tcBorders>
            <w:shd w:val="clear" w:color="auto" w:fill="CFF0FC"/>
          </w:tcPr>
          <w:p>
            <w:pPr>
              <w:spacing w:after="0"/>
              <w:rPr>
                <w:sz w:val="21"/>
                <w:szCs w:val="21"/>
                <w:color w:val="auto"/>
              </w:rPr>
            </w:pPr>
          </w:p>
        </w:tc>
        <w:tc>
          <w:tcPr>
            <w:tcW w:w="4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186</w:t>
            </w:r>
          </w:p>
        </w:tc>
        <w:tc>
          <w:tcPr>
            <w:tcW w:w="18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44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192</w:t>
            </w:r>
          </w:p>
        </w:tc>
      </w:tr>
      <w:tr>
        <w:trPr>
          <w:trHeight w:val="256"/>
        </w:trPr>
        <w:tc>
          <w:tcPr>
            <w:tcW w:w="7060" w:type="dxa"/>
            <w:vAlign w:val="bottom"/>
          </w:tcPr>
          <w:p>
            <w:pPr>
              <w:spacing w:after="0"/>
              <w:rPr>
                <w:sz w:val="20"/>
                <w:szCs w:val="20"/>
                <w:color w:val="auto"/>
              </w:rPr>
            </w:pPr>
            <w:r>
              <w:rPr>
                <w:rFonts w:ascii="Arial" w:cs="Arial" w:eastAsia="Arial" w:hAnsi="Arial"/>
                <w:sz w:val="18"/>
                <w:szCs w:val="18"/>
                <w:color w:val="auto"/>
              </w:rPr>
              <w:t>Less amount of lease payment representing interest</w:t>
            </w:r>
          </w:p>
        </w:tc>
        <w:tc>
          <w:tcPr>
            <w:tcW w:w="1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(44 )</w:t>
            </w:r>
          </w:p>
        </w:tc>
        <w:tc>
          <w:tcPr>
            <w:tcW w:w="1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(45 )</w:t>
            </w:r>
          </w:p>
        </w:tc>
      </w:tr>
      <w:tr>
        <w:trPr>
          <w:trHeight w:val="290"/>
        </w:trPr>
        <w:tc>
          <w:tcPr>
            <w:tcW w:w="7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present value of lease payments</w:t>
            </w:r>
          </w:p>
        </w:tc>
        <w:tc>
          <w:tcPr>
            <w:tcW w:w="1100" w:type="dxa"/>
            <w:vAlign w:val="bottom"/>
            <w:tcBorders>
              <w:bottom w:val="single" w:sz="8" w:color="auto"/>
            </w:tcBorders>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142</w:t>
            </w:r>
          </w:p>
        </w:tc>
        <w:tc>
          <w:tcPr>
            <w:tcW w:w="1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-25400</wp:posOffset>
            </wp:positionV>
            <wp:extent cx="1200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1200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J – INCOME TAXES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Current fiscal year</w:t>
      </w:r>
    </w:p>
    <w:p>
      <w:pPr>
        <w:spacing w:after="0" w:line="141" w:lineRule="exact"/>
        <w:rPr>
          <w:sz w:val="20"/>
          <w:szCs w:val="20"/>
          <w:color w:val="auto"/>
        </w:rPr>
      </w:pPr>
    </w:p>
    <w:p>
      <w:pPr>
        <w:jc w:val="both"/>
        <w:ind w:left="340" w:right="20"/>
        <w:spacing w:after="0" w:line="278" w:lineRule="auto"/>
        <w:rPr>
          <w:sz w:val="20"/>
          <w:szCs w:val="20"/>
          <w:color w:val="auto"/>
        </w:rPr>
      </w:pPr>
      <w:r>
        <w:rPr>
          <w:rFonts w:ascii="Arial" w:cs="Arial" w:eastAsia="Arial" w:hAnsi="Arial"/>
          <w:sz w:val="20"/>
          <w:szCs w:val="20"/>
          <w:color w:val="auto"/>
        </w:rPr>
        <w:t>Ashland’s effective tax rate in any interim period is subject to adjustments related to discrete items and the mix of domestic and foreign operating results. The overall effective tax rate was a benefit of 38% and 13% for the three and nine months ended June 30, 2021.</w:t>
      </w:r>
    </w:p>
    <w:p>
      <w:pPr>
        <w:spacing w:after="0" w:line="78" w:lineRule="exact"/>
        <w:rPr>
          <w:sz w:val="20"/>
          <w:szCs w:val="20"/>
          <w:color w:val="auto"/>
        </w:rPr>
      </w:pPr>
    </w:p>
    <w:p>
      <w:pPr>
        <w:jc w:val="both"/>
        <w:ind w:left="340"/>
        <w:spacing w:after="0" w:line="274" w:lineRule="auto"/>
        <w:rPr>
          <w:sz w:val="20"/>
          <w:szCs w:val="20"/>
          <w:color w:val="auto"/>
        </w:rPr>
      </w:pPr>
      <w:r>
        <w:rPr>
          <w:rFonts w:ascii="Arial" w:cs="Arial" w:eastAsia="Arial" w:hAnsi="Arial"/>
          <w:sz w:val="20"/>
          <w:szCs w:val="20"/>
          <w:color w:val="auto"/>
        </w:rPr>
        <w:t>The current quarter tax rate was impacted by jurisdictional income mix, as well as $33 million from favorable tax discrete items primarily related to the favorable resolution of previously uncertain tax positions. The current nine months tax rate was impacted by jurisdictional mix as well as $53 million from favorable tax discrete items primarily related to the Specialty Additives facility sale and uncertain tax positions.</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Prior fiscal year</w:t>
      </w:r>
    </w:p>
    <w:p>
      <w:pPr>
        <w:spacing w:after="0" w:line="141" w:lineRule="exact"/>
        <w:rPr>
          <w:sz w:val="20"/>
          <w:szCs w:val="20"/>
          <w:color w:val="auto"/>
        </w:rPr>
      </w:pPr>
    </w:p>
    <w:p>
      <w:pPr>
        <w:jc w:val="both"/>
        <w:ind w:left="340" w:right="20"/>
        <w:spacing w:after="0" w:line="293" w:lineRule="auto"/>
        <w:rPr>
          <w:sz w:val="20"/>
          <w:szCs w:val="20"/>
          <w:color w:val="auto"/>
        </w:rPr>
      </w:pPr>
      <w:r>
        <w:rPr>
          <w:rFonts w:ascii="Arial" w:cs="Arial" w:eastAsia="Arial" w:hAnsi="Arial"/>
          <w:sz w:val="19"/>
          <w:szCs w:val="19"/>
          <w:color w:val="auto"/>
        </w:rPr>
        <w:t>The overall effective tax rate was an expense of 19% for the three months ended June 30, 2020 and a benefit of 4% for the nine months ended June 30, 2020. The quarter tax rate was primarily impacted by income mix and net unfavorable discrete items of $4 million. The nine months tax rate was impacted by the nondeductible goodwill impairment of $527 million of the $530 million charge and a favorable tax discrete item from the tax benefit related to the Swiss Tax Reform.</w:t>
      </w:r>
    </w:p>
    <w:p>
      <w:pPr>
        <w:spacing w:after="0" w:line="61"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Unrecognized tax benefits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20"/>
          <w:szCs w:val="20"/>
          <w:color w:val="auto"/>
        </w:rPr>
        <w:t>Changes in unrecognized tax benefits are summarized as follows for the nine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104775</wp:posOffset>
            </wp:positionV>
            <wp:extent cx="66262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millions)</w:t>
      </w:r>
    </w:p>
    <w:p>
      <w:pPr>
        <w:spacing w:after="0" w:line="23" w:lineRule="exact"/>
        <w:rPr>
          <w:sz w:val="20"/>
          <w:szCs w:val="20"/>
          <w:color w:val="auto"/>
        </w:rPr>
      </w:pPr>
    </w:p>
    <w:tbl>
      <w:tblPr>
        <w:tblLayout w:type="fixed"/>
        <w:tblInd w:w="420" w:type="dxa"/>
        <w:tblCellMar>
          <w:top w:w="0" w:type="dxa"/>
          <w:left w:w="0" w:type="dxa"/>
          <w:bottom w:w="0" w:type="dxa"/>
          <w:right w:w="0" w:type="dxa"/>
        </w:tblCellMar>
      </w:tblPr>
      <w:tr>
        <w:trPr>
          <w:trHeight w:val="250"/>
        </w:trPr>
        <w:tc>
          <w:tcPr>
            <w:tcW w:w="8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Balance at October 1, 2020</w:t>
            </w:r>
          </w:p>
        </w:tc>
        <w:tc>
          <w:tcPr>
            <w:tcW w:w="1020" w:type="dxa"/>
            <w:vAlign w:val="bottom"/>
            <w:tcBorders>
              <w:top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171</w:t>
            </w:r>
          </w:p>
        </w:tc>
      </w:tr>
      <w:tr>
        <w:trPr>
          <w:trHeight w:val="250"/>
        </w:trPr>
        <w:tc>
          <w:tcPr>
            <w:tcW w:w="8120" w:type="dxa"/>
            <w:vAlign w:val="bottom"/>
          </w:tcPr>
          <w:p>
            <w:pPr>
              <w:spacing w:after="0"/>
              <w:rPr>
                <w:sz w:val="20"/>
                <w:szCs w:val="20"/>
                <w:color w:val="auto"/>
              </w:rPr>
            </w:pPr>
            <w:r>
              <w:rPr>
                <w:rFonts w:ascii="Arial" w:cs="Arial" w:eastAsia="Arial" w:hAnsi="Arial"/>
                <w:sz w:val="18"/>
                <w:szCs w:val="18"/>
                <w:color w:val="auto"/>
              </w:rPr>
              <w:t>Increases related to positions taken on items from prior years</w:t>
            </w:r>
          </w:p>
        </w:tc>
        <w:tc>
          <w:tcPr>
            <w:tcW w:w="10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8120" w:type="dxa"/>
            <w:vAlign w:val="bottom"/>
            <w:shd w:val="clear" w:color="auto" w:fill="CFF0FC"/>
          </w:tcPr>
          <w:p>
            <w:pPr>
              <w:spacing w:after="0"/>
              <w:rPr>
                <w:sz w:val="20"/>
                <w:szCs w:val="20"/>
                <w:color w:val="auto"/>
              </w:rPr>
            </w:pPr>
            <w:r>
              <w:rPr>
                <w:rFonts w:ascii="Arial" w:cs="Arial" w:eastAsia="Arial" w:hAnsi="Arial"/>
                <w:sz w:val="18"/>
                <w:szCs w:val="18"/>
                <w:color w:val="auto"/>
              </w:rPr>
              <w:t>Increases related to positions taken in the current year</w:t>
            </w:r>
          </w:p>
        </w:tc>
        <w:tc>
          <w:tcPr>
            <w:tcW w:w="1020" w:type="dxa"/>
            <w:vAlign w:val="bottom"/>
            <w:shd w:val="clear" w:color="auto" w:fill="CFF0FC"/>
          </w:tcPr>
          <w:p>
            <w:pPr>
              <w:spacing w:after="0"/>
              <w:rPr>
                <w:sz w:val="22"/>
                <w:szCs w:val="22"/>
                <w:color w:val="auto"/>
              </w:rPr>
            </w:pPr>
          </w:p>
        </w:tc>
        <w:tc>
          <w:tcPr>
            <w:tcW w:w="1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w:t>
            </w:r>
          </w:p>
        </w:tc>
      </w:tr>
      <w:tr>
        <w:trPr>
          <w:trHeight w:val="250"/>
        </w:trPr>
        <w:tc>
          <w:tcPr>
            <w:tcW w:w="8120" w:type="dxa"/>
            <w:vAlign w:val="bottom"/>
          </w:tcPr>
          <w:p>
            <w:pPr>
              <w:spacing w:after="0"/>
              <w:rPr>
                <w:sz w:val="20"/>
                <w:szCs w:val="20"/>
                <w:color w:val="auto"/>
              </w:rPr>
            </w:pPr>
            <w:r>
              <w:rPr>
                <w:rFonts w:ascii="Arial" w:cs="Arial" w:eastAsia="Arial" w:hAnsi="Arial"/>
                <w:sz w:val="18"/>
                <w:szCs w:val="18"/>
                <w:color w:val="auto"/>
              </w:rPr>
              <w:t xml:space="preserve">Decreases related to positions taken in prior years </w:t>
            </w:r>
            <w:r>
              <w:rPr>
                <w:rFonts w:ascii="Arial" w:cs="Arial" w:eastAsia="Arial" w:hAnsi="Arial"/>
                <w:sz w:val="14"/>
                <w:szCs w:val="14"/>
                <w:color w:val="auto"/>
              </w:rPr>
              <w:t>(a)</w:t>
            </w:r>
          </w:p>
        </w:tc>
        <w:tc>
          <w:tcPr>
            <w:tcW w:w="10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(68 )</w:t>
            </w:r>
          </w:p>
        </w:tc>
      </w:tr>
      <w:tr>
        <w:trPr>
          <w:trHeight w:val="263"/>
        </w:trPr>
        <w:tc>
          <w:tcPr>
            <w:tcW w:w="8120" w:type="dxa"/>
            <w:vAlign w:val="bottom"/>
            <w:shd w:val="clear" w:color="auto" w:fill="CFF0FC"/>
          </w:tcPr>
          <w:p>
            <w:pPr>
              <w:spacing w:after="0"/>
              <w:rPr>
                <w:sz w:val="20"/>
                <w:szCs w:val="20"/>
                <w:color w:val="auto"/>
              </w:rPr>
            </w:pPr>
            <w:r>
              <w:rPr>
                <w:rFonts w:ascii="Arial" w:cs="Arial" w:eastAsia="Arial" w:hAnsi="Arial"/>
                <w:sz w:val="18"/>
                <w:szCs w:val="18"/>
                <w:color w:val="auto"/>
              </w:rPr>
              <w:t>Settlements</w:t>
            </w:r>
          </w:p>
        </w:tc>
        <w:tc>
          <w:tcPr>
            <w:tcW w:w="102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(20 )</w:t>
            </w:r>
          </w:p>
        </w:tc>
      </w:tr>
      <w:tr>
        <w:trPr>
          <w:trHeight w:val="256"/>
        </w:trPr>
        <w:tc>
          <w:tcPr>
            <w:tcW w:w="8120" w:type="dxa"/>
            <w:vAlign w:val="bottom"/>
          </w:tcPr>
          <w:p>
            <w:pPr>
              <w:spacing w:after="0"/>
              <w:rPr>
                <w:sz w:val="20"/>
                <w:szCs w:val="20"/>
                <w:color w:val="auto"/>
              </w:rPr>
            </w:pPr>
            <w:r>
              <w:rPr>
                <w:rFonts w:ascii="Arial" w:cs="Arial" w:eastAsia="Arial" w:hAnsi="Arial"/>
                <w:sz w:val="18"/>
                <w:szCs w:val="18"/>
                <w:color w:val="auto"/>
              </w:rPr>
              <w:t>Lapse of statute of limitations</w:t>
            </w:r>
          </w:p>
        </w:tc>
        <w:tc>
          <w:tcPr>
            <w:tcW w:w="10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r>
      <w:tr>
        <w:trPr>
          <w:trHeight w:val="290"/>
        </w:trPr>
        <w:tc>
          <w:tcPr>
            <w:tcW w:w="8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June 30, 2021</w:t>
            </w: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163195</wp:posOffset>
            </wp:positionV>
            <wp:extent cx="66262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 The Ashland indemnity from Valvoline was reduced by $30 million.</w:t>
      </w:r>
    </w:p>
    <w:p>
      <w:pPr>
        <w:sectPr>
          <w:pgSz w:w="11900" w:h="16838" w:orient="portrait"/>
          <w:cols w:equalWidth="0" w:num="1">
            <w:col w:w="10920"/>
          </w:cols>
          <w:pgMar w:left="320" w:top="136" w:right="659" w:bottom="1440" w:gutter="0" w:footer="0" w:header="0"/>
        </w:sectPr>
      </w:pPr>
    </w:p>
    <w:p>
      <w:pPr>
        <w:spacing w:after="0" w:line="127"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36" w:right="659" w:bottom="1440" w:gutter="0" w:footer="0" w:header="0"/>
          <w:type w:val="continuous"/>
        </w:sectPr>
      </w:pPr>
    </w:p>
    <w:bookmarkStart w:id="20" w:name="page21"/>
    <w:bookmarkEnd w:id="20"/>
    <w:p>
      <w:pPr>
        <w:jc w:val="both"/>
        <w:ind w:left="340"/>
        <w:spacing w:after="0" w:line="272" w:lineRule="auto"/>
        <w:rPr>
          <w:sz w:val="20"/>
          <w:szCs w:val="20"/>
          <w:color w:val="auto"/>
        </w:rPr>
      </w:pPr>
      <w:r>
        <w:rPr>
          <w:rFonts w:ascii="Arial" w:cs="Arial" w:eastAsia="Arial" w:hAnsi="Arial"/>
          <w:sz w:val="20"/>
          <w:szCs w:val="20"/>
          <w:color w:val="auto"/>
        </w:rPr>
        <w:t>From a combination of statute expirations and audit settlements in the next twelve months, Ashland expects a decrease in the amount accrued for uncertain tax positions of between $14 million and $18 million for continuing operations. It is reasonably possible that there could be other material changes to the amount of uncertain tax positions due to activities of the taxing authorities, settlement of audit issues or the reassessment of existing uncertain tax positions; however, Ashland is not able to estimate the impact of these items at this time.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K - EMPLOYEE BENEFIT PLANS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Schülke personal care acquisition</w:t>
      </w:r>
    </w:p>
    <w:p>
      <w:pPr>
        <w:spacing w:after="0" w:line="141" w:lineRule="exact"/>
        <w:rPr>
          <w:sz w:val="20"/>
          <w:szCs w:val="20"/>
          <w:color w:val="auto"/>
        </w:rPr>
      </w:pPr>
    </w:p>
    <w:p>
      <w:pPr>
        <w:jc w:val="both"/>
        <w:ind w:left="340"/>
        <w:spacing w:after="0" w:line="288" w:lineRule="auto"/>
        <w:rPr>
          <w:sz w:val="20"/>
          <w:szCs w:val="20"/>
          <w:color w:val="auto"/>
        </w:rPr>
      </w:pPr>
      <w:r>
        <w:rPr>
          <w:rFonts w:ascii="Arial" w:cs="Arial" w:eastAsia="Arial" w:hAnsi="Arial"/>
          <w:sz w:val="20"/>
          <w:szCs w:val="20"/>
          <w:color w:val="auto"/>
        </w:rPr>
        <w:t>In April 2021, in conjunction with the purchase of the Schülke personal care business, Ashland assumed $6 million of net liabilities associated with defined benefit pension plans.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Plan contributions</w:t>
      </w:r>
    </w:p>
    <w:p>
      <w:pPr>
        <w:spacing w:after="0" w:line="141" w:lineRule="exact"/>
        <w:rPr>
          <w:sz w:val="20"/>
          <w:szCs w:val="20"/>
          <w:color w:val="auto"/>
        </w:rPr>
      </w:pPr>
    </w:p>
    <w:p>
      <w:pPr>
        <w:jc w:val="both"/>
        <w:ind w:left="340" w:right="20"/>
        <w:spacing w:after="0" w:line="278" w:lineRule="auto"/>
        <w:rPr>
          <w:sz w:val="20"/>
          <w:szCs w:val="20"/>
          <w:color w:val="auto"/>
        </w:rPr>
      </w:pPr>
      <w:r>
        <w:rPr>
          <w:rFonts w:ascii="Arial" w:cs="Arial" w:eastAsia="Arial" w:hAnsi="Arial"/>
          <w:sz w:val="20"/>
          <w:szCs w:val="20"/>
          <w:color w:val="auto"/>
        </w:rPr>
        <w:t>For the nine months ended June 30, 2021, Ashland contributed $5 million to its non-U.S. pension plans and $1 million to its U.S. pension plans. Ashland does not expect to make additional contributions to its non-U.S. and U.S. pension plans during the remainder of fiscal 2021.</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Components of net periodic benefit costs (income)</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following table details the components of pension and other postretirement benefit costs for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104775</wp:posOffset>
            </wp:positionV>
            <wp:extent cx="66262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71" w:lineRule="exact"/>
        <w:rPr>
          <w:sz w:val="20"/>
          <w:szCs w:val="20"/>
          <w:color w:val="auto"/>
        </w:rPr>
      </w:pPr>
    </w:p>
    <w:tbl>
      <w:tblPr>
        <w:tblLayout w:type="fixed"/>
        <w:tblInd w:w="420" w:type="dxa"/>
        <w:tblCellMar>
          <w:top w:w="0" w:type="dxa"/>
          <w:left w:w="0" w:type="dxa"/>
          <w:bottom w:w="0" w:type="dxa"/>
          <w:right w:w="0" w:type="dxa"/>
        </w:tblCellMar>
      </w:tblPr>
      <w:tr>
        <w:trPr>
          <w:trHeight w:val="229"/>
        </w:trPr>
        <w:tc>
          <w:tcPr>
            <w:tcW w:w="3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20" w:type="dxa"/>
            <w:vAlign w:val="bottom"/>
            <w:gridSpan w:val="3"/>
          </w:tcPr>
          <w:p>
            <w:pPr>
              <w:jc w:val="right"/>
              <w:ind w:right="240"/>
              <w:spacing w:after="0"/>
              <w:rPr>
                <w:sz w:val="20"/>
                <w:szCs w:val="20"/>
                <w:color w:val="auto"/>
              </w:rPr>
            </w:pPr>
            <w:r>
              <w:rPr>
                <w:rFonts w:ascii="Arial" w:cs="Arial" w:eastAsia="Arial" w:hAnsi="Arial"/>
                <w:sz w:val="18"/>
                <w:szCs w:val="18"/>
                <w:color w:val="auto"/>
              </w:rPr>
              <w:t>Other postretirement</w:t>
            </w:r>
          </w:p>
        </w:tc>
        <w:tc>
          <w:tcPr>
            <w:tcW w:w="720" w:type="dxa"/>
            <w:vAlign w:val="bottom"/>
          </w:tcPr>
          <w:p>
            <w:pPr>
              <w:spacing w:after="0"/>
              <w:rPr>
                <w:sz w:val="19"/>
                <w:szCs w:val="19"/>
                <w:color w:val="auto"/>
              </w:rPr>
            </w:pPr>
          </w:p>
        </w:tc>
      </w:tr>
      <w:tr>
        <w:trPr>
          <w:trHeight w:val="230"/>
        </w:trPr>
        <w:tc>
          <w:tcPr>
            <w:tcW w:w="35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8"/>
                <w:szCs w:val="18"/>
                <w:color w:val="auto"/>
              </w:rPr>
              <w:t>Pension benefits</w:t>
            </w:r>
          </w:p>
        </w:tc>
        <w:tc>
          <w:tcPr>
            <w:tcW w:w="8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8"/>
                <w:szCs w:val="18"/>
                <w:color w:val="auto"/>
              </w:rPr>
              <w:t>benefits</w:t>
            </w:r>
          </w:p>
        </w:tc>
        <w:tc>
          <w:tcPr>
            <w:tcW w:w="720" w:type="dxa"/>
            <w:vAlign w:val="bottom"/>
            <w:tcBorders>
              <w:bottom w:val="single" w:sz="8" w:color="auto"/>
            </w:tcBorders>
          </w:tcPr>
          <w:p>
            <w:pPr>
              <w:spacing w:after="0"/>
              <w:rPr>
                <w:sz w:val="20"/>
                <w:szCs w:val="20"/>
                <w:color w:val="auto"/>
              </w:rPr>
            </w:pPr>
          </w:p>
        </w:tc>
      </w:tr>
      <w:tr>
        <w:trPr>
          <w:trHeight w:val="243"/>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5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r>
      <w:tr>
        <w:trPr>
          <w:trHeight w:val="257"/>
        </w:trPr>
        <w:tc>
          <w:tcPr>
            <w:tcW w:w="3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Three months ended June 30</w:t>
            </w:r>
          </w:p>
        </w:tc>
        <w:tc>
          <w:tcPr>
            <w:tcW w:w="58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r>
      <w:tr>
        <w:trPr>
          <w:trHeight w:val="250"/>
        </w:trPr>
        <w:tc>
          <w:tcPr>
            <w:tcW w:w="3520" w:type="dxa"/>
            <w:vAlign w:val="bottom"/>
          </w:tcPr>
          <w:p>
            <w:pPr>
              <w:spacing w:after="0"/>
              <w:rPr>
                <w:sz w:val="20"/>
                <w:szCs w:val="20"/>
                <w:color w:val="auto"/>
              </w:rPr>
            </w:pPr>
            <w:r>
              <w:rPr>
                <w:rFonts w:ascii="Arial" w:cs="Arial" w:eastAsia="Arial" w:hAnsi="Arial"/>
                <w:sz w:val="18"/>
                <w:szCs w:val="18"/>
                <w:color w:val="auto"/>
              </w:rPr>
              <w:t>Service cost</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9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Interest cost</w:t>
            </w:r>
          </w:p>
        </w:tc>
        <w:tc>
          <w:tcPr>
            <w:tcW w:w="58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r>
      <w:tr>
        <w:trPr>
          <w:trHeight w:val="250"/>
        </w:trPr>
        <w:tc>
          <w:tcPr>
            <w:tcW w:w="352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5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(2 )</w:t>
            </w: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(3 )</w:t>
            </w: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3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Curtailment</w:t>
            </w:r>
          </w:p>
        </w:tc>
        <w:tc>
          <w:tcPr>
            <w:tcW w:w="58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56"/>
        </w:trPr>
        <w:tc>
          <w:tcPr>
            <w:tcW w:w="3520" w:type="dxa"/>
            <w:vAlign w:val="bottom"/>
          </w:tcPr>
          <w:p>
            <w:pPr>
              <w:spacing w:after="0"/>
              <w:rPr>
                <w:sz w:val="20"/>
                <w:szCs w:val="20"/>
                <w:color w:val="auto"/>
              </w:rPr>
            </w:pPr>
            <w:r>
              <w:rPr>
                <w:rFonts w:ascii="Arial" w:cs="Arial" w:eastAsia="Arial" w:hAnsi="Arial"/>
                <w:sz w:val="18"/>
                <w:szCs w:val="18"/>
                <w:color w:val="auto"/>
              </w:rPr>
              <w:t>Total net periodic benefit costs</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9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0"/>
        </w:trPr>
        <w:tc>
          <w:tcPr>
            <w:tcW w:w="3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3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Nine months ended June 30</w:t>
            </w:r>
          </w:p>
        </w:tc>
        <w:tc>
          <w:tcPr>
            <w:tcW w:w="5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r>
      <w:tr>
        <w:trPr>
          <w:trHeight w:val="250"/>
        </w:trPr>
        <w:tc>
          <w:tcPr>
            <w:tcW w:w="3520" w:type="dxa"/>
            <w:vAlign w:val="bottom"/>
          </w:tcPr>
          <w:p>
            <w:pPr>
              <w:spacing w:after="0"/>
              <w:rPr>
                <w:sz w:val="20"/>
                <w:szCs w:val="20"/>
                <w:color w:val="auto"/>
              </w:rPr>
            </w:pPr>
            <w:r>
              <w:rPr>
                <w:rFonts w:ascii="Arial" w:cs="Arial" w:eastAsia="Arial" w:hAnsi="Arial"/>
                <w:sz w:val="18"/>
                <w:szCs w:val="18"/>
                <w:color w:val="auto"/>
              </w:rPr>
              <w:t>Service cost</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9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63"/>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Interest cost</w:t>
            </w:r>
          </w:p>
        </w:tc>
        <w:tc>
          <w:tcPr>
            <w:tcW w:w="58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r>
      <w:tr>
        <w:trPr>
          <w:trHeight w:val="250"/>
        </w:trPr>
        <w:tc>
          <w:tcPr>
            <w:tcW w:w="352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5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(6 )</w:t>
            </w: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(7 )</w:t>
            </w: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3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Curtailment</w:t>
            </w:r>
          </w:p>
        </w:tc>
        <w:tc>
          <w:tcPr>
            <w:tcW w:w="58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56"/>
        </w:trPr>
        <w:tc>
          <w:tcPr>
            <w:tcW w:w="3520" w:type="dxa"/>
            <w:vAlign w:val="bottom"/>
          </w:tcPr>
          <w:p>
            <w:pPr>
              <w:spacing w:after="0"/>
              <w:rPr>
                <w:sz w:val="20"/>
                <w:szCs w:val="20"/>
                <w:color w:val="auto"/>
              </w:rPr>
            </w:pPr>
            <w:r>
              <w:rPr>
                <w:rFonts w:ascii="Arial" w:cs="Arial" w:eastAsia="Arial" w:hAnsi="Arial"/>
                <w:sz w:val="18"/>
                <w:szCs w:val="18"/>
                <w:color w:val="auto"/>
              </w:rPr>
              <w:t>Total net periodic benefit costs</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9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0"/>
        </w:trPr>
        <w:tc>
          <w:tcPr>
            <w:tcW w:w="3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-1205230</wp:posOffset>
            </wp:positionV>
            <wp:extent cx="120015"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-1205230</wp:posOffset>
            </wp:positionV>
            <wp:extent cx="111125"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-1205230</wp:posOffset>
            </wp:positionV>
            <wp:extent cx="111125"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-193675</wp:posOffset>
            </wp:positionV>
            <wp:extent cx="120015"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-193675</wp:posOffset>
            </wp:positionV>
            <wp:extent cx="111125"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-193675</wp:posOffset>
            </wp:positionV>
            <wp:extent cx="111125"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1125" cy="5715"/>
                    </a:xfrm>
                    <a:prstGeom prst="rect">
                      <a:avLst/>
                    </a:prstGeom>
                    <a:noFill/>
                  </pic:spPr>
                </pic:pic>
              </a:graphicData>
            </a:graphic>
          </wp:anchor>
        </w:drawing>
      </w:r>
    </w:p>
    <w:p>
      <w:pPr>
        <w:spacing w:after="0" w:line="301" w:lineRule="exact"/>
        <w:rPr>
          <w:sz w:val="20"/>
          <w:szCs w:val="20"/>
          <w:color w:val="auto"/>
        </w:rPr>
      </w:pPr>
    </w:p>
    <w:p>
      <w:pPr>
        <w:jc w:val="both"/>
        <w:ind w:left="340"/>
        <w:spacing w:after="0" w:line="274" w:lineRule="auto"/>
        <w:rPr>
          <w:sz w:val="20"/>
          <w:szCs w:val="20"/>
          <w:color w:val="auto"/>
        </w:rPr>
      </w:pPr>
      <w:r>
        <w:rPr>
          <w:rFonts w:ascii="Arial" w:cs="Arial" w:eastAsia="Arial" w:hAnsi="Arial"/>
          <w:sz w:val="20"/>
          <w:szCs w:val="20"/>
          <w:color w:val="auto"/>
        </w:rPr>
        <w:t>For segment reporting purposes, service cost is proportionately allocated to each segment, excluding the Unallocated and other segment, and is recorded within the selling, general and administrative expense and cost of sales captions on the Statements of Consolidated Comprehensive Loss (Income). All other components are recorded within the other net periodic benefit income caption on the Statements of Consolidated Comprehensive Loss (Income).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L – LITIGATION, CLAIMS AND CONTINGENCIES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Asbestos litigation</w:t>
      </w:r>
    </w:p>
    <w:p>
      <w:pPr>
        <w:spacing w:after="0" w:line="141" w:lineRule="exact"/>
        <w:rPr>
          <w:sz w:val="20"/>
          <w:szCs w:val="20"/>
          <w:color w:val="auto"/>
        </w:rPr>
      </w:pPr>
    </w:p>
    <w:p>
      <w:pPr>
        <w:jc w:val="both"/>
        <w:ind w:left="340"/>
        <w:spacing w:after="0" w:line="271" w:lineRule="auto"/>
        <w:rPr>
          <w:sz w:val="20"/>
          <w:szCs w:val="20"/>
          <w:color w:val="auto"/>
        </w:rPr>
      </w:pPr>
      <w:r>
        <w:rPr>
          <w:rFonts w:ascii="Arial" w:cs="Arial" w:eastAsia="Arial" w:hAnsi="Arial"/>
          <w:sz w:val="20"/>
          <w:szCs w:val="20"/>
          <w:color w:val="auto"/>
        </w:rPr>
        <w:t>Ashland is subject to liabilities from claims alleging personal injury caused by exposure to asbestos. Such claims result from indemnification obligations undertaken in 1990 in connection with the sale of Riley Stoker Corporation (Riley) and the acquisition of Hercules in November 2008. Although Riley, a former subsidiary, was neither a producer nor a manufacturer of asbestos, its industrial boilers contained some asbestos-containing components provided by other companies. Hercules, an indirect wholly-owned subsidiary of Ashland, has liabilities from claims alleging personal injury caused by exposure to asbestos. Such claims typically arise from alleged exposure to asbestos fibers from resin encapsulated pipe and tank products sold by one of Hercules’ former subsidiaries to a limited industrial market.</w:t>
      </w:r>
    </w:p>
    <w:p>
      <w:pPr>
        <w:spacing w:after="0" w:line="8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36" w:right="659" w:bottom="1440" w:gutter="0" w:footer="0" w:header="0"/>
        </w:sectPr>
      </w:pPr>
    </w:p>
    <w:bookmarkStart w:id="21" w:name="page22"/>
    <w:bookmarkEnd w:id="21"/>
    <w:p>
      <w:pPr>
        <w:jc w:val="both"/>
        <w:ind w:left="8"/>
        <w:spacing w:after="0" w:line="285" w:lineRule="auto"/>
        <w:rPr>
          <w:sz w:val="20"/>
          <w:szCs w:val="20"/>
          <w:color w:val="auto"/>
        </w:rPr>
      </w:pPr>
      <w:r>
        <w:rPr>
          <w:rFonts w:ascii="Arial" w:cs="Arial" w:eastAsia="Arial" w:hAnsi="Arial"/>
          <w:sz w:val="19"/>
          <w:szCs w:val="19"/>
          <w:color w:val="auto"/>
        </w:rPr>
        <w:t>To assist in developing and annually updating independent reserve estimates for future asbestos claims and related costs given various assumptions for Ashland and Hercules asbestos claims, Ashland retained Nathan Associates Inc. (Nathan). The methodology used by Nathan to project future asbestos costs is based largely on recent experience, including claim-filing and settlement rates, disease mix, enacted legislation, open claims and litigation defense. The claim experience of Ashland and Hercules are separately compared to the results of previously conducted third party epidemiological studies estimating the number of people likely to develop asbestos-related diseases. Those studies were undertaken in connection with national analyses of the population expected to have been exposed to asbestos. Using that information, Nathan estimates a range of the number of future claims that may be filed, as well as the related costs that may be incurred in resolving those claims. Changes in asbestos-related liabilities and receivables are recorded on an after-tax basis within the discontinued operations caption in the Statements of Consolidated Comprehensive Income (Loss).</w:t>
      </w:r>
    </w:p>
    <w:p>
      <w:pPr>
        <w:spacing w:after="0" w:line="78" w:lineRule="exact"/>
        <w:rPr>
          <w:sz w:val="20"/>
          <w:szCs w:val="20"/>
          <w:color w:val="auto"/>
        </w:rPr>
      </w:pPr>
    </w:p>
    <w:p>
      <w:pPr>
        <w:ind w:left="8"/>
        <w:spacing w:after="0"/>
        <w:rPr>
          <w:sz w:val="20"/>
          <w:szCs w:val="20"/>
          <w:color w:val="auto"/>
        </w:rPr>
      </w:pPr>
      <w:r>
        <w:rPr>
          <w:rFonts w:ascii="Arial" w:cs="Arial" w:eastAsia="Arial" w:hAnsi="Arial"/>
          <w:sz w:val="20"/>
          <w:szCs w:val="20"/>
          <w:i w:val="1"/>
          <w:iCs w:val="1"/>
          <w:color w:val="auto"/>
        </w:rPr>
        <w:t>Ashland asbestos-related litigation</w:t>
      </w:r>
    </w:p>
    <w:p>
      <w:pPr>
        <w:spacing w:after="0" w:line="135" w:lineRule="exact"/>
        <w:rPr>
          <w:sz w:val="20"/>
          <w:szCs w:val="20"/>
          <w:color w:val="auto"/>
        </w:rPr>
      </w:pPr>
    </w:p>
    <w:p>
      <w:pPr>
        <w:jc w:val="both"/>
        <w:ind w:left="8" w:right="20"/>
        <w:spacing w:after="0" w:line="322" w:lineRule="auto"/>
        <w:rPr>
          <w:sz w:val="20"/>
          <w:szCs w:val="20"/>
          <w:color w:val="auto"/>
        </w:rPr>
      </w:pPr>
      <w:r>
        <w:rPr>
          <w:rFonts w:ascii="Arial" w:cs="Arial" w:eastAsia="Arial" w:hAnsi="Arial"/>
          <w:sz w:val="18"/>
          <w:szCs w:val="18"/>
          <w:color w:val="auto"/>
        </w:rPr>
        <w:t>The claims alleging personal injury caused by exposure to asbestos asserted against Ashland result primarily from indemnification obligations undertaken in 1990 in connection with the sale of Riley. The amount and timing of settlements and number of open claims can fluctuate from period to period. A summary of Ashland asbestos claims activity, excluding Hercules claims,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47625</wp:posOffset>
            </wp:positionV>
            <wp:extent cx="66262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81" w:lineRule="exact"/>
        <w:rPr>
          <w:sz w:val="20"/>
          <w:szCs w:val="20"/>
          <w:color w:val="auto"/>
        </w:rPr>
      </w:pPr>
    </w:p>
    <w:tbl>
      <w:tblPr>
        <w:tblLayout w:type="fixed"/>
        <w:tblInd w:w="88"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p>
        </w:tc>
        <w:tc>
          <w:tcPr>
            <w:tcW w:w="1880" w:type="dxa"/>
            <w:vAlign w:val="bottom"/>
            <w:gridSpan w:val="3"/>
          </w:tcPr>
          <w:p>
            <w:pPr>
              <w:jc w:val="center"/>
              <w:ind w:left="310"/>
              <w:spacing w:after="0"/>
              <w:rPr>
                <w:sz w:val="20"/>
                <w:szCs w:val="20"/>
                <w:color w:val="auto"/>
              </w:rPr>
            </w:pPr>
            <w:r>
              <w:rPr>
                <w:rFonts w:ascii="Arial" w:cs="Arial" w:eastAsia="Arial" w:hAnsi="Arial"/>
                <w:sz w:val="18"/>
                <w:szCs w:val="18"/>
                <w:color w:val="auto"/>
                <w:w w:val="89"/>
              </w:rPr>
              <w:t>Nine months ended</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63"/>
        </w:trPr>
        <w:tc>
          <w:tcPr>
            <w:tcW w:w="4260" w:type="dxa"/>
            <w:vAlign w:val="bottom"/>
          </w:tcPr>
          <w:p>
            <w:pPr>
              <w:spacing w:after="0"/>
              <w:rPr>
                <w:sz w:val="22"/>
                <w:szCs w:val="22"/>
                <w:color w:val="auto"/>
              </w:rPr>
            </w:pPr>
          </w:p>
        </w:tc>
        <w:tc>
          <w:tcPr>
            <w:tcW w:w="1880" w:type="dxa"/>
            <w:vAlign w:val="bottom"/>
            <w:tcBorders>
              <w:bottom w:val="single" w:sz="8" w:color="auto"/>
            </w:tcBorders>
            <w:gridSpan w:val="3"/>
          </w:tcPr>
          <w:p>
            <w:pPr>
              <w:jc w:val="center"/>
              <w:ind w:left="310"/>
              <w:spacing w:after="0"/>
              <w:rPr>
                <w:sz w:val="20"/>
                <w:szCs w:val="20"/>
                <w:color w:val="auto"/>
              </w:rPr>
            </w:pPr>
            <w:r>
              <w:rPr>
                <w:rFonts w:ascii="Arial" w:cs="Arial" w:eastAsia="Arial" w:hAnsi="Arial"/>
                <w:sz w:val="18"/>
                <w:szCs w:val="18"/>
                <w:color w:val="auto"/>
                <w:w w:val="87"/>
              </w:rPr>
              <w:t>June 30</w:t>
            </w:r>
          </w:p>
        </w:tc>
        <w:tc>
          <w:tcPr>
            <w:tcW w:w="52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920" w:type="dxa"/>
            <w:vAlign w:val="bottom"/>
            <w:tcBorders>
              <w:bottom w:val="single" w:sz="8" w:color="auto"/>
            </w:tcBorders>
            <w:gridSpan w:val="5"/>
          </w:tcPr>
          <w:p>
            <w:pPr>
              <w:ind w:left="800"/>
              <w:spacing w:after="0"/>
              <w:rPr>
                <w:sz w:val="20"/>
                <w:szCs w:val="20"/>
                <w:color w:val="auto"/>
              </w:rPr>
            </w:pPr>
            <w:r>
              <w:rPr>
                <w:rFonts w:ascii="Arial" w:cs="Arial" w:eastAsia="Arial" w:hAnsi="Arial"/>
                <w:sz w:val="18"/>
                <w:szCs w:val="18"/>
                <w:color w:val="auto"/>
                <w:w w:val="95"/>
              </w:rPr>
              <w:t>Years ended September 30</w:t>
            </w:r>
          </w:p>
        </w:tc>
        <w:tc>
          <w:tcPr>
            <w:tcW w:w="680" w:type="dxa"/>
            <w:vAlign w:val="bottom"/>
            <w:tcBorders>
              <w:bottom w:val="single" w:sz="8" w:color="auto"/>
            </w:tcBorders>
          </w:tcPr>
          <w:p>
            <w:pPr>
              <w:spacing w:after="0"/>
              <w:rPr>
                <w:sz w:val="22"/>
                <w:szCs w:val="22"/>
                <w:color w:val="auto"/>
              </w:rPr>
            </w:pPr>
          </w:p>
        </w:tc>
      </w:tr>
      <w:tr>
        <w:trPr>
          <w:trHeight w:val="250"/>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2020</w:t>
            </w:r>
          </w:p>
        </w:tc>
        <w:tc>
          <w:tcPr>
            <w:tcW w:w="12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2020</w:t>
            </w:r>
          </w:p>
        </w:tc>
        <w:tc>
          <w:tcPr>
            <w:tcW w:w="12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r>
      <w:tr>
        <w:trPr>
          <w:trHeight w:val="256"/>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Open claims - beginning of year</w:t>
            </w: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w:t>
            </w:r>
          </w:p>
        </w:tc>
        <w:tc>
          <w:tcPr>
            <w:tcW w:w="12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53</w:t>
            </w:r>
          </w:p>
        </w:tc>
        <w:tc>
          <w:tcPr>
            <w:tcW w:w="12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6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54</w:t>
            </w:r>
          </w:p>
        </w:tc>
      </w:tr>
      <w:tr>
        <w:trPr>
          <w:trHeight w:val="250"/>
        </w:trPr>
        <w:tc>
          <w:tcPr>
            <w:tcW w:w="4260" w:type="dxa"/>
            <w:vAlign w:val="bottom"/>
          </w:tcPr>
          <w:p>
            <w:pPr>
              <w:spacing w:after="0"/>
              <w:rPr>
                <w:sz w:val="20"/>
                <w:szCs w:val="20"/>
                <w:color w:val="auto"/>
              </w:rPr>
            </w:pPr>
            <w:r>
              <w:rPr>
                <w:rFonts w:ascii="Arial" w:cs="Arial" w:eastAsia="Arial" w:hAnsi="Arial"/>
                <w:sz w:val="18"/>
                <w:szCs w:val="18"/>
                <w:color w:val="auto"/>
              </w:rPr>
              <w:t>New claims filed</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2</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63"/>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Claims settled</w:t>
            </w:r>
          </w:p>
        </w:tc>
        <w:tc>
          <w:tcPr>
            <w:tcW w:w="1880" w:type="dxa"/>
            <w:vAlign w:val="bottom"/>
            <w:gridSpan w:val="3"/>
            <w:shd w:val="clear" w:color="auto" w:fill="CFF0FC"/>
          </w:tcPr>
          <w:p>
            <w:pPr>
              <w:jc w:val="right"/>
              <w:ind w:right="8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4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r>
      <w:tr>
        <w:trPr>
          <w:trHeight w:val="257"/>
        </w:trPr>
        <w:tc>
          <w:tcPr>
            <w:tcW w:w="4260" w:type="dxa"/>
            <w:vAlign w:val="bottom"/>
          </w:tcPr>
          <w:p>
            <w:pPr>
              <w:spacing w:after="0"/>
              <w:rPr>
                <w:sz w:val="20"/>
                <w:szCs w:val="20"/>
                <w:color w:val="auto"/>
              </w:rPr>
            </w:pPr>
            <w:r>
              <w:rPr>
                <w:rFonts w:ascii="Arial" w:cs="Arial" w:eastAsia="Arial" w:hAnsi="Arial"/>
                <w:sz w:val="18"/>
                <w:szCs w:val="18"/>
                <w:color w:val="auto"/>
              </w:rPr>
              <w:t>Claims dismissed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16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16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16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r>
      <w:tr>
        <w:trPr>
          <w:trHeight w:val="290"/>
        </w:trPr>
        <w:tc>
          <w:tcPr>
            <w:tcW w:w="4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Open claims - end of period</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47</w:t>
            </w:r>
          </w:p>
        </w:tc>
        <w:tc>
          <w:tcPr>
            <w:tcW w:w="16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auto"/>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w:t>
            </w:r>
          </w:p>
        </w:tc>
        <w:tc>
          <w:tcPr>
            <w:tcW w:w="16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w:t>
            </w:r>
          </w:p>
        </w:tc>
        <w:tc>
          <w:tcPr>
            <w:tcW w:w="16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w:t>
            </w:r>
          </w:p>
        </w:tc>
        <w:tc>
          <w:tcPr>
            <w:tcW w:w="1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-24765</wp:posOffset>
            </wp:positionV>
            <wp:extent cx="1028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3471545</wp:posOffset>
            </wp:positionH>
            <wp:positionV relativeFrom="paragraph">
              <wp:posOffset>-7620</wp:posOffset>
            </wp:positionV>
            <wp:extent cx="1028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-24765</wp:posOffset>
            </wp:positionV>
            <wp:extent cx="1028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-7620</wp:posOffset>
            </wp:positionV>
            <wp:extent cx="1028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-24765</wp:posOffset>
            </wp:positionV>
            <wp:extent cx="1028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-7620</wp:posOffset>
            </wp:positionV>
            <wp:extent cx="1028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5897880</wp:posOffset>
            </wp:positionH>
            <wp:positionV relativeFrom="paragraph">
              <wp:posOffset>-24765</wp:posOffset>
            </wp:positionV>
            <wp:extent cx="9461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5897880</wp:posOffset>
            </wp:positionH>
            <wp:positionV relativeFrom="paragraph">
              <wp:posOffset>-7620</wp:posOffset>
            </wp:positionV>
            <wp:extent cx="946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12" w:lineRule="exact"/>
        <w:rPr>
          <w:sz w:val="20"/>
          <w:szCs w:val="20"/>
          <w:color w:val="auto"/>
        </w:rPr>
      </w:pPr>
    </w:p>
    <w:p>
      <w:pPr>
        <w:ind w:left="8"/>
        <w:spacing w:after="0"/>
        <w:rPr>
          <w:sz w:val="20"/>
          <w:szCs w:val="20"/>
          <w:color w:val="auto"/>
        </w:rPr>
      </w:pPr>
      <w:r>
        <w:rPr>
          <w:rFonts w:ascii="Arial" w:cs="Arial" w:eastAsia="Arial" w:hAnsi="Arial"/>
          <w:sz w:val="20"/>
          <w:szCs w:val="20"/>
          <w:i w:val="1"/>
          <w:iCs w:val="1"/>
          <w:color w:val="auto"/>
        </w:rPr>
        <w:t>Ashland asbestos-related liability</w:t>
      </w:r>
    </w:p>
    <w:p>
      <w:pPr>
        <w:spacing w:after="0" w:line="135" w:lineRule="exact"/>
        <w:rPr>
          <w:sz w:val="20"/>
          <w:szCs w:val="20"/>
          <w:color w:val="auto"/>
        </w:rPr>
      </w:pPr>
    </w:p>
    <w:p>
      <w:pPr>
        <w:jc w:val="both"/>
        <w:ind w:left="8"/>
        <w:spacing w:after="0" w:line="274" w:lineRule="auto"/>
        <w:rPr>
          <w:sz w:val="20"/>
          <w:szCs w:val="20"/>
          <w:color w:val="auto"/>
        </w:rPr>
      </w:pPr>
      <w:r>
        <w:rPr>
          <w:rFonts w:ascii="Arial" w:cs="Arial" w:eastAsia="Arial" w:hAnsi="Arial"/>
          <w:sz w:val="20"/>
          <w:szCs w:val="20"/>
          <w:color w:val="auto"/>
        </w:rPr>
        <w:t>From the range of estimates, Ashland records the amount it believes to be the best estimate of future payments for litigation defense and claim settlement costs, which generally approximates the mid-point of the estimated range of exposure from model results. Ashland reviews this estimate and related assumptions quarterly and annually updates the results of a non-inflated, non-discounted approximate 50-year model developed with the assistance of Nathan.</w:t>
      </w:r>
    </w:p>
    <w:p>
      <w:pPr>
        <w:spacing w:after="0" w:line="84" w:lineRule="exact"/>
        <w:rPr>
          <w:sz w:val="20"/>
          <w:szCs w:val="20"/>
          <w:color w:val="auto"/>
        </w:rPr>
      </w:pPr>
    </w:p>
    <w:p>
      <w:pPr>
        <w:jc w:val="both"/>
        <w:ind w:left="8"/>
        <w:spacing w:after="0" w:line="278" w:lineRule="auto"/>
        <w:rPr>
          <w:sz w:val="20"/>
          <w:szCs w:val="20"/>
          <w:color w:val="auto"/>
        </w:rPr>
      </w:pPr>
      <w:r>
        <w:rPr>
          <w:rFonts w:ascii="Arial" w:cs="Arial" w:eastAsia="Arial" w:hAnsi="Arial"/>
          <w:sz w:val="20"/>
          <w:szCs w:val="20"/>
          <w:color w:val="auto"/>
        </w:rPr>
        <w:t>During the most recent annual update of this estimate completed during the June 2021 quarter, it was determined that the liability for Ashland asbestos-related claims should be increased by $12 million. Total reserves for asbestos claims were $326 million at June 30, 2021 compared to $335 million at September 30, 2020.</w:t>
      </w:r>
    </w:p>
    <w:p>
      <w:pPr>
        <w:spacing w:after="0" w:line="78" w:lineRule="exact"/>
        <w:rPr>
          <w:sz w:val="20"/>
          <w:szCs w:val="20"/>
          <w:color w:val="auto"/>
        </w:rPr>
      </w:pPr>
    </w:p>
    <w:p>
      <w:pPr>
        <w:ind w:left="8"/>
        <w:spacing w:after="0"/>
        <w:rPr>
          <w:sz w:val="20"/>
          <w:szCs w:val="20"/>
          <w:color w:val="auto"/>
        </w:rPr>
      </w:pPr>
      <w:r>
        <w:rPr>
          <w:rFonts w:ascii="Arial" w:cs="Arial" w:eastAsia="Arial" w:hAnsi="Arial"/>
          <w:sz w:val="20"/>
          <w:szCs w:val="20"/>
          <w:color w:val="auto"/>
        </w:rPr>
        <w:t>A progression of activity in the asbestos reserve is presented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104775</wp:posOffset>
            </wp:positionV>
            <wp:extent cx="662622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171" w:lineRule="exact"/>
        <w:rPr>
          <w:sz w:val="20"/>
          <w:szCs w:val="20"/>
          <w:color w:val="auto"/>
        </w:rPr>
      </w:pPr>
    </w:p>
    <w:tbl>
      <w:tblPr>
        <w:tblLayout w:type="fixed"/>
        <w:tblInd w:w="88"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Nine months ended</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63"/>
        </w:trPr>
        <w:tc>
          <w:tcPr>
            <w:tcW w:w="42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8"/>
                <w:szCs w:val="18"/>
                <w:color w:val="auto"/>
              </w:rPr>
              <w:t>June 30</w:t>
            </w:r>
          </w:p>
        </w:tc>
        <w:tc>
          <w:tcPr>
            <w:tcW w:w="52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8"/>
                <w:szCs w:val="18"/>
                <w:color w:val="auto"/>
              </w:rPr>
              <w:t>Years ended September 30</w:t>
            </w:r>
          </w:p>
        </w:tc>
        <w:tc>
          <w:tcPr>
            <w:tcW w:w="680" w:type="dxa"/>
            <w:vAlign w:val="bottom"/>
            <w:tcBorders>
              <w:bottom w:val="single" w:sz="8" w:color="auto"/>
            </w:tcBorders>
          </w:tcPr>
          <w:p>
            <w:pPr>
              <w:spacing w:after="0"/>
              <w:rPr>
                <w:sz w:val="22"/>
                <w:szCs w:val="22"/>
                <w:color w:val="auto"/>
              </w:rPr>
            </w:pPr>
          </w:p>
        </w:tc>
      </w:tr>
      <w:tr>
        <w:trPr>
          <w:trHeight w:val="250"/>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2020</w:t>
            </w:r>
          </w:p>
        </w:tc>
        <w:tc>
          <w:tcPr>
            <w:tcW w:w="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r>
      <w:tr>
        <w:trPr>
          <w:trHeight w:val="257"/>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Asbestos reserve - beginning of year</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335</w:t>
            </w:r>
          </w:p>
        </w:tc>
        <w:tc>
          <w:tcPr>
            <w:tcW w:w="760" w:type="dxa"/>
            <w:vAlign w:val="bottom"/>
            <w:gridSpan w:val="2"/>
            <w:shd w:val="clear" w:color="auto" w:fill="CFF0FC"/>
          </w:tcPr>
          <w:p>
            <w:pPr>
              <w:jc w:val="right"/>
              <w:ind w:right="5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352</w:t>
            </w: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352</w:t>
            </w:r>
          </w:p>
        </w:tc>
        <w:tc>
          <w:tcPr>
            <w:tcW w:w="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380</w:t>
            </w:r>
          </w:p>
        </w:tc>
        <w:tc>
          <w:tcPr>
            <w:tcW w:w="5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419</w:t>
            </w:r>
          </w:p>
        </w:tc>
      </w:tr>
      <w:tr>
        <w:trPr>
          <w:trHeight w:val="250"/>
        </w:trPr>
        <w:tc>
          <w:tcPr>
            <w:tcW w:w="4280" w:type="dxa"/>
            <w:vAlign w:val="bottom"/>
          </w:tcPr>
          <w:p>
            <w:pPr>
              <w:spacing w:after="0"/>
              <w:rPr>
                <w:sz w:val="20"/>
                <w:szCs w:val="20"/>
                <w:color w:val="auto"/>
              </w:rPr>
            </w:pPr>
            <w:r>
              <w:rPr>
                <w:rFonts w:ascii="Arial" w:cs="Arial" w:eastAsia="Arial" w:hAnsi="Arial"/>
                <w:sz w:val="18"/>
                <w:szCs w:val="18"/>
                <w:color w:val="auto"/>
              </w:rPr>
              <w:t>Reserve adjustment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63"/>
        </w:trPr>
        <w:tc>
          <w:tcPr>
            <w:tcW w:w="4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Amounts paid</w:t>
            </w:r>
          </w:p>
        </w:tc>
        <w:tc>
          <w:tcPr>
            <w:tcW w:w="28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(21 )</w:t>
            </w:r>
          </w:p>
        </w:tc>
        <w:tc>
          <w:tcPr>
            <w:tcW w:w="160" w:type="dxa"/>
            <w:vAlign w:val="bottom"/>
            <w:tcBorders>
              <w:bottom w:val="single" w:sz="8" w:color="CFF0FC"/>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(24 )</w:t>
            </w:r>
          </w:p>
        </w:tc>
        <w:tc>
          <w:tcPr>
            <w:tcW w:w="16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(30 )</w:t>
            </w:r>
          </w:p>
        </w:tc>
        <w:tc>
          <w:tcPr>
            <w:tcW w:w="16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(29 )</w:t>
            </w:r>
          </w:p>
        </w:tc>
        <w:tc>
          <w:tcPr>
            <w:tcW w:w="16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2"/>
                <w:szCs w:val="2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(31 )</w:t>
            </w:r>
          </w:p>
        </w:tc>
      </w:tr>
      <w:tr>
        <w:trPr>
          <w:trHeight w:val="250"/>
        </w:trPr>
        <w:tc>
          <w:tcPr>
            <w:tcW w:w="4280" w:type="dxa"/>
            <w:vAlign w:val="bottom"/>
          </w:tcPr>
          <w:p>
            <w:pPr>
              <w:spacing w:after="0"/>
              <w:rPr>
                <w:sz w:val="20"/>
                <w:szCs w:val="20"/>
                <w:color w:val="auto"/>
              </w:rPr>
            </w:pPr>
            <w:r>
              <w:rPr>
                <w:rFonts w:ascii="Arial" w:cs="Arial" w:eastAsia="Arial" w:hAnsi="Arial"/>
                <w:sz w:val="18"/>
                <w:szCs w:val="18"/>
                <w:color w:val="auto"/>
              </w:rPr>
              <w:t xml:space="preserve">Asbestos reserve - end of period </w:t>
            </w:r>
            <w:r>
              <w:rPr>
                <w:rFonts w:ascii="Arial" w:cs="Arial" w:eastAsia="Arial" w:hAnsi="Arial"/>
                <w:sz w:val="14"/>
                <w:szCs w:val="14"/>
                <w:color w:val="auto"/>
              </w:rPr>
              <w:t>(a)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326</w:t>
            </w:r>
          </w:p>
        </w:tc>
        <w:tc>
          <w:tcPr>
            <w:tcW w:w="7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341</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335</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352</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380</w:t>
            </w:r>
          </w:p>
        </w:tc>
      </w:tr>
      <w:tr>
        <w:trPr>
          <w:trHeight w:val="20"/>
        </w:trPr>
        <w:tc>
          <w:tcPr>
            <w:tcW w:w="4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3497580</wp:posOffset>
            </wp:positionH>
            <wp:positionV relativeFrom="paragraph">
              <wp:posOffset>-193675</wp:posOffset>
            </wp:positionV>
            <wp:extent cx="10287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-193675</wp:posOffset>
            </wp:positionV>
            <wp:extent cx="9398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-193675</wp:posOffset>
            </wp:positionV>
            <wp:extent cx="94615"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5888990</wp:posOffset>
            </wp:positionH>
            <wp:positionV relativeFrom="paragraph">
              <wp:posOffset>-193675</wp:posOffset>
            </wp:positionV>
            <wp:extent cx="9398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51435</wp:posOffset>
            </wp:positionH>
            <wp:positionV relativeFrom="paragraph">
              <wp:posOffset>162560</wp:posOffset>
            </wp:positionV>
            <wp:extent cx="66262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277" w:lineRule="exact"/>
        <w:rPr>
          <w:sz w:val="20"/>
          <w:szCs w:val="20"/>
          <w:color w:val="auto"/>
        </w:rPr>
      </w:pPr>
    </w:p>
    <w:p>
      <w:pPr>
        <w:ind w:left="328" w:hanging="328"/>
        <w:spacing w:after="0"/>
        <w:tabs>
          <w:tab w:leader="none" w:pos="328" w:val="left"/>
        </w:tabs>
        <w:numPr>
          <w:ilvl w:val="0"/>
          <w:numId w:val="12"/>
        </w:numPr>
        <w:rPr>
          <w:rFonts w:ascii="Arial" w:cs="Arial" w:eastAsia="Arial" w:hAnsi="Arial"/>
          <w:sz w:val="26"/>
          <w:szCs w:val="26"/>
          <w:color w:val="auto"/>
          <w:vertAlign w:val="superscript"/>
        </w:rPr>
      </w:pPr>
      <w:r>
        <w:rPr>
          <w:rFonts w:ascii="Arial" w:cs="Arial" w:eastAsia="Arial" w:hAnsi="Arial"/>
          <w:sz w:val="13"/>
          <w:szCs w:val="13"/>
          <w:color w:val="auto"/>
        </w:rPr>
        <w:t>Included $29 million classified in accrued expenses and other liabilities on the Condensed Consolidated Balance Sheets as of June 30, 2021 and September 30, 2020.</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20"/>
          <w:szCs w:val="20"/>
          <w:i w:val="1"/>
          <w:iCs w:val="1"/>
          <w:color w:val="auto"/>
        </w:rPr>
        <w:t>Ashland asbestos-related receivables</w:t>
      </w:r>
    </w:p>
    <w:p>
      <w:pPr>
        <w:spacing w:after="0" w:line="119" w:lineRule="exact"/>
        <w:rPr>
          <w:sz w:val="20"/>
          <w:szCs w:val="20"/>
          <w:color w:val="auto"/>
        </w:rPr>
      </w:pPr>
    </w:p>
    <w:p>
      <w:pPr>
        <w:jc w:val="both"/>
        <w:ind w:left="8"/>
        <w:spacing w:after="0" w:line="278" w:lineRule="auto"/>
        <w:rPr>
          <w:sz w:val="20"/>
          <w:szCs w:val="20"/>
          <w:color w:val="auto"/>
        </w:rPr>
      </w:pPr>
      <w:r>
        <w:rPr>
          <w:rFonts w:ascii="Arial" w:cs="Arial" w:eastAsia="Arial" w:hAnsi="Arial"/>
          <w:sz w:val="20"/>
          <w:szCs w:val="20"/>
          <w:color w:val="auto"/>
        </w:rPr>
        <w:t>Ashland has insurance coverage for certain litigation defense and claim settlement costs incurred in connection with its asbestos claims, and coverage-in-place agreements exist with the insurance companies that provide substantially all of the coverage that will be accessed.</w:t>
      </w:r>
    </w:p>
    <w:p>
      <w:pPr>
        <w:spacing w:after="0" w:line="81"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70485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8"/>
          </w:cols>
          <w:pgMar w:left="652" w:top="136" w:right="659" w:bottom="1440" w:gutter="0" w:footer="0" w:header="0"/>
        </w:sectPr>
      </w:pPr>
    </w:p>
    <w:bookmarkStart w:id="22" w:name="page23"/>
    <w:bookmarkEnd w:id="22"/>
    <w:p>
      <w:pPr>
        <w:jc w:val="both"/>
        <w:ind w:left="8" w:right="20"/>
        <w:spacing w:after="0" w:line="293" w:lineRule="auto"/>
        <w:rPr>
          <w:sz w:val="20"/>
          <w:szCs w:val="20"/>
          <w:color w:val="auto"/>
        </w:rPr>
      </w:pPr>
      <w:r>
        <w:rPr>
          <w:rFonts w:ascii="Arial" w:cs="Arial" w:eastAsia="Arial" w:hAnsi="Arial"/>
          <w:sz w:val="19"/>
          <w:szCs w:val="19"/>
          <w:color w:val="auto"/>
        </w:rPr>
        <w:t>For the Ashland asbestos-related obligations,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A substantial portion of the estimated receivables from insurance companies are expected to be due from domestic insurers.</w:t>
      </w:r>
    </w:p>
    <w:p>
      <w:pPr>
        <w:spacing w:after="0" w:line="67" w:lineRule="exact"/>
        <w:rPr>
          <w:sz w:val="20"/>
          <w:szCs w:val="20"/>
          <w:color w:val="auto"/>
        </w:rPr>
      </w:pPr>
    </w:p>
    <w:p>
      <w:pPr>
        <w:jc w:val="both"/>
        <w:ind w:left="8"/>
        <w:spacing w:after="0" w:line="272" w:lineRule="auto"/>
        <w:rPr>
          <w:sz w:val="20"/>
          <w:szCs w:val="20"/>
          <w:color w:val="auto"/>
        </w:rPr>
      </w:pPr>
      <w:r>
        <w:rPr>
          <w:rFonts w:ascii="Arial" w:cs="Arial" w:eastAsia="Arial" w:hAnsi="Arial"/>
          <w:sz w:val="20"/>
          <w:szCs w:val="20"/>
          <w:color w:val="auto"/>
        </w:rPr>
        <w:t>At June 30, 2021, Ashland’s receivable for recoveries of litigation defense and claim settlement costs from insurers amounted to $102 million (excluding the Hercules receivable for asbestos claims) compared to $103 million at September 30, 2020. During the June 2021 quarter, the annual update of the model used for purposes of valuing the asbestos reserve and its impact on valuation of future recoveries from insurers was completed. This model update resulted in a $8 million increase in the receivable for probable insurance recoveries.</w:t>
      </w:r>
    </w:p>
    <w:p>
      <w:pPr>
        <w:spacing w:after="0" w:line="87" w:lineRule="exact"/>
        <w:rPr>
          <w:sz w:val="20"/>
          <w:szCs w:val="20"/>
          <w:color w:val="auto"/>
        </w:rPr>
      </w:pPr>
    </w:p>
    <w:p>
      <w:pPr>
        <w:ind w:left="8"/>
        <w:spacing w:after="0"/>
        <w:rPr>
          <w:sz w:val="20"/>
          <w:szCs w:val="20"/>
          <w:color w:val="auto"/>
        </w:rPr>
      </w:pPr>
      <w:r>
        <w:rPr>
          <w:rFonts w:ascii="Arial" w:cs="Arial" w:eastAsia="Arial" w:hAnsi="Arial"/>
          <w:sz w:val="20"/>
          <w:szCs w:val="20"/>
          <w:color w:val="auto"/>
        </w:rPr>
        <w:t>A progression of activity in the Ashland insurance receivable is presented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104775</wp:posOffset>
            </wp:positionV>
            <wp:extent cx="66262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71" w:lineRule="exact"/>
        <w:rPr>
          <w:sz w:val="20"/>
          <w:szCs w:val="20"/>
          <w:color w:val="auto"/>
        </w:rPr>
      </w:pPr>
    </w:p>
    <w:tbl>
      <w:tblPr>
        <w:tblLayout w:type="fixed"/>
        <w:tblInd w:w="88"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w w:val="99"/>
              </w:rPr>
              <w:t>Nine months ended</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63"/>
        </w:trPr>
        <w:tc>
          <w:tcPr>
            <w:tcW w:w="4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color w:val="auto"/>
              </w:rPr>
              <w:t>June 30</w:t>
            </w:r>
          </w:p>
        </w:tc>
        <w:tc>
          <w:tcPr>
            <w:tcW w:w="50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8"/>
                <w:szCs w:val="18"/>
                <w:color w:val="auto"/>
              </w:rPr>
              <w:t>Years ended September 30</w:t>
            </w:r>
          </w:p>
        </w:tc>
        <w:tc>
          <w:tcPr>
            <w:tcW w:w="680" w:type="dxa"/>
            <w:vAlign w:val="bottom"/>
            <w:tcBorders>
              <w:bottom w:val="single" w:sz="8" w:color="auto"/>
            </w:tcBorders>
          </w:tcPr>
          <w:p>
            <w:pPr>
              <w:spacing w:after="0"/>
              <w:rPr>
                <w:sz w:val="22"/>
                <w:szCs w:val="22"/>
                <w:color w:val="auto"/>
              </w:rPr>
            </w:pPr>
          </w:p>
        </w:tc>
      </w:tr>
      <w:tr>
        <w:trPr>
          <w:trHeight w:val="250"/>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4"/>
              </w:rPr>
              <w:t>2020</w:t>
            </w:r>
          </w:p>
        </w:tc>
        <w:tc>
          <w:tcPr>
            <w:tcW w:w="1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r>
      <w:tr>
        <w:trPr>
          <w:trHeight w:val="256"/>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Insurance receivable - beginning of year</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103</w:t>
            </w:r>
          </w:p>
        </w:tc>
        <w:tc>
          <w:tcPr>
            <w:tcW w:w="780" w:type="dxa"/>
            <w:vAlign w:val="bottom"/>
            <w:gridSpan w:val="2"/>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123</w:t>
            </w:r>
          </w:p>
        </w:tc>
        <w:tc>
          <w:tcPr>
            <w:tcW w:w="5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123</w:t>
            </w:r>
          </w:p>
        </w:tc>
        <w:tc>
          <w:tcPr>
            <w:tcW w:w="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140</w:t>
            </w:r>
          </w:p>
        </w:tc>
        <w:tc>
          <w:tcPr>
            <w:tcW w:w="5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155</w:t>
            </w:r>
          </w:p>
        </w:tc>
      </w:tr>
      <w:tr>
        <w:trPr>
          <w:trHeight w:val="250"/>
        </w:trPr>
        <w:tc>
          <w:tcPr>
            <w:tcW w:w="4280" w:type="dxa"/>
            <w:vAlign w:val="bottom"/>
          </w:tcPr>
          <w:p>
            <w:pPr>
              <w:spacing w:after="0"/>
              <w:rPr>
                <w:sz w:val="20"/>
                <w:szCs w:val="20"/>
                <w:color w:val="auto"/>
              </w:rPr>
            </w:pPr>
            <w:r>
              <w:rPr>
                <w:rFonts w:ascii="Arial" w:cs="Arial" w:eastAsia="Arial" w:hAnsi="Arial"/>
                <w:sz w:val="18"/>
                <w:szCs w:val="18"/>
                <w:color w:val="auto"/>
              </w:rPr>
              <w:t xml:space="preserve">Receivable adjustment </w:t>
            </w:r>
            <w:r>
              <w:rPr>
                <w:rFonts w:ascii="Arial" w:cs="Arial" w:eastAsia="Arial" w:hAnsi="Arial"/>
                <w:sz w:val="14"/>
                <w:szCs w:val="14"/>
                <w:color w:val="auto"/>
              </w:rPr>
              <w:t>(a)</w:t>
            </w: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(5 )</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63"/>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Insurance settlement</w:t>
            </w: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(10 )</w:t>
            </w:r>
          </w:p>
        </w:tc>
        <w:tc>
          <w:tcPr>
            <w:tcW w:w="1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(10 )</w:t>
            </w:r>
          </w:p>
        </w:tc>
        <w:tc>
          <w:tcPr>
            <w:tcW w:w="1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6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280" w:type="dxa"/>
            <w:vAlign w:val="bottom"/>
          </w:tcPr>
          <w:p>
            <w:pPr>
              <w:spacing w:after="0"/>
              <w:rPr>
                <w:sz w:val="20"/>
                <w:szCs w:val="20"/>
                <w:color w:val="auto"/>
              </w:rPr>
            </w:pPr>
            <w:r>
              <w:rPr>
                <w:rFonts w:ascii="Arial" w:cs="Arial" w:eastAsia="Arial" w:hAnsi="Arial"/>
                <w:sz w:val="18"/>
                <w:szCs w:val="18"/>
                <w:color w:val="auto"/>
              </w:rPr>
              <w:t>Amounts collected</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16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1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r>
      <w:tr>
        <w:trPr>
          <w:trHeight w:val="27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Insurance receivable - end of period </w:t>
            </w:r>
            <w:r>
              <w:rPr>
                <w:rFonts w:ascii="Arial" w:cs="Arial" w:eastAsia="Arial" w:hAnsi="Arial"/>
                <w:sz w:val="14"/>
                <w:szCs w:val="14"/>
                <w:color w:val="auto"/>
              </w:rPr>
              <w:t>(b)</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FF0FC"/>
          </w:tcPr>
          <w:p>
            <w:pPr>
              <w:spacing w:after="0"/>
              <w:rPr>
                <w:sz w:val="23"/>
                <w:szCs w:val="23"/>
                <w:color w:val="auto"/>
              </w:rPr>
            </w:pPr>
          </w:p>
        </w:tc>
        <w:tc>
          <w:tcPr>
            <w:tcW w:w="6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FF0FC"/>
          </w:tcPr>
          <w:p>
            <w:pPr>
              <w:spacing w:after="0"/>
              <w:rPr>
                <w:sz w:val="23"/>
                <w:szCs w:val="23"/>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103</w:t>
            </w:r>
          </w:p>
        </w:tc>
        <w:tc>
          <w:tcPr>
            <w:tcW w:w="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123</w:t>
            </w:r>
          </w:p>
        </w:tc>
        <w:tc>
          <w:tcPr>
            <w:tcW w:w="5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140</w:t>
            </w:r>
          </w:p>
        </w:tc>
      </w:tr>
      <w:tr>
        <w:trPr>
          <w:trHeight w:val="20"/>
        </w:trPr>
        <w:tc>
          <w:tcPr>
            <w:tcW w:w="42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3488690</wp:posOffset>
            </wp:positionH>
            <wp:positionV relativeFrom="paragraph">
              <wp:posOffset>-24765</wp:posOffset>
            </wp:positionV>
            <wp:extent cx="1028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3488690</wp:posOffset>
            </wp:positionH>
            <wp:positionV relativeFrom="paragraph">
              <wp:posOffset>-7620</wp:posOffset>
            </wp:positionV>
            <wp:extent cx="1028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4303395</wp:posOffset>
            </wp:positionH>
            <wp:positionV relativeFrom="paragraph">
              <wp:posOffset>-24765</wp:posOffset>
            </wp:positionV>
            <wp:extent cx="9461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4303395</wp:posOffset>
            </wp:positionH>
            <wp:positionV relativeFrom="paragraph">
              <wp:posOffset>-7620</wp:posOffset>
            </wp:positionV>
            <wp:extent cx="946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-24765</wp:posOffset>
            </wp:positionV>
            <wp:extent cx="9461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-7620</wp:posOffset>
            </wp:positionV>
            <wp:extent cx="946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5888990</wp:posOffset>
            </wp:positionH>
            <wp:positionV relativeFrom="paragraph">
              <wp:posOffset>-24765</wp:posOffset>
            </wp:positionV>
            <wp:extent cx="939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5888990</wp:posOffset>
            </wp:positionH>
            <wp:positionV relativeFrom="paragraph">
              <wp:posOffset>-7620</wp:posOffset>
            </wp:positionV>
            <wp:extent cx="939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51435</wp:posOffset>
            </wp:positionH>
            <wp:positionV relativeFrom="paragraph">
              <wp:posOffset>163195</wp:posOffset>
            </wp:positionV>
            <wp:extent cx="66262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353" w:lineRule="exact"/>
        <w:rPr>
          <w:sz w:val="20"/>
          <w:szCs w:val="20"/>
          <w:color w:val="auto"/>
        </w:rPr>
      </w:pPr>
    </w:p>
    <w:p>
      <w:pPr>
        <w:ind w:left="328" w:right="600" w:hanging="328"/>
        <w:spacing w:after="0" w:line="291" w:lineRule="auto"/>
        <w:tabs>
          <w:tab w:leader="none" w:pos="328"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nine months ended June 30, 2021 includes a $2 million reserve adjustment related to allowances for credit losses as a result of Ashland’s adoption of the new credit measurement standard described in Note A.</w:t>
      </w:r>
    </w:p>
    <w:p>
      <w:pPr>
        <w:ind w:left="328" w:hanging="328"/>
        <w:spacing w:after="0" w:line="205" w:lineRule="auto"/>
        <w:tabs>
          <w:tab w:leader="none" w:pos="328" w:val="left"/>
        </w:tabs>
        <w:numPr>
          <w:ilvl w:val="0"/>
          <w:numId w:val="13"/>
        </w:numPr>
        <w:rPr>
          <w:rFonts w:ascii="Arial" w:cs="Arial" w:eastAsia="Arial" w:hAnsi="Arial"/>
          <w:sz w:val="26"/>
          <w:szCs w:val="26"/>
          <w:color w:val="auto"/>
          <w:vertAlign w:val="superscript"/>
        </w:rPr>
      </w:pPr>
      <w:r>
        <w:rPr>
          <w:rFonts w:ascii="Arial" w:cs="Arial" w:eastAsia="Arial" w:hAnsi="Arial"/>
          <w:sz w:val="13"/>
          <w:szCs w:val="13"/>
          <w:color w:val="auto"/>
        </w:rPr>
        <w:t>Includes $12 million and $14 million classified in accounts receivable on the Condensed Consolidated Balance Sheets as of June 30, 2021 and September 30, 2020, respectively.</w:t>
      </w:r>
    </w:p>
    <w:p>
      <w:pPr>
        <w:spacing w:after="0" w:line="134" w:lineRule="exact"/>
        <w:rPr>
          <w:sz w:val="20"/>
          <w:szCs w:val="20"/>
          <w:color w:val="auto"/>
        </w:rPr>
      </w:pPr>
    </w:p>
    <w:p>
      <w:pPr>
        <w:ind w:left="8"/>
        <w:spacing w:after="0"/>
        <w:rPr>
          <w:sz w:val="20"/>
          <w:szCs w:val="20"/>
          <w:color w:val="auto"/>
        </w:rPr>
      </w:pPr>
      <w:r>
        <w:rPr>
          <w:rFonts w:ascii="Arial" w:cs="Arial" w:eastAsia="Arial" w:hAnsi="Arial"/>
          <w:sz w:val="20"/>
          <w:szCs w:val="20"/>
          <w:i w:val="1"/>
          <w:iCs w:val="1"/>
          <w:color w:val="auto"/>
        </w:rPr>
        <w:t>Hercules asbestos-related litigation</w:t>
      </w:r>
    </w:p>
    <w:p>
      <w:pPr>
        <w:spacing w:after="0" w:line="119" w:lineRule="exact"/>
        <w:rPr>
          <w:sz w:val="20"/>
          <w:szCs w:val="20"/>
          <w:color w:val="auto"/>
        </w:rPr>
      </w:pPr>
    </w:p>
    <w:p>
      <w:pPr>
        <w:jc w:val="both"/>
        <w:ind w:left="8"/>
        <w:spacing w:after="0" w:line="274" w:lineRule="auto"/>
        <w:rPr>
          <w:sz w:val="20"/>
          <w:szCs w:val="20"/>
          <w:color w:val="auto"/>
        </w:rPr>
      </w:pPr>
      <w:r>
        <w:rPr>
          <w:rFonts w:ascii="Arial" w:cs="Arial" w:eastAsia="Arial" w:hAnsi="Arial"/>
          <w:sz w:val="20"/>
          <w:szCs w:val="20"/>
          <w:color w:val="auto"/>
        </w:rPr>
        <w:t>Hercules has liabilities from claims alleging personal injury caused by exposure to asbestos. Such claims typically arise from alleged exposure to asbestos fibers from resin encapsulated pipe and tank products which were sold by one of Hercules’ former subsidiaries to a limited industrial market. The amount and timing of settlements and number of open claims can fluctuate from period to period. A summary of Hercules’ asbestos claims activity follows.</w:t>
      </w:r>
    </w:p>
    <w:p>
      <w:pPr>
        <w:spacing w:after="0" w:line="94" w:lineRule="exact"/>
        <w:rPr>
          <w:sz w:val="20"/>
          <w:szCs w:val="20"/>
          <w:color w:val="auto"/>
        </w:rPr>
      </w:pPr>
    </w:p>
    <w:tbl>
      <w:tblPr>
        <w:tblLayout w:type="fixed"/>
        <w:tblInd w:w="88" w:type="dxa"/>
        <w:tblCellMar>
          <w:top w:w="0" w:type="dxa"/>
          <w:left w:w="0" w:type="dxa"/>
          <w:bottom w:w="0" w:type="dxa"/>
          <w:right w:w="0" w:type="dxa"/>
        </w:tblCellMar>
      </w:tblPr>
      <w:tr>
        <w:trPr>
          <w:trHeight w:val="244"/>
        </w:trPr>
        <w:tc>
          <w:tcPr>
            <w:tcW w:w="410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tcBorders>
              <w:top w:val="single" w:sz="8" w:color="auto"/>
            </w:tcBorders>
            <w:gridSpan w:val="3"/>
          </w:tcPr>
          <w:p>
            <w:pPr>
              <w:jc w:val="center"/>
              <w:ind w:left="310"/>
              <w:spacing w:after="0"/>
              <w:rPr>
                <w:sz w:val="20"/>
                <w:szCs w:val="20"/>
                <w:color w:val="auto"/>
              </w:rPr>
            </w:pPr>
            <w:r>
              <w:rPr>
                <w:rFonts w:ascii="Arial" w:cs="Arial" w:eastAsia="Arial" w:hAnsi="Arial"/>
                <w:sz w:val="18"/>
                <w:szCs w:val="18"/>
                <w:color w:val="auto"/>
                <w:w w:val="89"/>
              </w:rPr>
              <w:t>Nine months ended</w:t>
            </w:r>
          </w:p>
        </w:tc>
        <w:tc>
          <w:tcPr>
            <w:tcW w:w="5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r>
      <w:tr>
        <w:trPr>
          <w:trHeight w:val="276"/>
        </w:trPr>
        <w:tc>
          <w:tcPr>
            <w:tcW w:w="4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Borders>
              <w:bottom w:val="single" w:sz="8" w:color="auto"/>
            </w:tcBorders>
            <w:gridSpan w:val="3"/>
          </w:tcPr>
          <w:p>
            <w:pPr>
              <w:jc w:val="center"/>
              <w:ind w:left="310"/>
              <w:spacing w:after="0"/>
              <w:rPr>
                <w:sz w:val="20"/>
                <w:szCs w:val="20"/>
                <w:color w:val="auto"/>
              </w:rPr>
            </w:pPr>
            <w:r>
              <w:rPr>
                <w:rFonts w:ascii="Arial" w:cs="Arial" w:eastAsia="Arial" w:hAnsi="Arial"/>
                <w:sz w:val="18"/>
                <w:szCs w:val="18"/>
                <w:color w:val="auto"/>
                <w:w w:val="87"/>
              </w:rPr>
              <w:t>June 30</w:t>
            </w:r>
          </w:p>
        </w:tc>
        <w:tc>
          <w:tcPr>
            <w:tcW w:w="5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920" w:type="dxa"/>
            <w:vAlign w:val="bottom"/>
            <w:tcBorders>
              <w:bottom w:val="single" w:sz="8" w:color="auto"/>
            </w:tcBorders>
            <w:gridSpan w:val="5"/>
          </w:tcPr>
          <w:p>
            <w:pPr>
              <w:ind w:left="800"/>
              <w:spacing w:after="0"/>
              <w:rPr>
                <w:sz w:val="20"/>
                <w:szCs w:val="20"/>
                <w:color w:val="auto"/>
              </w:rPr>
            </w:pPr>
            <w:r>
              <w:rPr>
                <w:rFonts w:ascii="Arial" w:cs="Arial" w:eastAsia="Arial" w:hAnsi="Arial"/>
                <w:sz w:val="18"/>
                <w:szCs w:val="18"/>
                <w:color w:val="auto"/>
                <w:w w:val="95"/>
              </w:rPr>
              <w:t>Years ended September 30</w:t>
            </w:r>
          </w:p>
        </w:tc>
        <w:tc>
          <w:tcPr>
            <w:tcW w:w="680" w:type="dxa"/>
            <w:vAlign w:val="bottom"/>
            <w:tcBorders>
              <w:bottom w:val="single" w:sz="8" w:color="auto"/>
            </w:tcBorders>
          </w:tcPr>
          <w:p>
            <w:pPr>
              <w:spacing w:after="0"/>
              <w:rPr>
                <w:sz w:val="24"/>
                <w:szCs w:val="24"/>
                <w:color w:val="auto"/>
              </w:rPr>
            </w:pPr>
          </w:p>
        </w:tc>
      </w:tr>
      <w:tr>
        <w:trPr>
          <w:trHeight w:val="250"/>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12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2020</w:t>
            </w:r>
          </w:p>
        </w:tc>
        <w:tc>
          <w:tcPr>
            <w:tcW w:w="12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2020</w:t>
            </w:r>
          </w:p>
        </w:tc>
        <w:tc>
          <w:tcPr>
            <w:tcW w:w="12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r>
      <w:tr>
        <w:trPr>
          <w:trHeight w:val="257"/>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Open claims - beginning of year</w:t>
            </w:r>
          </w:p>
        </w:tc>
        <w:tc>
          <w:tcPr>
            <w:tcW w:w="12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12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12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6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w:t>
            </w:r>
          </w:p>
        </w:tc>
      </w:tr>
      <w:tr>
        <w:trPr>
          <w:trHeight w:val="250"/>
        </w:trPr>
        <w:tc>
          <w:tcPr>
            <w:tcW w:w="4100" w:type="dxa"/>
            <w:vAlign w:val="bottom"/>
          </w:tcPr>
          <w:p>
            <w:pPr>
              <w:spacing w:after="0"/>
              <w:rPr>
                <w:sz w:val="20"/>
                <w:szCs w:val="20"/>
                <w:color w:val="auto"/>
              </w:rPr>
            </w:pPr>
            <w:r>
              <w:rPr>
                <w:rFonts w:ascii="Arial" w:cs="Arial" w:eastAsia="Arial" w:hAnsi="Arial"/>
                <w:sz w:val="18"/>
                <w:szCs w:val="18"/>
                <w:color w:val="auto"/>
              </w:rPr>
              <w:t>New claims filed</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1</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63"/>
        </w:trPr>
        <w:tc>
          <w:tcPr>
            <w:tcW w:w="4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Claims dismissed</w:t>
            </w:r>
          </w:p>
        </w:tc>
        <w:tc>
          <w:tcPr>
            <w:tcW w:w="16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60" w:type="dxa"/>
            <w:vAlign w:val="bottom"/>
            <w:tcBorders>
              <w:bottom w:val="single" w:sz="8" w:color="CFF0FC"/>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6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6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4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2"/>
                <w:szCs w:val="2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r>
      <w:tr>
        <w:trPr>
          <w:trHeight w:val="250"/>
        </w:trPr>
        <w:tc>
          <w:tcPr>
            <w:tcW w:w="4100" w:type="dxa"/>
            <w:vAlign w:val="bottom"/>
          </w:tcPr>
          <w:p>
            <w:pPr>
              <w:spacing w:after="0"/>
              <w:rPr>
                <w:sz w:val="20"/>
                <w:szCs w:val="20"/>
                <w:color w:val="auto"/>
              </w:rPr>
            </w:pPr>
            <w:r>
              <w:rPr>
                <w:rFonts w:ascii="Arial" w:cs="Arial" w:eastAsia="Arial" w:hAnsi="Arial"/>
                <w:sz w:val="18"/>
                <w:szCs w:val="18"/>
                <w:color w:val="auto"/>
              </w:rPr>
              <w:t>Open claims - end of period</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12</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0"/>
        </w:trPr>
        <w:tc>
          <w:tcPr>
            <w:tcW w:w="4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-193675</wp:posOffset>
            </wp:positionV>
            <wp:extent cx="10287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-193675</wp:posOffset>
            </wp:positionV>
            <wp:extent cx="10287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-193675</wp:posOffset>
            </wp:positionV>
            <wp:extent cx="10287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5897880</wp:posOffset>
            </wp:positionH>
            <wp:positionV relativeFrom="paragraph">
              <wp:posOffset>-193675</wp:posOffset>
            </wp:positionV>
            <wp:extent cx="94615"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94615" cy="5715"/>
                    </a:xfrm>
                    <a:prstGeom prst="rect">
                      <a:avLst/>
                    </a:prstGeom>
                    <a:noFill/>
                  </pic:spPr>
                </pic:pic>
              </a:graphicData>
            </a:graphic>
          </wp:anchor>
        </w:drawing>
      </w:r>
    </w:p>
    <w:p>
      <w:pPr>
        <w:spacing w:after="0" w:line="112" w:lineRule="exact"/>
        <w:rPr>
          <w:sz w:val="20"/>
          <w:szCs w:val="20"/>
          <w:color w:val="auto"/>
        </w:rPr>
      </w:pPr>
    </w:p>
    <w:p>
      <w:pPr>
        <w:ind w:left="8"/>
        <w:spacing w:after="0"/>
        <w:rPr>
          <w:sz w:val="20"/>
          <w:szCs w:val="20"/>
          <w:color w:val="auto"/>
        </w:rPr>
      </w:pPr>
      <w:r>
        <w:rPr>
          <w:rFonts w:ascii="Arial" w:cs="Arial" w:eastAsia="Arial" w:hAnsi="Arial"/>
          <w:sz w:val="20"/>
          <w:szCs w:val="20"/>
          <w:i w:val="1"/>
          <w:iCs w:val="1"/>
          <w:color w:val="auto"/>
        </w:rPr>
        <w:t>Hercules asbestos-related liability</w:t>
      </w:r>
    </w:p>
    <w:p>
      <w:pPr>
        <w:spacing w:after="0" w:line="135" w:lineRule="exact"/>
        <w:rPr>
          <w:sz w:val="20"/>
          <w:szCs w:val="20"/>
          <w:color w:val="auto"/>
        </w:rPr>
      </w:pPr>
    </w:p>
    <w:p>
      <w:pPr>
        <w:jc w:val="both"/>
        <w:ind w:left="8"/>
        <w:spacing w:after="0" w:line="271" w:lineRule="auto"/>
        <w:rPr>
          <w:sz w:val="20"/>
          <w:szCs w:val="20"/>
          <w:color w:val="auto"/>
        </w:rPr>
      </w:pPr>
      <w:r>
        <w:rPr>
          <w:rFonts w:ascii="Arial" w:cs="Arial" w:eastAsia="Arial" w:hAnsi="Arial"/>
          <w:sz w:val="20"/>
          <w:szCs w:val="20"/>
          <w:color w:val="auto"/>
        </w:rPr>
        <w:t>From the range of estimates, Ashland records the amount it believes to be the best estimate of future payments for litigation defense and claim settlement costs, which generally approximates the mid-point of the estimated range of exposure from model results. Ashland reviews this estimate, and related assumptions quarterly and annually updates the results of a non-inflated, non-discounted approximate 50-year model developed with the assistance of Nathan. As a result of the most recent annual update of this estimate, completed during the June 2021 quarter, it was determined that the liability for Hercules asbestos-related claims should be increased by $8 million. Total reserves for asbestos claims were $221 million at June 30, 2021 compared to $229 million at September 30, 2020.</w:t>
      </w:r>
    </w:p>
    <w:p>
      <w:pPr>
        <w:spacing w:after="0" w:line="88"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8"/>
          </w:cols>
          <w:pgMar w:left="652" w:top="136" w:right="659" w:bottom="1440" w:gutter="0" w:footer="0" w:header="0"/>
        </w:sectPr>
      </w:pPr>
    </w:p>
    <w:bookmarkStart w:id="23" w:name="page24"/>
    <w:bookmarkEnd w:id="23"/>
    <w:p>
      <w:pPr>
        <w:ind w:left="8"/>
        <w:spacing w:after="0"/>
        <w:rPr>
          <w:sz w:val="20"/>
          <w:szCs w:val="20"/>
          <w:color w:val="auto"/>
        </w:rPr>
      </w:pPr>
      <w:r>
        <w:rPr>
          <w:rFonts w:ascii="Arial" w:cs="Arial" w:eastAsia="Arial" w:hAnsi="Arial"/>
          <w:sz w:val="20"/>
          <w:szCs w:val="20"/>
          <w:color w:val="auto"/>
        </w:rPr>
        <w:t>A progression of activity in the asbestos reserve is presented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104775</wp:posOffset>
            </wp:positionV>
            <wp:extent cx="66262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71" w:lineRule="exact"/>
        <w:rPr>
          <w:sz w:val="20"/>
          <w:szCs w:val="20"/>
          <w:color w:val="auto"/>
        </w:rPr>
      </w:pPr>
    </w:p>
    <w:tbl>
      <w:tblPr>
        <w:tblLayout w:type="fixed"/>
        <w:tblInd w:w="88"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Nine months ended</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63"/>
        </w:trPr>
        <w:tc>
          <w:tcPr>
            <w:tcW w:w="42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8"/>
                <w:szCs w:val="18"/>
                <w:color w:val="auto"/>
              </w:rPr>
              <w:t>June 30</w:t>
            </w:r>
          </w:p>
        </w:tc>
        <w:tc>
          <w:tcPr>
            <w:tcW w:w="52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8"/>
                <w:szCs w:val="18"/>
                <w:color w:val="auto"/>
              </w:rPr>
              <w:t>Years ended September 30</w:t>
            </w:r>
          </w:p>
        </w:tc>
        <w:tc>
          <w:tcPr>
            <w:tcW w:w="680" w:type="dxa"/>
            <w:vAlign w:val="bottom"/>
            <w:tcBorders>
              <w:bottom w:val="single" w:sz="8" w:color="auto"/>
            </w:tcBorders>
          </w:tcPr>
          <w:p>
            <w:pPr>
              <w:spacing w:after="0"/>
              <w:rPr>
                <w:sz w:val="22"/>
                <w:szCs w:val="22"/>
                <w:color w:val="auto"/>
              </w:rPr>
            </w:pPr>
          </w:p>
        </w:tc>
      </w:tr>
      <w:tr>
        <w:trPr>
          <w:trHeight w:val="250"/>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2020</w:t>
            </w:r>
          </w:p>
        </w:tc>
        <w:tc>
          <w:tcPr>
            <w:tcW w:w="1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r>
      <w:tr>
        <w:trPr>
          <w:trHeight w:val="257"/>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Asbestos reserve - beginning of year</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229</w:t>
            </w:r>
          </w:p>
        </w:tc>
        <w:tc>
          <w:tcPr>
            <w:tcW w:w="760" w:type="dxa"/>
            <w:vAlign w:val="bottom"/>
            <w:gridSpan w:val="2"/>
            <w:shd w:val="clear" w:color="auto" w:fill="CFF0FC"/>
          </w:tcPr>
          <w:p>
            <w:pPr>
              <w:jc w:val="right"/>
              <w:ind w:right="5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252</w:t>
            </w: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252</w:t>
            </w:r>
          </w:p>
        </w:tc>
        <w:tc>
          <w:tcPr>
            <w:tcW w:w="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282</w:t>
            </w:r>
          </w:p>
        </w:tc>
        <w:tc>
          <w:tcPr>
            <w:tcW w:w="5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323</w:t>
            </w:r>
          </w:p>
        </w:tc>
      </w:tr>
      <w:tr>
        <w:trPr>
          <w:trHeight w:val="250"/>
        </w:trPr>
        <w:tc>
          <w:tcPr>
            <w:tcW w:w="4260" w:type="dxa"/>
            <w:vAlign w:val="bottom"/>
          </w:tcPr>
          <w:p>
            <w:pPr>
              <w:spacing w:after="0"/>
              <w:rPr>
                <w:sz w:val="20"/>
                <w:szCs w:val="20"/>
                <w:color w:val="auto"/>
              </w:rPr>
            </w:pPr>
            <w:r>
              <w:rPr>
                <w:rFonts w:ascii="Arial" w:cs="Arial" w:eastAsia="Arial" w:hAnsi="Arial"/>
                <w:sz w:val="18"/>
                <w:szCs w:val="18"/>
                <w:color w:val="auto"/>
              </w:rPr>
              <w:t>Reserve adjustments</w:t>
            </w:r>
          </w:p>
        </w:tc>
        <w:tc>
          <w:tcPr>
            <w:tcW w:w="28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(3 )</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(3 )</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(10 )</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63"/>
        </w:trPr>
        <w:tc>
          <w:tcPr>
            <w:tcW w:w="4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Amounts paid</w:t>
            </w:r>
          </w:p>
        </w:tc>
        <w:tc>
          <w:tcPr>
            <w:tcW w:w="28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(16 )</w:t>
            </w:r>
          </w:p>
        </w:tc>
        <w:tc>
          <w:tcPr>
            <w:tcW w:w="160" w:type="dxa"/>
            <w:vAlign w:val="bottom"/>
            <w:tcBorders>
              <w:bottom w:val="single" w:sz="8" w:color="CFF0FC"/>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(14 )</w:t>
            </w:r>
          </w:p>
        </w:tc>
        <w:tc>
          <w:tcPr>
            <w:tcW w:w="1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(20 )</w:t>
            </w:r>
          </w:p>
        </w:tc>
        <w:tc>
          <w:tcPr>
            <w:tcW w:w="16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(20 )</w:t>
            </w:r>
          </w:p>
        </w:tc>
        <w:tc>
          <w:tcPr>
            <w:tcW w:w="16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2"/>
                <w:szCs w:val="2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(22 )</w:t>
            </w:r>
          </w:p>
        </w:tc>
      </w:tr>
      <w:tr>
        <w:trPr>
          <w:trHeight w:val="250"/>
        </w:trPr>
        <w:tc>
          <w:tcPr>
            <w:tcW w:w="4260" w:type="dxa"/>
            <w:vAlign w:val="bottom"/>
          </w:tcPr>
          <w:p>
            <w:pPr>
              <w:spacing w:after="0"/>
              <w:rPr>
                <w:sz w:val="20"/>
                <w:szCs w:val="20"/>
                <w:color w:val="auto"/>
              </w:rPr>
            </w:pPr>
            <w:r>
              <w:rPr>
                <w:rFonts w:ascii="Arial" w:cs="Arial" w:eastAsia="Arial" w:hAnsi="Arial"/>
                <w:sz w:val="18"/>
                <w:szCs w:val="18"/>
                <w:color w:val="auto"/>
              </w:rPr>
              <w:t xml:space="preserve">Asbestos reserve - end of period </w:t>
            </w:r>
            <w:r>
              <w:rPr>
                <w:rFonts w:ascii="Arial" w:cs="Arial" w:eastAsia="Arial" w:hAnsi="Arial"/>
                <w:sz w:val="14"/>
                <w:szCs w:val="14"/>
                <w:color w:val="auto"/>
              </w:rPr>
              <w:t>(a)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221</w:t>
            </w:r>
          </w:p>
        </w:tc>
        <w:tc>
          <w:tcPr>
            <w:tcW w:w="7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235</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229</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252</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282</w:t>
            </w:r>
          </w:p>
        </w:tc>
      </w:tr>
      <w:tr>
        <w:trPr>
          <w:trHeight w:val="20"/>
        </w:trPr>
        <w:tc>
          <w:tcPr>
            <w:tcW w:w="4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3480435</wp:posOffset>
            </wp:positionH>
            <wp:positionV relativeFrom="paragraph">
              <wp:posOffset>-193675</wp:posOffset>
            </wp:positionV>
            <wp:extent cx="10287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4303395</wp:posOffset>
            </wp:positionH>
            <wp:positionV relativeFrom="paragraph">
              <wp:posOffset>-193675</wp:posOffset>
            </wp:positionV>
            <wp:extent cx="10287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-193675</wp:posOffset>
            </wp:positionV>
            <wp:extent cx="94615"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5888990</wp:posOffset>
            </wp:positionH>
            <wp:positionV relativeFrom="paragraph">
              <wp:posOffset>-193675</wp:posOffset>
            </wp:positionV>
            <wp:extent cx="9398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51435</wp:posOffset>
            </wp:positionH>
            <wp:positionV relativeFrom="paragraph">
              <wp:posOffset>163195</wp:posOffset>
            </wp:positionV>
            <wp:extent cx="66262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353" w:lineRule="exact"/>
        <w:rPr>
          <w:sz w:val="20"/>
          <w:szCs w:val="20"/>
          <w:color w:val="auto"/>
        </w:rPr>
      </w:pPr>
    </w:p>
    <w:p>
      <w:pPr>
        <w:ind w:left="328" w:right="80" w:hanging="328"/>
        <w:spacing w:after="0" w:line="293" w:lineRule="auto"/>
        <w:tabs>
          <w:tab w:leader="none" w:pos="328"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Included $18 million and $22 million classified in accrued expenses and other liabilities on the Condensed Consolidated Balance Sheets as of both June 30, 2021 and September 30, 2020, respectively.</w:t>
      </w:r>
    </w:p>
    <w:p>
      <w:pPr>
        <w:spacing w:after="0" w:line="68" w:lineRule="exact"/>
        <w:rPr>
          <w:sz w:val="20"/>
          <w:szCs w:val="20"/>
          <w:color w:val="auto"/>
        </w:rPr>
      </w:pPr>
    </w:p>
    <w:p>
      <w:pPr>
        <w:ind w:left="8"/>
        <w:spacing w:after="0"/>
        <w:rPr>
          <w:sz w:val="20"/>
          <w:szCs w:val="20"/>
          <w:color w:val="auto"/>
        </w:rPr>
      </w:pPr>
      <w:r>
        <w:rPr>
          <w:rFonts w:ascii="Arial" w:cs="Arial" w:eastAsia="Arial" w:hAnsi="Arial"/>
          <w:sz w:val="20"/>
          <w:szCs w:val="20"/>
          <w:i w:val="1"/>
          <w:iCs w:val="1"/>
          <w:color w:val="auto"/>
        </w:rPr>
        <w:t>Hercules asbestos-related receivables</w:t>
      </w:r>
    </w:p>
    <w:p>
      <w:pPr>
        <w:spacing w:after="0" w:line="135" w:lineRule="exact"/>
        <w:rPr>
          <w:sz w:val="20"/>
          <w:szCs w:val="20"/>
          <w:color w:val="auto"/>
        </w:rPr>
      </w:pPr>
    </w:p>
    <w:p>
      <w:pPr>
        <w:jc w:val="both"/>
        <w:ind w:left="8"/>
        <w:spacing w:after="0" w:line="363" w:lineRule="auto"/>
        <w:rPr>
          <w:sz w:val="20"/>
          <w:szCs w:val="20"/>
          <w:color w:val="auto"/>
        </w:rPr>
      </w:pPr>
      <w:r>
        <w:rPr>
          <w:rFonts w:ascii="Arial" w:cs="Arial" w:eastAsia="Arial" w:hAnsi="Arial"/>
          <w:sz w:val="16"/>
          <w:szCs w:val="16"/>
          <w:color w:val="auto"/>
        </w:rPr>
        <w:t>For the Hercules asbestos-related obligations, certain reimbursement obligations pursuant to coverage-in-place agreements with insurance carriers exist.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The estimated receivable consists exclusively of solvent domestic insurers.</w:t>
      </w:r>
    </w:p>
    <w:p>
      <w:pPr>
        <w:spacing w:after="0" w:line="21" w:lineRule="exact"/>
        <w:rPr>
          <w:sz w:val="20"/>
          <w:szCs w:val="20"/>
          <w:color w:val="auto"/>
        </w:rPr>
      </w:pPr>
    </w:p>
    <w:p>
      <w:pPr>
        <w:jc w:val="both"/>
        <w:ind w:left="8"/>
        <w:spacing w:after="0" w:line="274" w:lineRule="auto"/>
        <w:rPr>
          <w:sz w:val="20"/>
          <w:szCs w:val="20"/>
          <w:color w:val="auto"/>
        </w:rPr>
      </w:pPr>
      <w:r>
        <w:rPr>
          <w:rFonts w:ascii="Arial" w:cs="Arial" w:eastAsia="Arial" w:hAnsi="Arial"/>
          <w:sz w:val="20"/>
          <w:szCs w:val="20"/>
          <w:color w:val="auto"/>
        </w:rPr>
        <w:t>As of June 30, 2021, Ashland’s receivable for recoveries of litigation defense and claims costs from insurers with respect to Hercules amounted to $48 million. During the June 2021 quarter, the annual update of the model used for purposes of valuing the asbestos reserve and its impact on valuation of future recoveries from insurers was completed. This model update resulted in an increase of $2 million in the receivable for probable insurance recoveries.</w:t>
      </w:r>
    </w:p>
    <w:p>
      <w:pPr>
        <w:spacing w:after="0" w:line="84" w:lineRule="exact"/>
        <w:rPr>
          <w:sz w:val="20"/>
          <w:szCs w:val="20"/>
          <w:color w:val="auto"/>
        </w:rPr>
      </w:pPr>
    </w:p>
    <w:p>
      <w:pPr>
        <w:ind w:left="8"/>
        <w:spacing w:after="0"/>
        <w:rPr>
          <w:sz w:val="20"/>
          <w:szCs w:val="20"/>
          <w:color w:val="auto"/>
        </w:rPr>
      </w:pPr>
      <w:r>
        <w:rPr>
          <w:rFonts w:ascii="Arial" w:cs="Arial" w:eastAsia="Arial" w:hAnsi="Arial"/>
          <w:sz w:val="20"/>
          <w:szCs w:val="20"/>
          <w:color w:val="auto"/>
        </w:rPr>
        <w:t>A progression of activity in the Hercules insurance receivable is presented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95885</wp:posOffset>
            </wp:positionV>
            <wp:extent cx="66262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58" w:lineRule="exact"/>
        <w:rPr>
          <w:sz w:val="20"/>
          <w:szCs w:val="20"/>
          <w:color w:val="auto"/>
        </w:rPr>
      </w:pPr>
    </w:p>
    <w:tbl>
      <w:tblPr>
        <w:tblLayout w:type="fixed"/>
        <w:tblInd w:w="88"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w w:val="99"/>
              </w:rPr>
              <w:t>Nine months ended</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63"/>
        </w:trPr>
        <w:tc>
          <w:tcPr>
            <w:tcW w:w="42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color w:val="auto"/>
              </w:rPr>
              <w:t>June 30</w:t>
            </w:r>
          </w:p>
        </w:tc>
        <w:tc>
          <w:tcPr>
            <w:tcW w:w="52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8"/>
                <w:szCs w:val="18"/>
                <w:color w:val="auto"/>
              </w:rPr>
              <w:t>Years ended September 30</w:t>
            </w:r>
          </w:p>
        </w:tc>
        <w:tc>
          <w:tcPr>
            <w:tcW w:w="680" w:type="dxa"/>
            <w:vAlign w:val="bottom"/>
            <w:tcBorders>
              <w:bottom w:val="single" w:sz="8" w:color="auto"/>
            </w:tcBorders>
          </w:tcPr>
          <w:p>
            <w:pPr>
              <w:spacing w:after="0"/>
              <w:rPr>
                <w:sz w:val="22"/>
                <w:szCs w:val="22"/>
                <w:color w:val="auto"/>
              </w:rPr>
            </w:pPr>
          </w:p>
        </w:tc>
      </w:tr>
      <w:tr>
        <w:trPr>
          <w:trHeight w:val="250"/>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2020</w:t>
            </w:r>
          </w:p>
        </w:tc>
        <w:tc>
          <w:tcPr>
            <w:tcW w:w="1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r>
      <w:tr>
        <w:trPr>
          <w:trHeight w:val="256"/>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Insurance receivable - beginning of year</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47</w:t>
            </w:r>
          </w:p>
        </w:tc>
        <w:tc>
          <w:tcPr>
            <w:tcW w:w="760" w:type="dxa"/>
            <w:vAlign w:val="bottom"/>
            <w:gridSpan w:val="2"/>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49</w:t>
            </w: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49</w:t>
            </w:r>
          </w:p>
        </w:tc>
        <w:tc>
          <w:tcPr>
            <w:tcW w:w="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54</w:t>
            </w:r>
          </w:p>
        </w:tc>
        <w:tc>
          <w:tcPr>
            <w:tcW w:w="5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68</w:t>
            </w:r>
          </w:p>
        </w:tc>
      </w:tr>
      <w:tr>
        <w:trPr>
          <w:trHeight w:val="257"/>
        </w:trPr>
        <w:tc>
          <w:tcPr>
            <w:tcW w:w="4260" w:type="dxa"/>
            <w:vAlign w:val="bottom"/>
          </w:tcPr>
          <w:p>
            <w:pPr>
              <w:spacing w:after="0"/>
              <w:rPr>
                <w:sz w:val="20"/>
                <w:szCs w:val="20"/>
                <w:color w:val="auto"/>
              </w:rPr>
            </w:pPr>
            <w:r>
              <w:rPr>
                <w:rFonts w:ascii="Arial" w:cs="Arial" w:eastAsia="Arial" w:hAnsi="Arial"/>
                <w:sz w:val="18"/>
                <w:szCs w:val="18"/>
                <w:color w:val="auto"/>
              </w:rPr>
              <w:t xml:space="preserve">Receivable adjustment </w:t>
            </w:r>
            <w:r>
              <w:rPr>
                <w:rFonts w:ascii="Arial" w:cs="Arial" w:eastAsia="Arial" w:hAnsi="Arial"/>
                <w:sz w:val="14"/>
                <w:szCs w:val="14"/>
                <w:color w:val="auto"/>
              </w:rPr>
              <w:t>(a)</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1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1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(14 )</w:t>
            </w:r>
          </w:p>
        </w:tc>
      </w:tr>
      <w:tr>
        <w:trPr>
          <w:trHeight w:val="27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Insurance receivable - end of period (b)</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FF0FC"/>
          </w:tcPr>
          <w:p>
            <w:pPr>
              <w:spacing w:after="0"/>
              <w:rPr>
                <w:sz w:val="23"/>
                <w:szCs w:val="23"/>
                <w:color w:val="auto"/>
              </w:rPr>
            </w:pP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47</w:t>
            </w: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47</w:t>
            </w:r>
          </w:p>
        </w:tc>
        <w:tc>
          <w:tcPr>
            <w:tcW w:w="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49</w:t>
            </w:r>
          </w:p>
        </w:tc>
        <w:tc>
          <w:tcPr>
            <w:tcW w:w="5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54</w:t>
            </w:r>
          </w:p>
        </w:tc>
      </w:tr>
      <w:tr>
        <w:trPr>
          <w:trHeight w:val="20"/>
        </w:trPr>
        <w:tc>
          <w:tcPr>
            <w:tcW w:w="4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3480435</wp:posOffset>
            </wp:positionH>
            <wp:positionV relativeFrom="paragraph">
              <wp:posOffset>-24765</wp:posOffset>
            </wp:positionV>
            <wp:extent cx="1028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3480435</wp:posOffset>
            </wp:positionH>
            <wp:positionV relativeFrom="paragraph">
              <wp:posOffset>-7620</wp:posOffset>
            </wp:positionV>
            <wp:extent cx="1028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4303395</wp:posOffset>
            </wp:positionH>
            <wp:positionV relativeFrom="paragraph">
              <wp:posOffset>-24765</wp:posOffset>
            </wp:positionV>
            <wp:extent cx="1028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4303395</wp:posOffset>
            </wp:positionH>
            <wp:positionV relativeFrom="paragraph">
              <wp:posOffset>-7620</wp:posOffset>
            </wp:positionV>
            <wp:extent cx="1028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-24765</wp:posOffset>
            </wp:positionV>
            <wp:extent cx="9461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-7620</wp:posOffset>
            </wp:positionV>
            <wp:extent cx="9461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5888990</wp:posOffset>
            </wp:positionH>
            <wp:positionV relativeFrom="paragraph">
              <wp:posOffset>-24765</wp:posOffset>
            </wp:positionV>
            <wp:extent cx="939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5888990</wp:posOffset>
            </wp:positionH>
            <wp:positionV relativeFrom="paragraph">
              <wp:posOffset>-7620</wp:posOffset>
            </wp:positionV>
            <wp:extent cx="939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51435</wp:posOffset>
            </wp:positionH>
            <wp:positionV relativeFrom="paragraph">
              <wp:posOffset>163195</wp:posOffset>
            </wp:positionV>
            <wp:extent cx="66262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353" w:lineRule="exact"/>
        <w:rPr>
          <w:sz w:val="20"/>
          <w:szCs w:val="20"/>
          <w:color w:val="auto"/>
        </w:rPr>
      </w:pPr>
    </w:p>
    <w:p>
      <w:pPr>
        <w:ind w:left="328" w:right="600" w:hanging="328"/>
        <w:spacing w:after="0" w:line="293" w:lineRule="auto"/>
        <w:tabs>
          <w:tab w:leader="none" w:pos="328"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nine months ended June 30, 2021 includes a $1 million reserve adjustment related to allowances for credit losses as a result of Ashland’s adoption of the new credit measurement standard described in Note A.</w:t>
      </w:r>
    </w:p>
    <w:p>
      <w:pPr>
        <w:ind w:left="328" w:hanging="328"/>
        <w:spacing w:after="0"/>
        <w:tabs>
          <w:tab w:leader="none" w:pos="328" w:val="left"/>
        </w:tabs>
        <w:numPr>
          <w:ilvl w:val="0"/>
          <w:numId w:val="15"/>
        </w:numPr>
        <w:rPr>
          <w:rFonts w:ascii="Arial" w:cs="Arial" w:eastAsia="Arial" w:hAnsi="Arial"/>
          <w:sz w:val="26"/>
          <w:szCs w:val="26"/>
          <w:color w:val="auto"/>
          <w:vertAlign w:val="superscript"/>
        </w:rPr>
      </w:pPr>
      <w:r>
        <w:rPr>
          <w:rFonts w:ascii="Arial" w:cs="Arial" w:eastAsia="Arial" w:hAnsi="Arial"/>
          <w:sz w:val="13"/>
          <w:szCs w:val="13"/>
          <w:color w:val="auto"/>
        </w:rPr>
        <w:t>Includes $2 million and zero classified in accounts receivable on the Condensed Consolidated Balance Sheets as of June 30, 2021 and September 30, 2020, respectively.</w:t>
      </w:r>
    </w:p>
    <w:p>
      <w:pPr>
        <w:spacing w:after="0" w:line="135"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60325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8"/>
          </w:cols>
          <w:pgMar w:left="652" w:top="136" w:right="659" w:bottom="1440" w:gutter="0" w:footer="0" w:header="0"/>
        </w:sectPr>
      </w:pPr>
    </w:p>
    <w:bookmarkStart w:id="24" w:name="page25"/>
    <w:bookmarkEnd w:id="24"/>
    <w:p>
      <w:pPr>
        <w:spacing w:after="0"/>
        <w:rPr>
          <w:sz w:val="20"/>
          <w:szCs w:val="20"/>
          <w:color w:val="auto"/>
        </w:rPr>
      </w:pPr>
      <w:r>
        <w:rPr>
          <w:rFonts w:ascii="Arial" w:cs="Arial" w:eastAsia="Arial" w:hAnsi="Arial"/>
          <w:sz w:val="20"/>
          <w:szCs w:val="20"/>
          <w:i w:val="1"/>
          <w:iCs w:val="1"/>
          <w:color w:val="auto"/>
        </w:rPr>
        <w:t>Asbestos litigation cost projection</w:t>
      </w:r>
    </w:p>
    <w:p>
      <w:pPr>
        <w:spacing w:after="0" w:line="135"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Projecting future asbestos costs is subject to numerous variables that are extremely difficult to predict. In addition to the significant uncertainties surrounding the number of claims that might be received, other variables include the type and severity of the disease alleged by each claimant, the long latency period associated with asbestos exposure, mortality rates, dismissal rates, costs of medical treatment, the impact of bankruptcies of other companies that are co-defendants in claims, uncertainties surrounding the litigation process from jurisdiction to jurisdiction and from case to case, and the impact of potential changes in legislative or judicial standards. Furthermore, any predictions with respect to these variables are subject to even greater uncertainty as the projection period lengthens. Considering these inherent uncertainties, Ashland believes that the asbestos reserves for Ashland and Hercules represent the best estimate within a range of possible outcomes. As a part of the process to develop these estimates of future asbestos costs, a range of long-term cost models was developed. These models are based on national studies that predict the number of people likely to develop asbestos-related diseases and are heavily influenced by assumptions regarding long-term inflation rates for indemnity payments and legal defense costs, as well as other variables mentioned previously. Ashland has currently estimated in various models ranging from approximately 40 to 50 year periods that it is reasonably possible that total future litigation defense and claim settlement costs on an inflated and undiscounted basis could range as high as approximately $482 million for the Ashland asbestos-related litigation (current reserve of $326 million) and approximately $334 million for the Hercules asbestos-related litigation (current reserve of $221 million), depending on the combination of assumptions selected in the various models. If actual experience is worse than projected, relative to the number of claims filed, the severity of alleged disease associated with those claims or costs incurred to resolve those claims, or actuarial refinement or improvements to the assumptions used within these models are initiated, Ashland may need to further increase the estimates of the costs associated with asbestos claims and these increases could be material over time.</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remediation and asset retirement obligations</w:t>
      </w:r>
    </w:p>
    <w:p>
      <w:pPr>
        <w:spacing w:after="0" w:line="141"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Ashland is subject to various federal, state and local environmental laws and regulations that require environmental assessment or remediation efforts (collectively, environmental remediation) at multiple locations. At June 30, 2021, such locations included 82 sites where Ashland has been identified as a potentially responsible party under Superfund or similar state laws, 113 current and former operating facilities (including certain operating facilities conveyed as part of previous divestitures) and about 1,225 service station properties, of which 20 are being actively remediated.</w:t>
      </w:r>
    </w:p>
    <w:p>
      <w:pPr>
        <w:spacing w:after="0" w:line="87" w:lineRule="exact"/>
        <w:rPr>
          <w:sz w:val="20"/>
          <w:szCs w:val="20"/>
          <w:color w:val="auto"/>
        </w:rPr>
      </w:pPr>
    </w:p>
    <w:p>
      <w:pPr>
        <w:jc w:val="both"/>
        <w:ind w:right="20"/>
        <w:spacing w:after="0" w:line="293" w:lineRule="auto"/>
        <w:rPr>
          <w:sz w:val="20"/>
          <w:szCs w:val="20"/>
          <w:color w:val="auto"/>
        </w:rPr>
      </w:pPr>
      <w:r>
        <w:rPr>
          <w:rFonts w:ascii="Arial" w:cs="Arial" w:eastAsia="Arial" w:hAnsi="Arial"/>
          <w:sz w:val="19"/>
          <w:szCs w:val="19"/>
          <w:color w:val="auto"/>
        </w:rPr>
        <w:t>Ashland’s reserves for environmental remediation and related environmental litigation amounted to $205 million at June 30, 2021 compared to $200 million at September 30, 2020, of which $155 million at June 30, 2021 and $150 million at September 30, 2020 were classified in other noncurrent liabilities on the Condensed Consolidated Balance Sheets. The remaining reserves were classified in accrued expenses and other liabilities on the Condensed Consolidated Balance Sheets.</w:t>
      </w:r>
    </w:p>
    <w:p>
      <w:pPr>
        <w:spacing w:after="0" w:line="67"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The following table provides a reconciliation of the changes in the environmental remediation reserves during the nine months ended June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62865</wp:posOffset>
            </wp:positionV>
            <wp:extent cx="662622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106"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80" w:type="dxa"/>
            <w:vAlign w:val="bottom"/>
            <w:gridSpan w:val="3"/>
          </w:tcPr>
          <w:p>
            <w:pPr>
              <w:jc w:val="right"/>
              <w:ind w:right="360"/>
              <w:spacing w:after="0"/>
              <w:rPr>
                <w:sz w:val="20"/>
                <w:szCs w:val="20"/>
                <w:color w:val="auto"/>
              </w:rPr>
            </w:pPr>
            <w:r>
              <w:rPr>
                <w:rFonts w:ascii="Arial" w:cs="Arial" w:eastAsia="Arial" w:hAnsi="Arial"/>
                <w:sz w:val="18"/>
                <w:szCs w:val="18"/>
                <w:color w:val="auto"/>
              </w:rPr>
              <w:t>Nine months ended</w:t>
            </w:r>
          </w:p>
        </w:tc>
        <w:tc>
          <w:tcPr>
            <w:tcW w:w="840" w:type="dxa"/>
            <w:vAlign w:val="bottom"/>
          </w:tcPr>
          <w:p>
            <w:pPr>
              <w:spacing w:after="0"/>
              <w:rPr>
                <w:sz w:val="20"/>
                <w:szCs w:val="20"/>
                <w:color w:val="auto"/>
              </w:rPr>
            </w:pPr>
          </w:p>
        </w:tc>
      </w:tr>
      <w:tr>
        <w:trPr>
          <w:trHeight w:val="263"/>
        </w:trPr>
        <w:tc>
          <w:tcPr>
            <w:tcW w:w="670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3"/>
          </w:tcPr>
          <w:p>
            <w:pPr>
              <w:jc w:val="right"/>
              <w:ind w:right="800"/>
              <w:spacing w:after="0"/>
              <w:rPr>
                <w:sz w:val="20"/>
                <w:szCs w:val="20"/>
                <w:color w:val="auto"/>
              </w:rPr>
            </w:pPr>
            <w:r>
              <w:rPr>
                <w:rFonts w:ascii="Arial" w:cs="Arial" w:eastAsia="Arial" w:hAnsi="Arial"/>
                <w:sz w:val="18"/>
                <w:szCs w:val="18"/>
                <w:color w:val="auto"/>
              </w:rPr>
              <w:t>June 30</w:t>
            </w:r>
          </w:p>
        </w:tc>
        <w:tc>
          <w:tcPr>
            <w:tcW w:w="840" w:type="dxa"/>
            <w:vAlign w:val="bottom"/>
            <w:tcBorders>
              <w:bottom w:val="single" w:sz="8" w:color="auto"/>
            </w:tcBorders>
          </w:tcPr>
          <w:p>
            <w:pPr>
              <w:spacing w:after="0"/>
              <w:rPr>
                <w:sz w:val="22"/>
                <w:szCs w:val="22"/>
                <w:color w:val="auto"/>
              </w:rPr>
            </w:pPr>
          </w:p>
        </w:tc>
      </w:tr>
      <w:tr>
        <w:trPr>
          <w:trHeight w:val="250"/>
        </w:trPr>
        <w:tc>
          <w:tcPr>
            <w:tcW w:w="6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6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r>
      <w:tr>
        <w:trPr>
          <w:trHeight w:val="257"/>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Reserve - beginning of period</w:t>
            </w: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200</w:t>
            </w:r>
          </w:p>
        </w:tc>
        <w:tc>
          <w:tcPr>
            <w:tcW w:w="1100" w:type="dxa"/>
            <w:vAlign w:val="bottom"/>
            <w:gridSpan w:val="2"/>
            <w:shd w:val="clear" w:color="auto" w:fill="CFF0FC"/>
          </w:tcPr>
          <w:p>
            <w:pPr>
              <w:jc w:val="right"/>
              <w:ind w:right="7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186</w:t>
            </w:r>
          </w:p>
        </w:tc>
      </w:tr>
      <w:tr>
        <w:trPr>
          <w:trHeight w:val="250"/>
        </w:trPr>
        <w:tc>
          <w:tcPr>
            <w:tcW w:w="6700" w:type="dxa"/>
            <w:vAlign w:val="bottom"/>
          </w:tcPr>
          <w:p>
            <w:pPr>
              <w:ind w:left="260"/>
              <w:spacing w:after="0"/>
              <w:rPr>
                <w:sz w:val="20"/>
                <w:szCs w:val="20"/>
                <w:color w:val="auto"/>
              </w:rPr>
            </w:pPr>
            <w:r>
              <w:rPr>
                <w:rFonts w:ascii="Arial" w:cs="Arial" w:eastAsia="Arial" w:hAnsi="Arial"/>
                <w:sz w:val="18"/>
                <w:szCs w:val="18"/>
                <w:color w:val="auto"/>
              </w:rPr>
              <w:t>Disbursements</w:t>
            </w:r>
          </w:p>
        </w:tc>
        <w:tc>
          <w:tcPr>
            <w:tcW w:w="6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(35 )</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(28 )</w:t>
            </w:r>
          </w:p>
        </w:tc>
      </w:tr>
      <w:tr>
        <w:trPr>
          <w:trHeight w:val="263"/>
        </w:trPr>
        <w:tc>
          <w:tcPr>
            <w:tcW w:w="67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Revised obligation estimates and accretion</w:t>
            </w:r>
          </w:p>
        </w:tc>
        <w:tc>
          <w:tcPr>
            <w:tcW w:w="60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40</w:t>
            </w:r>
          </w:p>
        </w:tc>
        <w:tc>
          <w:tcPr>
            <w:tcW w:w="22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40</w:t>
            </w:r>
          </w:p>
        </w:tc>
      </w:tr>
      <w:tr>
        <w:trPr>
          <w:trHeight w:val="250"/>
        </w:trPr>
        <w:tc>
          <w:tcPr>
            <w:tcW w:w="6700" w:type="dxa"/>
            <w:vAlign w:val="bottom"/>
          </w:tcPr>
          <w:p>
            <w:pPr>
              <w:spacing w:after="0"/>
              <w:rPr>
                <w:sz w:val="20"/>
                <w:szCs w:val="20"/>
                <w:color w:val="auto"/>
              </w:rPr>
            </w:pPr>
            <w:r>
              <w:rPr>
                <w:rFonts w:ascii="Arial" w:cs="Arial" w:eastAsia="Arial" w:hAnsi="Arial"/>
                <w:sz w:val="18"/>
                <w:szCs w:val="18"/>
                <w:color w:val="auto"/>
              </w:rPr>
              <w:t>Reserve - end of period</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205</w:t>
            </w:r>
          </w:p>
        </w:tc>
        <w:tc>
          <w:tcPr>
            <w:tcW w:w="11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198</w:t>
            </w:r>
          </w:p>
        </w:tc>
      </w:tr>
      <w:tr>
        <w:trPr>
          <w:trHeight w:val="20"/>
        </w:trPr>
        <w:tc>
          <w:tcPr>
            <w:tcW w:w="67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5429885</wp:posOffset>
            </wp:positionH>
            <wp:positionV relativeFrom="paragraph">
              <wp:posOffset>-193675</wp:posOffset>
            </wp:positionV>
            <wp:extent cx="145415"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45415" cy="5715"/>
                    </a:xfrm>
                    <a:prstGeom prst="rect">
                      <a:avLst/>
                    </a:prstGeom>
                    <a:noFill/>
                  </pic:spPr>
                </pic:pic>
              </a:graphicData>
            </a:graphic>
          </wp:anchor>
        </w:drawing>
      </w:r>
    </w:p>
    <w:p>
      <w:pPr>
        <w:spacing w:after="0" w:line="112" w:lineRule="exact"/>
        <w:rPr>
          <w:sz w:val="20"/>
          <w:szCs w:val="20"/>
          <w:color w:val="auto"/>
        </w:rPr>
      </w:pPr>
    </w:p>
    <w:p>
      <w:pPr>
        <w:jc w:val="both"/>
        <w:spacing w:after="0" w:line="349" w:lineRule="auto"/>
        <w:rPr>
          <w:sz w:val="20"/>
          <w:szCs w:val="20"/>
          <w:color w:val="auto"/>
        </w:rPr>
      </w:pPr>
      <w:r>
        <w:rPr>
          <w:rFonts w:ascii="Arial" w:cs="Arial" w:eastAsia="Arial" w:hAnsi="Arial"/>
          <w:sz w:val="16"/>
          <w:szCs w:val="16"/>
          <w:color w:val="auto"/>
        </w:rPr>
        <w:t>The total reserves for environmental remediation reflect Ashland’s estimates of the most likely costs that will be incurred over an extended period to remediate identified conditions for which the costs are reasonably estimable, without regard to any third-party recoveries. Engineering studies, probability techniques, historical experience and other factors are used to identify and evaluate remediation alternatives and their related costs in determining the estimated reserves for environmental remediation. Ashland continues to discount certain environmental sites and regularly adjusts its reserves as environmental remediation continues. Ashland has estimated the value of its probable insurance recoveries associated with its environmental reserve based on management’s interpretations and estimates surrounding the available or applicable insurance coverage. At June 30, 2021 and September 30, 2020,</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62230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660" w:top="136" w:right="659" w:bottom="1440" w:gutter="0" w:footer="0" w:header="0"/>
        </w:sectPr>
      </w:pPr>
    </w:p>
    <w:bookmarkStart w:id="25" w:name="page26"/>
    <w:bookmarkEnd w:id="25"/>
    <w:p>
      <w:pPr>
        <w:jc w:val="both"/>
        <w:ind w:left="340"/>
        <w:spacing w:after="0" w:line="278" w:lineRule="auto"/>
        <w:rPr>
          <w:sz w:val="20"/>
          <w:szCs w:val="20"/>
          <w:color w:val="auto"/>
        </w:rPr>
      </w:pPr>
      <w:r>
        <w:rPr>
          <w:rFonts w:ascii="Arial" w:cs="Arial" w:eastAsia="Arial" w:hAnsi="Arial"/>
          <w:sz w:val="20"/>
          <w:szCs w:val="20"/>
          <w:color w:val="auto"/>
        </w:rPr>
        <w:t>Ashland’s recorded receivable for these probable insurance recoveries was $14 million and $15 million, of which $11 million and $12 million at June 30, 2021 and September 30, 2020, respectively, was classified in other noncurrent assets on the Condensed Consolidated Balance Sheets.</w:t>
      </w:r>
    </w:p>
    <w:p>
      <w:pPr>
        <w:spacing w:after="0" w:line="78" w:lineRule="exact"/>
        <w:rPr>
          <w:sz w:val="20"/>
          <w:szCs w:val="20"/>
          <w:color w:val="auto"/>
        </w:rPr>
      </w:pPr>
    </w:p>
    <w:p>
      <w:pPr>
        <w:jc w:val="both"/>
        <w:ind w:left="340"/>
        <w:spacing w:after="0" w:line="278" w:lineRule="auto"/>
        <w:rPr>
          <w:sz w:val="20"/>
          <w:szCs w:val="20"/>
          <w:color w:val="auto"/>
        </w:rPr>
      </w:pPr>
      <w:r>
        <w:rPr>
          <w:rFonts w:ascii="Arial" w:cs="Arial" w:eastAsia="Arial" w:hAnsi="Arial"/>
          <w:sz w:val="20"/>
          <w:szCs w:val="20"/>
          <w:color w:val="auto"/>
        </w:rPr>
        <w:t>Components of environmental remediation expense included within the selling, general and administrative expense caption of the Statements of Consolidated Comprehensive Income (Loss) are presented in the following table for the three and nine months ended June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69215</wp:posOffset>
            </wp:positionV>
            <wp:extent cx="66262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15"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gridSpan w:val="3"/>
          </w:tcPr>
          <w:p>
            <w:pPr>
              <w:jc w:val="right"/>
              <w:ind w:right="120"/>
              <w:spacing w:after="0"/>
              <w:rPr>
                <w:sz w:val="20"/>
                <w:szCs w:val="20"/>
                <w:color w:val="auto"/>
              </w:rPr>
            </w:pPr>
            <w:r>
              <w:rPr>
                <w:rFonts w:ascii="Arial" w:cs="Arial" w:eastAsia="Arial" w:hAnsi="Arial"/>
                <w:sz w:val="18"/>
                <w:szCs w:val="18"/>
                <w:color w:val="auto"/>
              </w:rPr>
              <w:t>Three months ended</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3"/>
          </w:tcPr>
          <w:p>
            <w:pPr>
              <w:jc w:val="right"/>
              <w:ind w:right="100"/>
              <w:spacing w:after="0"/>
              <w:rPr>
                <w:sz w:val="20"/>
                <w:szCs w:val="20"/>
                <w:color w:val="auto"/>
              </w:rPr>
            </w:pPr>
            <w:r>
              <w:rPr>
                <w:rFonts w:ascii="Arial" w:cs="Arial" w:eastAsia="Arial" w:hAnsi="Arial"/>
                <w:sz w:val="18"/>
                <w:szCs w:val="18"/>
                <w:color w:val="auto"/>
              </w:rPr>
              <w:t>Nine months ended</w:t>
            </w:r>
          </w:p>
        </w:tc>
        <w:tc>
          <w:tcPr>
            <w:tcW w:w="580" w:type="dxa"/>
            <w:vAlign w:val="bottom"/>
          </w:tcPr>
          <w:p>
            <w:pPr>
              <w:spacing w:after="0"/>
              <w:rPr>
                <w:sz w:val="20"/>
                <w:szCs w:val="20"/>
                <w:color w:val="auto"/>
              </w:rPr>
            </w:pPr>
          </w:p>
        </w:tc>
      </w:tr>
      <w:tr>
        <w:trPr>
          <w:trHeight w:val="263"/>
        </w:trPr>
        <w:tc>
          <w:tcPr>
            <w:tcW w:w="48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8"/>
                <w:szCs w:val="18"/>
                <w:color w:val="auto"/>
              </w:rPr>
              <w:t>June 30</w:t>
            </w:r>
          </w:p>
        </w:tc>
        <w:tc>
          <w:tcPr>
            <w:tcW w:w="58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8"/>
                <w:szCs w:val="18"/>
                <w:color w:val="auto"/>
              </w:rPr>
              <w:t>June 30</w:t>
            </w:r>
          </w:p>
        </w:tc>
        <w:tc>
          <w:tcPr>
            <w:tcW w:w="580" w:type="dxa"/>
            <w:vAlign w:val="bottom"/>
            <w:tcBorders>
              <w:bottom w:val="single" w:sz="8" w:color="auto"/>
            </w:tcBorders>
          </w:tcPr>
          <w:p>
            <w:pPr>
              <w:spacing w:after="0"/>
              <w:rPr>
                <w:sz w:val="22"/>
                <w:szCs w:val="22"/>
                <w:color w:val="auto"/>
              </w:rPr>
            </w:pPr>
          </w:p>
        </w:tc>
      </w:tr>
      <w:tr>
        <w:trPr>
          <w:trHeight w:val="250"/>
        </w:trPr>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r>
      <w:tr>
        <w:trPr>
          <w:trHeight w:val="250"/>
        </w:trPr>
        <w:tc>
          <w:tcPr>
            <w:tcW w:w="4860" w:type="dxa"/>
            <w:vAlign w:val="bottom"/>
          </w:tcPr>
          <w:p>
            <w:pPr>
              <w:spacing w:after="0"/>
              <w:rPr>
                <w:sz w:val="20"/>
                <w:szCs w:val="20"/>
                <w:color w:val="auto"/>
              </w:rPr>
            </w:pPr>
            <w:r>
              <w:rPr>
                <w:rFonts w:ascii="Arial" w:cs="Arial" w:eastAsia="Arial" w:hAnsi="Arial"/>
                <w:sz w:val="18"/>
                <w:szCs w:val="18"/>
                <w:color w:val="auto"/>
              </w:rPr>
              <w:t>Environmental expense</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24</w:t>
            </w:r>
          </w:p>
        </w:tc>
        <w:tc>
          <w:tcPr>
            <w:tcW w:w="8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8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63"/>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Accretion</w:t>
            </w:r>
          </w:p>
        </w:tc>
        <w:tc>
          <w:tcPr>
            <w:tcW w:w="340" w:type="dxa"/>
            <w:vAlign w:val="bottom"/>
            <w:shd w:val="clear" w:color="auto" w:fill="CFF0FC"/>
          </w:tcPr>
          <w:p>
            <w:pPr>
              <w:spacing w:after="0"/>
              <w:rPr>
                <w:sz w:val="22"/>
                <w:szCs w:val="22"/>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5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r>
      <w:tr>
        <w:trPr>
          <w:trHeight w:val="256"/>
        </w:trPr>
        <w:tc>
          <w:tcPr>
            <w:tcW w:w="4860" w:type="dxa"/>
            <w:vAlign w:val="bottom"/>
          </w:tcPr>
          <w:p>
            <w:pPr>
              <w:spacing w:after="0"/>
              <w:rPr>
                <w:sz w:val="20"/>
                <w:szCs w:val="20"/>
                <w:color w:val="auto"/>
              </w:rPr>
            </w:pPr>
            <w:r>
              <w:rPr>
                <w:rFonts w:ascii="Arial" w:cs="Arial" w:eastAsia="Arial" w:hAnsi="Arial"/>
                <w:sz w:val="18"/>
                <w:szCs w:val="18"/>
                <w:color w:val="auto"/>
              </w:rPr>
              <w:t>Legal expense</w:t>
            </w: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r>
      <w:tr>
        <w:trPr>
          <w:trHeight w:val="250"/>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expense</w:t>
            </w:r>
          </w:p>
        </w:tc>
        <w:tc>
          <w:tcPr>
            <w:tcW w:w="3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44</w:t>
            </w:r>
          </w:p>
        </w:tc>
      </w:tr>
      <w:tr>
        <w:trPr>
          <w:trHeight w:val="257"/>
        </w:trPr>
        <w:tc>
          <w:tcPr>
            <w:tcW w:w="4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257"/>
        </w:trPr>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Insurance receivable</w:t>
            </w:r>
          </w:p>
        </w:tc>
        <w:tc>
          <w:tcPr>
            <w:tcW w:w="3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2"/>
                <w:szCs w:val="22"/>
                <w:color w:val="auto"/>
              </w:rPr>
            </w:pPr>
          </w:p>
        </w:tc>
        <w:tc>
          <w:tcPr>
            <w:tcW w:w="70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6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6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(4 )</w:t>
            </w:r>
          </w:p>
        </w:tc>
      </w:tr>
      <w:tr>
        <w:trPr>
          <w:trHeight w:val="250"/>
        </w:trPr>
        <w:tc>
          <w:tcPr>
            <w:tcW w:w="4860" w:type="dxa"/>
            <w:vAlign w:val="bottom"/>
          </w:tcPr>
          <w:p>
            <w:pPr>
              <w:ind w:left="260"/>
              <w:spacing w:after="0"/>
              <w:rPr>
                <w:sz w:val="20"/>
                <w:szCs w:val="20"/>
                <w:color w:val="auto"/>
              </w:rPr>
            </w:pPr>
            <w:r>
              <w:rPr>
                <w:rFonts w:ascii="Arial" w:cs="Arial" w:eastAsia="Arial" w:hAnsi="Arial"/>
                <w:sz w:val="18"/>
                <w:szCs w:val="18"/>
                <w:color w:val="auto"/>
              </w:rPr>
              <w:t>Total expense, net of receivable activity (a)</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25</w:t>
            </w:r>
          </w:p>
        </w:tc>
        <w:tc>
          <w:tcPr>
            <w:tcW w:w="8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8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0"/>
        </w:trPr>
        <w:tc>
          <w:tcPr>
            <w:tcW w:w="48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48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-304800</wp:posOffset>
            </wp:positionV>
            <wp:extent cx="111125"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-304800</wp:posOffset>
            </wp:positionV>
            <wp:extent cx="10287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-304800</wp:posOffset>
            </wp:positionV>
            <wp:extent cx="10287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02870" cy="5715"/>
                    </a:xfrm>
                    <a:prstGeom prst="rect">
                      <a:avLst/>
                    </a:prstGeom>
                    <a:noFill/>
                  </pic:spPr>
                </pic:pic>
              </a:graphicData>
            </a:graphic>
          </wp:anchor>
        </w:drawing>
      </w:r>
    </w:p>
    <w:p>
      <w:pPr>
        <w:spacing w:after="0" w:line="83" w:lineRule="exact"/>
        <w:rPr>
          <w:sz w:val="20"/>
          <w:szCs w:val="20"/>
          <w:color w:val="auto"/>
        </w:rPr>
      </w:pPr>
    </w:p>
    <w:p>
      <w:pPr>
        <w:ind w:left="660" w:right="40" w:hanging="328"/>
        <w:spacing w:after="0" w:line="308" w:lineRule="auto"/>
        <w:tabs>
          <w:tab w:leader="none" w:pos="6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Net expense of $3 million and $6 million for the three and nine months ended June 30, 2021, respectively, and $8 million and $10 million for the three and nine months ended June 30, 2020, relates to divested businesses which qualified for treatment as discontinued operations for which certain environmental liabilities were retained by Ashland. These amounts are classified within the income from discontinued operations caption of the Statements of Consolidated Comprehensive Income (loss).</w:t>
      </w:r>
    </w:p>
    <w:p>
      <w:pPr>
        <w:spacing w:after="0" w:line="61" w:lineRule="exact"/>
        <w:rPr>
          <w:sz w:val="20"/>
          <w:szCs w:val="20"/>
          <w:color w:val="auto"/>
        </w:rPr>
      </w:pPr>
    </w:p>
    <w:p>
      <w:pPr>
        <w:jc w:val="both"/>
        <w:ind w:left="340"/>
        <w:spacing w:after="0" w:line="305" w:lineRule="auto"/>
        <w:rPr>
          <w:sz w:val="20"/>
          <w:szCs w:val="20"/>
          <w:color w:val="auto"/>
        </w:rPr>
      </w:pPr>
      <w:r>
        <w:rPr>
          <w:rFonts w:ascii="Arial" w:cs="Arial" w:eastAsia="Arial" w:hAnsi="Arial"/>
          <w:sz w:val="18"/>
          <w:szCs w:val="18"/>
          <w:color w:val="auto"/>
        </w:rPr>
        <w:t>Environmental remediation reserves are subject to numerous inherent uncertainties that affect Ashland’s ability to estimate its share of the costs. Such uncertainties involve the nature and extent of contamination at each site, the extent of required cleanup efforts under existing environmental regulations, widely varying costs of alternate cleanup methods, changes in environmental regulations, the potential effect of continuing improvements in remediation technology, and the number and financial strength of other potentially responsible parties at multiparty sites. Although it is not possible to predict with certainty the ultimate costs of environmental remediation, Ashland currently estimates that the upper end of the reasonably possible range of future costs for identified sites could be as high as approximately $490 million. The largest reserve for any site is 13% of the remediation reserve.</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Other legal proceedings and claims</w:t>
      </w:r>
    </w:p>
    <w:p>
      <w:pPr>
        <w:spacing w:after="0" w:line="141" w:lineRule="exact"/>
        <w:rPr>
          <w:sz w:val="20"/>
          <w:szCs w:val="20"/>
          <w:color w:val="auto"/>
        </w:rPr>
      </w:pPr>
    </w:p>
    <w:p>
      <w:pPr>
        <w:jc w:val="both"/>
        <w:ind w:left="340"/>
        <w:spacing w:after="0" w:line="287" w:lineRule="auto"/>
        <w:rPr>
          <w:sz w:val="20"/>
          <w:szCs w:val="20"/>
          <w:color w:val="auto"/>
        </w:rPr>
      </w:pPr>
      <w:r>
        <w:rPr>
          <w:rFonts w:ascii="Arial" w:cs="Arial" w:eastAsia="Arial" w:hAnsi="Arial"/>
          <w:sz w:val="19"/>
          <w:szCs w:val="19"/>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Ashland cannot predict with certainty the outcome of such actions, it believes that adequate reserves have been recorded and losses already recognized with respect to such actions were immaterial as of June 30, 2021 and September 30, 2020. There is a reasonable possibility that a loss exceeding amounts already recognized may be incurred related to these actions; however, Ashland believes that such potential losses were immaterial as of June 30, 2021.</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M – EARNINGS PER SHARE</w:t>
      </w:r>
    </w:p>
    <w:p>
      <w:pPr>
        <w:spacing w:after="0" w:line="141" w:lineRule="exact"/>
        <w:rPr>
          <w:sz w:val="20"/>
          <w:szCs w:val="20"/>
          <w:color w:val="auto"/>
        </w:rPr>
      </w:pPr>
    </w:p>
    <w:p>
      <w:pPr>
        <w:jc w:val="both"/>
        <w:ind w:left="340"/>
        <w:spacing w:after="0" w:line="272" w:lineRule="auto"/>
        <w:rPr>
          <w:sz w:val="20"/>
          <w:szCs w:val="20"/>
          <w:color w:val="auto"/>
        </w:rPr>
      </w:pPr>
      <w:r>
        <w:rPr>
          <w:rFonts w:ascii="Arial" w:cs="Arial" w:eastAsia="Arial" w:hAnsi="Arial"/>
          <w:sz w:val="20"/>
          <w:szCs w:val="20"/>
          <w:color w:val="auto"/>
        </w:rPr>
        <w:t>The following is the computation of basic and diluted earnings per share (EPS) from continuing operations attributable to Ashland. Stock appreciation rights (SARs), stock options and warrants available to purchase shares outstanding for each reporting period whose grant price was greater than the average market price of Ashland Common Stock for each applicable period were not included in the computation of income from continuing operations per diluted share because the effect of these instruments would be antidilutive. The total number of these</w:t>
      </w:r>
    </w:p>
    <w:p>
      <w:pPr>
        <w:spacing w:after="0" w:line="9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36" w:right="659" w:bottom="1440" w:gutter="0" w:footer="0" w:header="0"/>
        </w:sectPr>
      </w:pPr>
    </w:p>
    <w:bookmarkStart w:id="26" w:name="page27"/>
    <w:bookmarkEnd w:id="26"/>
    <w:p>
      <w:pPr>
        <w:ind w:left="340" w:right="320"/>
        <w:spacing w:after="0" w:line="288" w:lineRule="auto"/>
        <w:rPr>
          <w:sz w:val="20"/>
          <w:szCs w:val="20"/>
          <w:color w:val="auto"/>
        </w:rPr>
      </w:pPr>
      <w:r>
        <w:rPr>
          <w:rFonts w:ascii="Arial" w:cs="Arial" w:eastAsia="Arial" w:hAnsi="Arial"/>
          <w:sz w:val="20"/>
          <w:szCs w:val="20"/>
          <w:color w:val="auto"/>
        </w:rPr>
        <w:t xml:space="preserve">shares outstanding was approximately </w:t>
      </w:r>
      <w:r>
        <w:rPr>
          <w:rFonts w:ascii="Arial" w:cs="Arial" w:eastAsia="Arial" w:hAnsi="Arial"/>
          <w:sz w:val="17"/>
          <w:szCs w:val="17"/>
          <w:color w:val="auto"/>
        </w:rPr>
        <w:t>1</w:t>
      </w:r>
      <w:r>
        <w:rPr>
          <w:rFonts w:ascii="Arial" w:cs="Arial" w:eastAsia="Arial" w:hAnsi="Arial"/>
          <w:sz w:val="20"/>
          <w:szCs w:val="20"/>
          <w:color w:val="auto"/>
        </w:rPr>
        <w:t xml:space="preserve"> million and 2 million at June 30, 2021 and 2020, respectively. Earnings per share is reported under the treasury stock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62865</wp:posOffset>
            </wp:positionV>
            <wp:extent cx="662622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106"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5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Three months ended</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gridSpan w:val="3"/>
          </w:tcPr>
          <w:p>
            <w:pPr>
              <w:jc w:val="right"/>
              <w:ind w:right="60"/>
              <w:spacing w:after="0"/>
              <w:rPr>
                <w:sz w:val="20"/>
                <w:szCs w:val="20"/>
                <w:color w:val="auto"/>
              </w:rPr>
            </w:pPr>
            <w:r>
              <w:rPr>
                <w:rFonts w:ascii="Arial" w:cs="Arial" w:eastAsia="Arial" w:hAnsi="Arial"/>
                <w:sz w:val="18"/>
                <w:szCs w:val="18"/>
                <w:color w:val="auto"/>
              </w:rPr>
              <w:t>Nine months ended</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3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8"/>
                <w:szCs w:val="18"/>
                <w:color w:val="auto"/>
              </w:rPr>
              <w:t>June 30</w:t>
            </w:r>
          </w:p>
        </w:tc>
        <w:tc>
          <w:tcPr>
            <w:tcW w:w="5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8"/>
                <w:szCs w:val="18"/>
                <w:color w:val="auto"/>
              </w:rPr>
              <w:t>June 30</w:t>
            </w:r>
          </w:p>
        </w:tc>
        <w:tc>
          <w:tcPr>
            <w:tcW w:w="5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 except per share data)</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2020</w:t>
            </w: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2020</w:t>
            </w:r>
          </w:p>
        </w:tc>
        <w:tc>
          <w:tcPr>
            <w:tcW w:w="0" w:type="dxa"/>
            <w:vAlign w:val="bottom"/>
          </w:tcPr>
          <w:p>
            <w:pPr>
              <w:spacing w:after="0"/>
              <w:rPr>
                <w:sz w:val="1"/>
                <w:szCs w:val="1"/>
                <w:color w:val="auto"/>
              </w:rPr>
            </w:pPr>
          </w:p>
        </w:tc>
      </w:tr>
      <w:tr>
        <w:trPr>
          <w:trHeight w:val="257"/>
        </w:trPr>
        <w:tc>
          <w:tcPr>
            <w:tcW w:w="5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28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64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300" w:type="dxa"/>
            <w:vAlign w:val="bottom"/>
          </w:tcPr>
          <w:p>
            <w:pPr>
              <w:spacing w:after="0"/>
              <w:rPr>
                <w:sz w:val="20"/>
                <w:szCs w:val="20"/>
                <w:color w:val="auto"/>
              </w:rPr>
            </w:pPr>
            <w:r>
              <w:rPr>
                <w:rFonts w:ascii="Arial" w:cs="Arial" w:eastAsia="Arial" w:hAnsi="Arial"/>
                <w:sz w:val="18"/>
                <w:szCs w:val="18"/>
                <w:color w:val="auto"/>
              </w:rPr>
              <w:t>Numerator for basic and diluted EPS -</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continuing operations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87</w:t>
            </w:r>
          </w:p>
        </w:tc>
        <w:tc>
          <w:tcPr>
            <w:tcW w:w="780" w:type="dxa"/>
            <w:vAlign w:val="bottom"/>
            <w:gridSpan w:val="2"/>
            <w:shd w:val="clear" w:color="auto" w:fill="CFF0FC"/>
          </w:tcPr>
          <w:p>
            <w:pPr>
              <w:jc w:val="right"/>
              <w:ind w:righ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w:t>
            </w: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190</w:t>
            </w:r>
          </w:p>
        </w:tc>
        <w:tc>
          <w:tcPr>
            <w:tcW w:w="760" w:type="dxa"/>
            <w:vAlign w:val="bottom"/>
            <w:gridSpan w:val="2"/>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(491 )</w:t>
            </w:r>
          </w:p>
        </w:tc>
        <w:tc>
          <w:tcPr>
            <w:tcW w:w="0" w:type="dxa"/>
            <w:vAlign w:val="bottom"/>
          </w:tcPr>
          <w:p>
            <w:pPr>
              <w:spacing w:after="0"/>
              <w:rPr>
                <w:sz w:val="1"/>
                <w:szCs w:val="1"/>
                <w:color w:val="auto"/>
              </w:rPr>
            </w:pPr>
          </w:p>
        </w:tc>
      </w:tr>
      <w:tr>
        <w:trPr>
          <w:trHeight w:val="230"/>
        </w:trPr>
        <w:tc>
          <w:tcPr>
            <w:tcW w:w="530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Denominator</w:t>
            </w: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Denominator for basic EPS - Weighted-</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average common shares outstanding</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57"/>
        </w:trPr>
        <w:tc>
          <w:tcPr>
            <w:tcW w:w="5300" w:type="dxa"/>
            <w:vAlign w:val="bottom"/>
          </w:tcPr>
          <w:p>
            <w:pPr>
              <w:spacing w:after="0"/>
              <w:rPr>
                <w:sz w:val="20"/>
                <w:szCs w:val="20"/>
                <w:color w:val="auto"/>
              </w:rPr>
            </w:pPr>
            <w:r>
              <w:rPr>
                <w:rFonts w:ascii="Arial" w:cs="Arial" w:eastAsia="Arial" w:hAnsi="Arial"/>
                <w:sz w:val="18"/>
                <w:szCs w:val="18"/>
                <w:color w:val="auto"/>
              </w:rPr>
              <w:t xml:space="preserve">Share based awards convertible to common shares </w:t>
            </w:r>
            <w:r>
              <w:rPr>
                <w:rFonts w:ascii="Arial" w:cs="Arial" w:eastAsia="Arial" w:hAnsi="Arial"/>
                <w:sz w:val="14"/>
                <w:szCs w:val="14"/>
                <w:color w:val="auto"/>
              </w:rPr>
              <w:t>(a)</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Denominator for diluted EPS - Adjusted weighted-</w:t>
            </w:r>
          </w:p>
        </w:tc>
        <w:tc>
          <w:tcPr>
            <w:tcW w:w="280" w:type="dxa"/>
            <w:vAlign w:val="bottom"/>
            <w:shd w:val="clear" w:color="auto" w:fill="CFF0FC"/>
          </w:tcPr>
          <w:p>
            <w:pPr>
              <w:spacing w:after="0"/>
              <w:rPr>
                <w:sz w:val="20"/>
                <w:szCs w:val="20"/>
                <w:color w:val="auto"/>
              </w:rPr>
            </w:pPr>
          </w:p>
        </w:tc>
        <w:tc>
          <w:tcPr>
            <w:tcW w:w="94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54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52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5300" w:type="dxa"/>
            <w:vAlign w:val="bottom"/>
            <w:tcBorders>
              <w:bottom w:val="single" w:sz="8" w:color="CFF0FC"/>
            </w:tcBorders>
            <w:shd w:val="clear" w:color="auto" w:fill="CFF0FC"/>
          </w:tcPr>
          <w:p>
            <w:pPr>
              <w:ind w:left="140"/>
              <w:spacing w:after="0" w:line="203" w:lineRule="exact"/>
              <w:rPr>
                <w:sz w:val="20"/>
                <w:szCs w:val="20"/>
                <w:color w:val="auto"/>
              </w:rPr>
            </w:pPr>
            <w:r>
              <w:rPr>
                <w:rFonts w:ascii="Arial" w:cs="Arial" w:eastAsia="Arial" w:hAnsi="Arial"/>
                <w:sz w:val="18"/>
                <w:szCs w:val="18"/>
                <w:color w:val="auto"/>
              </w:rPr>
              <w:t>average shares and assumed conversions</w:t>
            </w:r>
          </w:p>
        </w:tc>
        <w:tc>
          <w:tcPr>
            <w:tcW w:w="2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vMerge w:val="continue"/>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vMerge w:val="continue"/>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vMerge w:val="continue"/>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b w:val="1"/>
                <w:bCs w:val="1"/>
                <w:color w:val="auto"/>
              </w:rPr>
              <w:t>EPS from continuing operations</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1.42</w:t>
            </w:r>
          </w:p>
        </w:tc>
        <w:tc>
          <w:tcPr>
            <w:tcW w:w="780" w:type="dxa"/>
            <w:vAlign w:val="bottom"/>
            <w:gridSpan w:val="2"/>
            <w:shd w:val="clear" w:color="auto" w:fill="CFF0FC"/>
          </w:tcPr>
          <w:p>
            <w:pPr>
              <w:jc w:val="right"/>
              <w:ind w:righ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0.82</w:t>
            </w: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3.13</w:t>
            </w:r>
          </w:p>
        </w:tc>
        <w:tc>
          <w:tcPr>
            <w:tcW w:w="760" w:type="dxa"/>
            <w:vAlign w:val="bottom"/>
            <w:gridSpan w:val="2"/>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(8.11 )</w:t>
            </w:r>
          </w:p>
        </w:tc>
        <w:tc>
          <w:tcPr>
            <w:tcW w:w="0" w:type="dxa"/>
            <w:vAlign w:val="bottom"/>
          </w:tcPr>
          <w:p>
            <w:pPr>
              <w:spacing w:after="0"/>
              <w:rPr>
                <w:sz w:val="1"/>
                <w:szCs w:val="1"/>
                <w:color w:val="auto"/>
              </w:rPr>
            </w:pPr>
          </w:p>
        </w:tc>
      </w:tr>
      <w:tr>
        <w:trPr>
          <w:trHeight w:val="243"/>
        </w:trPr>
        <w:tc>
          <w:tcPr>
            <w:tcW w:w="5300" w:type="dxa"/>
            <w:vAlign w:val="bottom"/>
          </w:tcPr>
          <w:p>
            <w:pPr>
              <w:ind w:left="26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0.81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2"/>
              </w:rPr>
              <w:t>(8.11 )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-1456690</wp:posOffset>
            </wp:positionV>
            <wp:extent cx="857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-1439545</wp:posOffset>
            </wp:positionV>
            <wp:extent cx="857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-1456690</wp:posOffset>
            </wp:positionV>
            <wp:extent cx="7747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-1439545</wp:posOffset>
            </wp:positionV>
            <wp:extent cx="774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-1456690</wp:posOffset>
            </wp:positionV>
            <wp:extent cx="774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-1439545</wp:posOffset>
            </wp:positionV>
            <wp:extent cx="774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-505460</wp:posOffset>
            </wp:positionV>
            <wp:extent cx="857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-488315</wp:posOffset>
            </wp:positionV>
            <wp:extent cx="857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-505460</wp:posOffset>
            </wp:positionV>
            <wp:extent cx="7747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-488315</wp:posOffset>
            </wp:positionV>
            <wp:extent cx="7747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-505460</wp:posOffset>
            </wp:positionV>
            <wp:extent cx="774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-488315</wp:posOffset>
            </wp:positionV>
            <wp:extent cx="7747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171450</wp:posOffset>
            </wp:positionV>
            <wp:extent cx="662622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366" w:lineRule="exact"/>
        <w:rPr>
          <w:sz w:val="20"/>
          <w:szCs w:val="20"/>
          <w:color w:val="auto"/>
        </w:rPr>
      </w:pPr>
    </w:p>
    <w:p>
      <w:pPr>
        <w:ind w:left="340" w:right="220" w:hanging="332"/>
        <w:spacing w:after="0" w:line="293"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As a result of the loss from continuing operations attributable to Ashland during the nine months ended June 30, 2020, the effect of the share-based awards convertible to common shares would be antidilutive and have been excluded from the diluted EPS calculation.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N – EQUITY ITEMS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Stockholder dividends</w:t>
      </w:r>
    </w:p>
    <w:p>
      <w:pPr>
        <w:spacing w:after="0" w:line="141" w:lineRule="exact"/>
        <w:rPr>
          <w:sz w:val="20"/>
          <w:szCs w:val="20"/>
          <w:color w:val="auto"/>
        </w:rPr>
      </w:pPr>
    </w:p>
    <w:p>
      <w:pPr>
        <w:jc w:val="both"/>
        <w:ind w:left="340" w:right="320"/>
        <w:spacing w:after="0" w:line="274" w:lineRule="auto"/>
        <w:rPr>
          <w:sz w:val="20"/>
          <w:szCs w:val="20"/>
          <w:color w:val="auto"/>
        </w:rPr>
      </w:pPr>
      <w:r>
        <w:rPr>
          <w:rFonts w:ascii="Arial" w:cs="Arial" w:eastAsia="Arial" w:hAnsi="Arial"/>
          <w:sz w:val="20"/>
          <w:szCs w:val="20"/>
          <w:color w:val="auto"/>
        </w:rPr>
        <w:t>In May 2021, the Board of Directors of Ashland announced a quarterly cash dividend of 30 cents per share to eligible stockholders of record, which was paid in the third quarter of fiscal 2021. This dividend represented a 9% increase over the previous quarter's dividend. Dividends of 27.5 cents per share were paid in the first and second quarters of fiscal 2021, each quarter of fiscal 2020, and the third and fourth quarters of fiscal 2019.</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Accumulated other comprehensive income (loss)</w:t>
      </w:r>
    </w:p>
    <w:p>
      <w:pPr>
        <w:spacing w:after="0" w:line="141" w:lineRule="exact"/>
        <w:rPr>
          <w:sz w:val="20"/>
          <w:szCs w:val="20"/>
          <w:color w:val="auto"/>
        </w:rPr>
      </w:pPr>
    </w:p>
    <w:p>
      <w:pPr>
        <w:jc w:val="both"/>
        <w:ind w:left="340" w:right="340"/>
        <w:spacing w:after="0" w:line="288" w:lineRule="auto"/>
        <w:rPr>
          <w:sz w:val="20"/>
          <w:szCs w:val="20"/>
          <w:color w:val="auto"/>
        </w:rPr>
      </w:pPr>
      <w:r>
        <w:rPr>
          <w:rFonts w:ascii="Arial" w:cs="Arial" w:eastAsia="Arial" w:hAnsi="Arial"/>
          <w:sz w:val="20"/>
          <w:szCs w:val="20"/>
          <w:color w:val="auto"/>
        </w:rPr>
        <w:t>Components of other comprehensive income (loss) recorded in the Statements of Consolidated Comprehensive Income (Loss) are presented below, before tax and net of tax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45720</wp:posOffset>
            </wp:positionV>
            <wp:extent cx="66262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2021</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9"/>
              </w:rPr>
              <w:t>2020</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r>
      <w:tr>
        <w:trPr>
          <w:trHeight w:val="236"/>
        </w:trPr>
        <w:tc>
          <w:tcPr>
            <w:tcW w:w="4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ind w:right="170"/>
              <w:spacing w:after="0"/>
              <w:rPr>
                <w:sz w:val="20"/>
                <w:szCs w:val="20"/>
                <w:color w:val="auto"/>
              </w:rPr>
            </w:pPr>
            <w:r>
              <w:rPr>
                <w:rFonts w:ascii="Arial" w:cs="Arial" w:eastAsia="Arial" w:hAnsi="Arial"/>
                <w:sz w:val="18"/>
                <w:szCs w:val="18"/>
                <w:color w:val="auto"/>
                <w:w w:val="93"/>
              </w:rPr>
              <w:t>Tax</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center"/>
              <w:ind w:right="190"/>
              <w:spacing w:after="0"/>
              <w:rPr>
                <w:sz w:val="20"/>
                <w:szCs w:val="20"/>
                <w:color w:val="auto"/>
              </w:rPr>
            </w:pPr>
            <w:r>
              <w:rPr>
                <w:rFonts w:ascii="Arial" w:cs="Arial" w:eastAsia="Arial" w:hAnsi="Arial"/>
                <w:sz w:val="18"/>
                <w:szCs w:val="18"/>
                <w:color w:val="auto"/>
                <w:w w:val="86"/>
              </w:rPr>
              <w:t>Tax</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30"/>
        </w:trPr>
        <w:tc>
          <w:tcPr>
            <w:tcW w:w="4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color w:val="auto"/>
                <w:w w:val="94"/>
              </w:rPr>
              <w:t>Before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(expense)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w w:val="99"/>
              </w:rPr>
              <w:t>Net of</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w w:val="94"/>
              </w:rPr>
              <w:t>Before</w:t>
            </w:r>
          </w:p>
        </w:tc>
        <w:tc>
          <w:tcPr>
            <w:tcW w:w="120" w:type="dxa"/>
            <w:vAlign w:val="bottom"/>
          </w:tcPr>
          <w:p>
            <w:pPr>
              <w:spacing w:after="0"/>
              <w:rPr>
                <w:sz w:val="19"/>
                <w:szCs w:val="19"/>
                <w:color w:val="auto"/>
              </w:rPr>
            </w:pPr>
          </w:p>
        </w:tc>
        <w:tc>
          <w:tcPr>
            <w:tcW w:w="960" w:type="dxa"/>
            <w:vAlign w:val="bottom"/>
            <w:gridSpan w:val="2"/>
          </w:tcPr>
          <w:p>
            <w:pPr>
              <w:jc w:val="center"/>
              <w:ind w:right="10"/>
              <w:spacing w:after="0"/>
              <w:rPr>
                <w:sz w:val="20"/>
                <w:szCs w:val="20"/>
                <w:color w:val="auto"/>
              </w:rPr>
            </w:pPr>
            <w:r>
              <w:rPr>
                <w:rFonts w:ascii="Arial" w:cs="Arial" w:eastAsia="Arial" w:hAnsi="Arial"/>
                <w:sz w:val="18"/>
                <w:szCs w:val="18"/>
                <w:color w:val="auto"/>
                <w:w w:val="87"/>
              </w:rPr>
              <w:t>(expense)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color w:val="auto"/>
                <w:w w:val="99"/>
              </w:rPr>
              <w:t>Net of</w:t>
            </w:r>
          </w:p>
        </w:tc>
        <w:tc>
          <w:tcPr>
            <w:tcW w:w="400" w:type="dxa"/>
            <w:vAlign w:val="bottom"/>
          </w:tcPr>
          <w:p>
            <w:pPr>
              <w:spacing w:after="0"/>
              <w:rPr>
                <w:sz w:val="19"/>
                <w:szCs w:val="19"/>
                <w:color w:val="auto"/>
              </w:rPr>
            </w:pPr>
          </w:p>
        </w:tc>
      </w:tr>
      <w:tr>
        <w:trPr>
          <w:trHeight w:val="237"/>
        </w:trPr>
        <w:tc>
          <w:tcPr>
            <w:tcW w:w="420" w:type="dxa"/>
            <w:vAlign w:val="bottom"/>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tax</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2"/>
              </w:rPr>
              <w:t>benefit</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tax</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tax</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2"/>
              </w:rPr>
              <w:t>benefit</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tax</w:t>
            </w:r>
          </w:p>
        </w:tc>
        <w:tc>
          <w:tcPr>
            <w:tcW w:w="400" w:type="dxa"/>
            <w:vAlign w:val="bottom"/>
          </w:tcPr>
          <w:p>
            <w:pPr>
              <w:spacing w:after="0"/>
              <w:rPr>
                <w:sz w:val="20"/>
                <w:szCs w:val="20"/>
                <w:color w:val="auto"/>
              </w:rPr>
            </w:pPr>
          </w:p>
        </w:tc>
      </w:tr>
      <w:tr>
        <w:trPr>
          <w:trHeight w:val="257"/>
        </w:trPr>
        <w:tc>
          <w:tcPr>
            <w:tcW w:w="420" w:type="dxa"/>
            <w:vAlign w:val="bottom"/>
          </w:tcPr>
          <w:p>
            <w:pPr>
              <w:spacing w:after="0"/>
              <w:rPr>
                <w:sz w:val="22"/>
                <w:szCs w:val="22"/>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Three months ended June 30</w:t>
            </w:r>
          </w:p>
        </w:tc>
        <w:tc>
          <w:tcPr>
            <w:tcW w:w="14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400" w:type="dxa"/>
            <w:vAlign w:val="bottom"/>
          </w:tcPr>
          <w:p>
            <w:pPr>
              <w:spacing w:after="0"/>
              <w:rPr>
                <w:sz w:val="22"/>
                <w:szCs w:val="22"/>
                <w:color w:val="auto"/>
              </w:rPr>
            </w:pPr>
          </w:p>
        </w:tc>
      </w:tr>
      <w:tr>
        <w:trPr>
          <w:trHeight w:val="250"/>
        </w:trPr>
        <w:tc>
          <w:tcPr>
            <w:tcW w:w="420" w:type="dxa"/>
            <w:vAlign w:val="bottom"/>
          </w:tcPr>
          <w:p>
            <w:pPr>
              <w:spacing w:after="0"/>
              <w:rPr>
                <w:sz w:val="21"/>
                <w:szCs w:val="21"/>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57"/>
        </w:trPr>
        <w:tc>
          <w:tcPr>
            <w:tcW w:w="420" w:type="dxa"/>
            <w:vAlign w:val="bottom"/>
          </w:tcPr>
          <w:p>
            <w:pPr>
              <w:spacing w:after="0"/>
              <w:rPr>
                <w:sz w:val="22"/>
                <w:szCs w:val="22"/>
                <w:color w:val="auto"/>
              </w:rPr>
            </w:pPr>
          </w:p>
        </w:tc>
        <w:tc>
          <w:tcPr>
            <w:tcW w:w="38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Unrealized translation gain (loss)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ind w:left="5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22"/>
                <w:szCs w:val="22"/>
                <w:color w:val="auto"/>
              </w:rPr>
            </w:pPr>
          </w:p>
        </w:tc>
      </w:tr>
      <w:tr>
        <w:trPr>
          <w:trHeight w:val="256"/>
        </w:trPr>
        <w:tc>
          <w:tcPr>
            <w:tcW w:w="420" w:type="dxa"/>
            <w:vAlign w:val="bottom"/>
          </w:tcPr>
          <w:p>
            <w:pPr>
              <w:spacing w:after="0"/>
              <w:rPr>
                <w:sz w:val="22"/>
                <w:szCs w:val="22"/>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Total other comprehensive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22"/>
                <w:szCs w:val="22"/>
                <w:color w:val="auto"/>
              </w:rPr>
            </w:pPr>
          </w:p>
        </w:tc>
      </w:tr>
      <w:tr>
        <w:trPr>
          <w:trHeight w:val="20"/>
        </w:trPr>
        <w:tc>
          <w:tcPr>
            <w:tcW w:w="4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38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400" w:type="dxa"/>
            <w:vAlign w:val="bottom"/>
          </w:tcPr>
          <w:p>
            <w:pPr>
              <w:spacing w:after="0"/>
              <w:rPr>
                <w:sz w:val="20"/>
                <w:szCs w:val="20"/>
                <w:color w:val="auto"/>
              </w:rPr>
            </w:pPr>
          </w:p>
        </w:tc>
      </w:tr>
      <w:tr>
        <w:trPr>
          <w:trHeight w:val="250"/>
        </w:trPr>
        <w:tc>
          <w:tcPr>
            <w:tcW w:w="420" w:type="dxa"/>
            <w:vAlign w:val="bottom"/>
          </w:tcPr>
          <w:p>
            <w:pPr>
              <w:spacing w:after="0"/>
              <w:rPr>
                <w:sz w:val="21"/>
                <w:szCs w:val="21"/>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Nine months ended June 30</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63"/>
        </w:trPr>
        <w:tc>
          <w:tcPr>
            <w:tcW w:w="420" w:type="dxa"/>
            <w:vAlign w:val="bottom"/>
          </w:tcPr>
          <w:p>
            <w:pPr>
              <w:spacing w:after="0"/>
              <w:rPr>
                <w:sz w:val="22"/>
                <w:szCs w:val="22"/>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w:t>
            </w:r>
          </w:p>
        </w:tc>
        <w:tc>
          <w:tcPr>
            <w:tcW w:w="14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400" w:type="dxa"/>
            <w:vAlign w:val="bottom"/>
          </w:tcPr>
          <w:p>
            <w:pPr>
              <w:spacing w:after="0"/>
              <w:rPr>
                <w:sz w:val="22"/>
                <w:szCs w:val="22"/>
                <w:color w:val="auto"/>
              </w:rPr>
            </w:pPr>
          </w:p>
        </w:tc>
      </w:tr>
      <w:tr>
        <w:trPr>
          <w:trHeight w:val="250"/>
        </w:trPr>
        <w:tc>
          <w:tcPr>
            <w:tcW w:w="420" w:type="dxa"/>
            <w:vAlign w:val="bottom"/>
          </w:tcPr>
          <w:p>
            <w:pPr>
              <w:spacing w:after="0"/>
              <w:rPr>
                <w:sz w:val="21"/>
                <w:szCs w:val="21"/>
                <w:color w:val="auto"/>
              </w:rPr>
            </w:pPr>
          </w:p>
        </w:tc>
        <w:tc>
          <w:tcPr>
            <w:tcW w:w="3880" w:type="dxa"/>
            <w:vAlign w:val="bottom"/>
          </w:tcPr>
          <w:p>
            <w:pPr>
              <w:ind w:left="260"/>
              <w:spacing w:after="0"/>
              <w:rPr>
                <w:sz w:val="20"/>
                <w:szCs w:val="20"/>
                <w:color w:val="auto"/>
              </w:rPr>
            </w:pPr>
            <w:r>
              <w:rPr>
                <w:rFonts w:ascii="Arial" w:cs="Arial" w:eastAsia="Arial" w:hAnsi="Arial"/>
                <w:sz w:val="18"/>
                <w:szCs w:val="18"/>
                <w:color w:val="auto"/>
              </w:rPr>
              <w:t>Unrealized translation gain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400" w:type="dxa"/>
            <w:vAlign w:val="bottom"/>
          </w:tcPr>
          <w:p>
            <w:pPr>
              <w:spacing w:after="0"/>
              <w:rPr>
                <w:sz w:val="21"/>
                <w:szCs w:val="21"/>
                <w:color w:val="auto"/>
              </w:rPr>
            </w:pPr>
          </w:p>
        </w:tc>
      </w:tr>
      <w:tr>
        <w:trPr>
          <w:trHeight w:val="296"/>
        </w:trPr>
        <w:tc>
          <w:tcPr>
            <w:tcW w:w="420" w:type="dxa"/>
            <w:vAlign w:val="bottom"/>
          </w:tcPr>
          <w:p>
            <w:pPr>
              <w:spacing w:after="0"/>
              <w:rPr>
                <w:sz w:val="24"/>
                <w:szCs w:val="24"/>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Total other comprehensive income (loss)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38</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(7 )</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ind w:left="5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(7 )</w:t>
            </w:r>
          </w:p>
        </w:tc>
        <w:tc>
          <w:tcPr>
            <w:tcW w:w="400" w:type="dxa"/>
            <w:vAlign w:val="bottom"/>
          </w:tcPr>
          <w:p>
            <w:pPr>
              <w:spacing w:after="0"/>
              <w:rPr>
                <w:sz w:val="24"/>
                <w:szCs w:val="24"/>
                <w:color w:val="auto"/>
              </w:rPr>
            </w:pPr>
          </w:p>
        </w:tc>
      </w:tr>
      <w:tr>
        <w:trPr>
          <w:trHeight w:val="547"/>
        </w:trPr>
        <w:tc>
          <w:tcPr>
            <w:tcW w:w="420" w:type="dxa"/>
            <w:vAlign w:val="bottom"/>
          </w:tcPr>
          <w:p>
            <w:pPr>
              <w:spacing w:after="0"/>
              <w:rPr>
                <w:sz w:val="24"/>
                <w:szCs w:val="24"/>
                <w:color w:val="auto"/>
              </w:rPr>
            </w:pPr>
          </w:p>
        </w:tc>
        <w:tc>
          <w:tcPr>
            <w:tcW w:w="38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r>
      <w:tr>
        <w:trPr>
          <w:trHeight w:val="102"/>
        </w:trPr>
        <w:tc>
          <w:tcPr>
            <w:tcW w:w="420" w:type="dxa"/>
            <w:vAlign w:val="bottom"/>
            <w:tcBorders>
              <w:bottom w:val="single" w:sz="8" w:color="9A9A9A"/>
            </w:tcBorders>
          </w:tcPr>
          <w:p>
            <w:pPr>
              <w:spacing w:after="0"/>
              <w:rPr>
                <w:sz w:val="8"/>
                <w:szCs w:val="8"/>
                <w:color w:val="auto"/>
              </w:rPr>
            </w:pPr>
          </w:p>
        </w:tc>
        <w:tc>
          <w:tcPr>
            <w:tcW w:w="38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-1479550</wp:posOffset>
            </wp:positionV>
            <wp:extent cx="7747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-1479550</wp:posOffset>
            </wp:positionV>
            <wp:extent cx="76835"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-1479550</wp:posOffset>
            </wp:positionV>
            <wp:extent cx="7747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-1479550</wp:posOffset>
            </wp:positionV>
            <wp:extent cx="68580"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-1479550</wp:posOffset>
            </wp:positionV>
            <wp:extent cx="68580"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-462280</wp:posOffset>
            </wp:positionV>
            <wp:extent cx="7747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-445135</wp:posOffset>
            </wp:positionV>
            <wp:extent cx="7747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-462280</wp:posOffset>
            </wp:positionV>
            <wp:extent cx="7683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-445135</wp:posOffset>
            </wp:positionV>
            <wp:extent cx="7683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-462280</wp:posOffset>
            </wp:positionV>
            <wp:extent cx="7747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-445135</wp:posOffset>
            </wp:positionV>
            <wp:extent cx="7747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-462280</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-445135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-462280</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-445135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7" w:name="page28"/>
    <w:bookmarkEnd w:id="27"/>
    <w:p>
      <w:pPr>
        <w:ind w:left="8"/>
        <w:spacing w:after="0"/>
        <w:rPr>
          <w:sz w:val="20"/>
          <w:szCs w:val="20"/>
          <w:color w:val="auto"/>
        </w:rPr>
      </w:pPr>
      <w:r>
        <w:rPr>
          <w:rFonts w:ascii="Arial" w:cs="Arial" w:eastAsia="Arial" w:hAnsi="Arial"/>
          <w:sz w:val="20"/>
          <w:szCs w:val="20"/>
          <w:b w:val="1"/>
          <w:bCs w:val="1"/>
          <w:color w:val="auto"/>
        </w:rPr>
        <w:t>Summary of stockholders’ equity</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20"/>
          <w:szCs w:val="20"/>
          <w:color w:val="auto"/>
        </w:rPr>
        <w:t>A reconciliation of changes in stockholders’ equity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87630</wp:posOffset>
            </wp:positionV>
            <wp:extent cx="66262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44" w:lineRule="exact"/>
        <w:rPr>
          <w:sz w:val="20"/>
          <w:szCs w:val="20"/>
          <w:color w:val="auto"/>
        </w:rPr>
      </w:pPr>
    </w:p>
    <w:tbl>
      <w:tblPr>
        <w:tblLayout w:type="fixed"/>
        <w:tblInd w:w="88"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ind w:right="80"/>
              <w:spacing w:after="0"/>
              <w:rPr>
                <w:sz w:val="20"/>
                <w:szCs w:val="20"/>
                <w:color w:val="auto"/>
              </w:rPr>
            </w:pPr>
            <w:r>
              <w:rPr>
                <w:rFonts w:ascii="Arial" w:cs="Arial" w:eastAsia="Arial" w:hAnsi="Arial"/>
                <w:sz w:val="18"/>
                <w:szCs w:val="18"/>
                <w:color w:val="auto"/>
              </w:rPr>
              <w:t>Three months ended</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gridSpan w:val="3"/>
          </w:tcPr>
          <w:p>
            <w:pPr>
              <w:jc w:val="right"/>
              <w:ind w:right="80"/>
              <w:spacing w:after="0"/>
              <w:rPr>
                <w:sz w:val="20"/>
                <w:szCs w:val="20"/>
                <w:color w:val="auto"/>
              </w:rPr>
            </w:pPr>
            <w:r>
              <w:rPr>
                <w:rFonts w:ascii="Arial" w:cs="Arial" w:eastAsia="Arial" w:hAnsi="Arial"/>
                <w:sz w:val="18"/>
                <w:szCs w:val="18"/>
                <w:color w:val="auto"/>
              </w:rPr>
              <w:t>Nine months ended</w:t>
            </w:r>
          </w:p>
        </w:tc>
        <w:tc>
          <w:tcPr>
            <w:tcW w:w="580" w:type="dxa"/>
            <w:vAlign w:val="bottom"/>
          </w:tcPr>
          <w:p>
            <w:pPr>
              <w:spacing w:after="0"/>
              <w:rPr>
                <w:sz w:val="20"/>
                <w:szCs w:val="20"/>
                <w:color w:val="auto"/>
              </w:rPr>
            </w:pPr>
          </w:p>
        </w:tc>
      </w:tr>
      <w:tr>
        <w:trPr>
          <w:trHeight w:val="263"/>
        </w:trPr>
        <w:tc>
          <w:tcPr>
            <w:tcW w:w="49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8"/>
                <w:szCs w:val="18"/>
                <w:color w:val="auto"/>
              </w:rPr>
              <w:t>June 30</w:t>
            </w:r>
          </w:p>
        </w:tc>
        <w:tc>
          <w:tcPr>
            <w:tcW w:w="58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8"/>
                <w:szCs w:val="18"/>
                <w:color w:val="auto"/>
              </w:rPr>
              <w:t>June 30</w:t>
            </w:r>
          </w:p>
        </w:tc>
        <w:tc>
          <w:tcPr>
            <w:tcW w:w="580" w:type="dxa"/>
            <w:vAlign w:val="bottom"/>
            <w:tcBorders>
              <w:bottom w:val="single" w:sz="8" w:color="auto"/>
            </w:tcBorders>
          </w:tcPr>
          <w:p>
            <w:pPr>
              <w:spacing w:after="0"/>
              <w:rPr>
                <w:sz w:val="22"/>
                <w:szCs w:val="22"/>
                <w:color w:val="auto"/>
              </w:rPr>
            </w:pPr>
          </w:p>
        </w:tc>
      </w:tr>
      <w:tr>
        <w:trPr>
          <w:trHeight w:val="250"/>
        </w:trPr>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r>
      <w:tr>
        <w:trPr>
          <w:trHeight w:val="256"/>
        </w:trPr>
        <w:tc>
          <w:tcPr>
            <w:tcW w:w="4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Common stock and paid in capital</w:t>
            </w:r>
          </w:p>
        </w:tc>
        <w:tc>
          <w:tcPr>
            <w:tcW w:w="34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r>
      <w:tr>
        <w:trPr>
          <w:trHeight w:val="250"/>
        </w:trPr>
        <w:tc>
          <w:tcPr>
            <w:tcW w:w="494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773</w:t>
            </w:r>
          </w:p>
        </w:tc>
        <w:tc>
          <w:tcPr>
            <w:tcW w:w="8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766</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770</w:t>
            </w:r>
          </w:p>
        </w:tc>
        <w:tc>
          <w:tcPr>
            <w:tcW w:w="8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757</w:t>
            </w:r>
          </w:p>
        </w:tc>
      </w:tr>
      <w:tr>
        <w:trPr>
          <w:trHeight w:val="263"/>
        </w:trPr>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5"/>
              </w:rPr>
              <w:t xml:space="preserve">Common shares issued under stock incentive and other plans </w:t>
            </w:r>
            <w:r>
              <w:rPr>
                <w:rFonts w:ascii="Arial" w:cs="Arial" w:eastAsia="Arial" w:hAnsi="Arial"/>
                <w:sz w:val="14"/>
                <w:szCs w:val="14"/>
                <w:color w:val="auto"/>
                <w:w w:val="95"/>
              </w:rPr>
              <w:t>(a)</w:t>
            </w:r>
          </w:p>
        </w:tc>
        <w:tc>
          <w:tcPr>
            <w:tcW w:w="3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12</w:t>
            </w:r>
          </w:p>
        </w:tc>
      </w:tr>
      <w:tr>
        <w:trPr>
          <w:trHeight w:val="250"/>
        </w:trPr>
        <w:tc>
          <w:tcPr>
            <w:tcW w:w="4940" w:type="dxa"/>
            <w:vAlign w:val="bottom"/>
          </w:tcPr>
          <w:p>
            <w:pPr>
              <w:ind w:left="260"/>
              <w:spacing w:after="0"/>
              <w:rPr>
                <w:sz w:val="20"/>
                <w:szCs w:val="20"/>
                <w:color w:val="auto"/>
              </w:rPr>
            </w:pPr>
            <w:r>
              <w:rPr>
                <w:rFonts w:ascii="Arial" w:cs="Arial" w:eastAsia="Arial" w:hAnsi="Arial"/>
                <w:sz w:val="18"/>
                <w:szCs w:val="18"/>
                <w:color w:val="auto"/>
              </w:rPr>
              <w:t>Balance, end of period</w:t>
            </w:r>
          </w:p>
        </w:tc>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777</w:t>
            </w:r>
          </w:p>
        </w:tc>
        <w:tc>
          <w:tcPr>
            <w:tcW w:w="18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769</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777</w:t>
            </w:r>
          </w:p>
        </w:tc>
        <w:tc>
          <w:tcPr>
            <w:tcW w:w="14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769</w:t>
            </w:r>
          </w:p>
        </w:tc>
      </w:tr>
      <w:tr>
        <w:trPr>
          <w:trHeight w:val="250"/>
        </w:trPr>
        <w:tc>
          <w:tcPr>
            <w:tcW w:w="4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Retained earnings</w:t>
            </w:r>
          </w:p>
        </w:tc>
        <w:tc>
          <w:tcPr>
            <w:tcW w:w="3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r>
      <w:tr>
        <w:trPr>
          <w:trHeight w:val="250"/>
        </w:trPr>
        <w:tc>
          <w:tcPr>
            <w:tcW w:w="494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3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2,710</w:t>
            </w: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2,641</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2,649</w:t>
            </w: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3,224</w:t>
            </w:r>
          </w:p>
        </w:tc>
      </w:tr>
      <w:tr>
        <w:trPr>
          <w:trHeight w:val="26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Adoption of new accounting pronouncements </w:t>
            </w:r>
            <w:r>
              <w:rPr>
                <w:rFonts w:ascii="Arial" w:cs="Arial" w:eastAsia="Arial" w:hAnsi="Arial"/>
                <w:sz w:val="14"/>
                <w:szCs w:val="14"/>
                <w:color w:val="auto"/>
              </w:rPr>
              <w:t>(b)</w:t>
            </w:r>
          </w:p>
        </w:tc>
        <w:tc>
          <w:tcPr>
            <w:tcW w:w="340" w:type="dxa"/>
            <w:vAlign w:val="bottom"/>
            <w:shd w:val="clear" w:color="auto" w:fill="CFF0FC"/>
          </w:tcPr>
          <w:p>
            <w:pPr>
              <w:spacing w:after="0"/>
              <w:rPr>
                <w:sz w:val="22"/>
                <w:szCs w:val="22"/>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5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4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5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4940" w:type="dxa"/>
            <w:vAlign w:val="bottom"/>
          </w:tcPr>
          <w:p>
            <w:pPr>
              <w:spacing w:after="0"/>
              <w:rPr>
                <w:sz w:val="20"/>
                <w:szCs w:val="20"/>
                <w:color w:val="auto"/>
              </w:rPr>
            </w:pPr>
            <w:r>
              <w:rPr>
                <w:rFonts w:ascii="Arial" w:cs="Arial" w:eastAsia="Arial" w:hAnsi="Arial"/>
                <w:sz w:val="18"/>
                <w:szCs w:val="18"/>
                <w:color w:val="auto"/>
              </w:rPr>
              <w:t>Net income (loss)</w:t>
            </w:r>
          </w:p>
        </w:tc>
        <w:tc>
          <w:tcPr>
            <w:tcW w:w="3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176</w:t>
            </w: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(513 )</w:t>
            </w:r>
          </w:p>
        </w:tc>
      </w:tr>
      <w:tr>
        <w:trPr>
          <w:trHeight w:val="263"/>
        </w:trPr>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Regular dividends</w:t>
            </w:r>
          </w:p>
        </w:tc>
        <w:tc>
          <w:tcPr>
            <w:tcW w:w="3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(19 )</w:t>
            </w:r>
          </w:p>
        </w:tc>
        <w:tc>
          <w:tcPr>
            <w:tcW w:w="18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(17 )</w:t>
            </w:r>
          </w:p>
        </w:tc>
        <w:tc>
          <w:tcPr>
            <w:tcW w:w="16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(52 )</w:t>
            </w:r>
          </w:p>
        </w:tc>
        <w:tc>
          <w:tcPr>
            <w:tcW w:w="14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(50 )</w:t>
            </w:r>
          </w:p>
        </w:tc>
      </w:tr>
      <w:tr>
        <w:trPr>
          <w:trHeight w:val="250"/>
        </w:trPr>
        <w:tc>
          <w:tcPr>
            <w:tcW w:w="4940" w:type="dxa"/>
            <w:vAlign w:val="bottom"/>
          </w:tcPr>
          <w:p>
            <w:pPr>
              <w:ind w:left="260"/>
              <w:spacing w:after="0"/>
              <w:rPr>
                <w:sz w:val="20"/>
                <w:szCs w:val="20"/>
                <w:color w:val="auto"/>
              </w:rPr>
            </w:pPr>
            <w:r>
              <w:rPr>
                <w:rFonts w:ascii="Arial" w:cs="Arial" w:eastAsia="Arial" w:hAnsi="Arial"/>
                <w:sz w:val="18"/>
                <w:szCs w:val="18"/>
                <w:color w:val="auto"/>
              </w:rPr>
              <w:t>Balance, end of period</w:t>
            </w:r>
          </w:p>
        </w:tc>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2,771</w:t>
            </w:r>
          </w:p>
        </w:tc>
        <w:tc>
          <w:tcPr>
            <w:tcW w:w="18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2,661</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2,771</w:t>
            </w:r>
          </w:p>
        </w:tc>
        <w:tc>
          <w:tcPr>
            <w:tcW w:w="14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2,661</w:t>
            </w:r>
          </w:p>
        </w:tc>
      </w:tr>
      <w:tr>
        <w:trPr>
          <w:trHeight w:val="250"/>
        </w:trPr>
        <w:tc>
          <w:tcPr>
            <w:tcW w:w="4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Accumulated other comprehensive income (loss)</w:t>
            </w:r>
          </w:p>
        </w:tc>
        <w:tc>
          <w:tcPr>
            <w:tcW w:w="3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r>
      <w:tr>
        <w:trPr>
          <w:trHeight w:val="250"/>
        </w:trPr>
        <w:tc>
          <w:tcPr>
            <w:tcW w:w="494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(369 )</w:t>
            </w: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(424 )</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(383 )</w:t>
            </w: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(410 )</w:t>
            </w:r>
          </w:p>
        </w:tc>
      </w:tr>
      <w:tr>
        <w:trPr>
          <w:trHeight w:val="263"/>
        </w:trPr>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Unrealized translation gain (loss)</w:t>
            </w:r>
          </w:p>
        </w:tc>
        <w:tc>
          <w:tcPr>
            <w:tcW w:w="3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w:t>
            </w:r>
          </w:p>
        </w:tc>
        <w:tc>
          <w:tcPr>
            <w:tcW w:w="18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w:t>
            </w:r>
          </w:p>
        </w:tc>
        <w:tc>
          <w:tcPr>
            <w:tcW w:w="14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(7 )</w:t>
            </w:r>
          </w:p>
        </w:tc>
      </w:tr>
      <w:tr>
        <w:trPr>
          <w:trHeight w:val="250"/>
        </w:trPr>
        <w:tc>
          <w:tcPr>
            <w:tcW w:w="4940" w:type="dxa"/>
            <w:vAlign w:val="bottom"/>
          </w:tcPr>
          <w:p>
            <w:pPr>
              <w:ind w:left="260"/>
              <w:spacing w:after="0"/>
              <w:rPr>
                <w:sz w:val="20"/>
                <w:szCs w:val="20"/>
                <w:color w:val="auto"/>
              </w:rPr>
            </w:pPr>
            <w:r>
              <w:rPr>
                <w:rFonts w:ascii="Arial" w:cs="Arial" w:eastAsia="Arial" w:hAnsi="Arial"/>
                <w:sz w:val="18"/>
                <w:szCs w:val="18"/>
                <w:color w:val="auto"/>
              </w:rPr>
              <w:t>Balance, end of period</w:t>
            </w:r>
          </w:p>
        </w:tc>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(346 )</w:t>
            </w:r>
          </w:p>
        </w:tc>
        <w:tc>
          <w:tcPr>
            <w:tcW w:w="18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(417 )</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(346 )</w:t>
            </w:r>
          </w:p>
        </w:tc>
        <w:tc>
          <w:tcPr>
            <w:tcW w:w="14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(417 )</w:t>
            </w:r>
          </w:p>
        </w:tc>
      </w:tr>
      <w:tr>
        <w:trPr>
          <w:trHeight w:val="27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3,202</w:t>
            </w:r>
          </w:p>
        </w:tc>
        <w:tc>
          <w:tcPr>
            <w:tcW w:w="840" w:type="dxa"/>
            <w:vAlign w:val="bottom"/>
            <w:gridSpan w:val="2"/>
            <w:shd w:val="clear" w:color="auto" w:fill="CFF0FC"/>
          </w:tcPr>
          <w:p>
            <w:pPr>
              <w:jc w:val="right"/>
              <w:ind w:right="5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3,013</w:t>
            </w: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3,202</w:t>
            </w:r>
          </w:p>
        </w:tc>
        <w:tc>
          <w:tcPr>
            <w:tcW w:w="800" w:type="dxa"/>
            <w:vAlign w:val="bottom"/>
            <w:gridSpan w:val="2"/>
            <w:shd w:val="clear" w:color="auto" w:fill="CFF0FC"/>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3,013</w:t>
            </w:r>
          </w:p>
        </w:tc>
      </w:tr>
      <w:tr>
        <w:trPr>
          <w:trHeight w:val="20"/>
        </w:trPr>
        <w:tc>
          <w:tcPr>
            <w:tcW w:w="49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r>
      <w:tr>
        <w:trPr>
          <w:trHeight w:val="224"/>
        </w:trPr>
        <w:tc>
          <w:tcPr>
            <w:tcW w:w="4940" w:type="dxa"/>
            <w:vAlign w:val="bottom"/>
          </w:tcPr>
          <w:p>
            <w:pPr>
              <w:spacing w:after="0"/>
              <w:rPr>
                <w:sz w:val="20"/>
                <w:szCs w:val="20"/>
                <w:color w:val="auto"/>
              </w:rPr>
            </w:pPr>
            <w:r>
              <w:rPr>
                <w:rFonts w:ascii="Arial" w:cs="Arial" w:eastAsia="Arial" w:hAnsi="Arial"/>
                <w:sz w:val="18"/>
                <w:szCs w:val="18"/>
                <w:color w:val="auto"/>
              </w:rPr>
              <w:t>Cash dividends declared per common share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0.300</w:t>
            </w:r>
          </w:p>
        </w:tc>
        <w:tc>
          <w:tcPr>
            <w:tcW w:w="8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0.275</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0.850</w:t>
            </w:r>
          </w:p>
        </w:tc>
        <w:tc>
          <w:tcPr>
            <w:tcW w:w="8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0.825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-2182495</wp:posOffset>
            </wp:positionV>
            <wp:extent cx="102870"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4911725</wp:posOffset>
            </wp:positionH>
            <wp:positionV relativeFrom="paragraph">
              <wp:posOffset>-2182495</wp:posOffset>
            </wp:positionV>
            <wp:extent cx="94615"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5795010</wp:posOffset>
            </wp:positionH>
            <wp:positionV relativeFrom="paragraph">
              <wp:posOffset>-2182495</wp:posOffset>
            </wp:positionV>
            <wp:extent cx="94615"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-1188085</wp:posOffset>
            </wp:positionV>
            <wp:extent cx="102870"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4911725</wp:posOffset>
            </wp:positionH>
            <wp:positionV relativeFrom="paragraph">
              <wp:posOffset>-1188085</wp:posOffset>
            </wp:positionV>
            <wp:extent cx="94615"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5795010</wp:posOffset>
            </wp:positionH>
            <wp:positionV relativeFrom="paragraph">
              <wp:posOffset>-1188085</wp:posOffset>
            </wp:positionV>
            <wp:extent cx="94615"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-519430</wp:posOffset>
            </wp:positionV>
            <wp:extent cx="102870"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4911725</wp:posOffset>
            </wp:positionH>
            <wp:positionV relativeFrom="paragraph">
              <wp:posOffset>-519430</wp:posOffset>
            </wp:positionV>
            <wp:extent cx="94615"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5795010</wp:posOffset>
            </wp:positionH>
            <wp:positionV relativeFrom="paragraph">
              <wp:posOffset>-519430</wp:posOffset>
            </wp:positionV>
            <wp:extent cx="94615"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-179705</wp:posOffset>
            </wp:positionV>
            <wp:extent cx="10287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-162560</wp:posOffset>
            </wp:positionV>
            <wp:extent cx="10287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4911725</wp:posOffset>
            </wp:positionH>
            <wp:positionV relativeFrom="paragraph">
              <wp:posOffset>-179705</wp:posOffset>
            </wp:positionV>
            <wp:extent cx="9461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4911725</wp:posOffset>
            </wp:positionH>
            <wp:positionV relativeFrom="paragraph">
              <wp:posOffset>-162560</wp:posOffset>
            </wp:positionV>
            <wp:extent cx="9461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5795010</wp:posOffset>
            </wp:positionH>
            <wp:positionV relativeFrom="paragraph">
              <wp:posOffset>-179705</wp:posOffset>
            </wp:positionV>
            <wp:extent cx="9461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5795010</wp:posOffset>
            </wp:positionH>
            <wp:positionV relativeFrom="paragraph">
              <wp:posOffset>-162560</wp:posOffset>
            </wp:positionV>
            <wp:extent cx="9461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51435</wp:posOffset>
            </wp:positionH>
            <wp:positionV relativeFrom="paragraph">
              <wp:posOffset>111125</wp:posOffset>
            </wp:positionV>
            <wp:extent cx="66262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72" w:lineRule="exact"/>
        <w:rPr>
          <w:sz w:val="20"/>
          <w:szCs w:val="20"/>
          <w:color w:val="auto"/>
        </w:rPr>
      </w:pPr>
    </w:p>
    <w:p>
      <w:pPr>
        <w:ind w:left="328" w:right="280" w:hanging="328"/>
        <w:spacing w:after="0" w:line="293" w:lineRule="auto"/>
        <w:tabs>
          <w:tab w:leader="none" w:pos="328"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Common shares issued were 24,452 shares and 14,460 for the three months ended June 30, 2021 and 2020, respectively, and 165,158 shares and 293,485 shares for the nine months ended June 30, 2021 and 2020, respectively.</w:t>
      </w:r>
    </w:p>
    <w:p>
      <w:pPr>
        <w:spacing w:after="0" w:line="65" w:lineRule="exact"/>
        <w:rPr>
          <w:rFonts w:ascii="Arial" w:cs="Arial" w:eastAsia="Arial" w:hAnsi="Arial"/>
          <w:sz w:val="14"/>
          <w:szCs w:val="14"/>
          <w:color w:val="auto"/>
        </w:rPr>
      </w:pPr>
    </w:p>
    <w:p>
      <w:pPr>
        <w:ind w:left="328" w:hanging="328"/>
        <w:spacing w:after="0"/>
        <w:tabs>
          <w:tab w:leader="none" w:pos="328"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adjustment related to the adoption of the new guidance related to allowances for credit losses described in Note A.</w:t>
      </w:r>
    </w:p>
    <w:p>
      <w:pPr>
        <w:spacing w:after="0" w:line="127" w:lineRule="exact"/>
        <w:rPr>
          <w:sz w:val="20"/>
          <w:szCs w:val="20"/>
          <w:color w:val="auto"/>
        </w:rPr>
      </w:pPr>
    </w:p>
    <w:p>
      <w:pPr>
        <w:jc w:val="center"/>
        <w:ind w:right="-67"/>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70485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8"/>
          </w:cols>
          <w:pgMar w:left="652" w:top="265" w:right="739" w:bottom="1440" w:gutter="0" w:footer="0" w:header="0"/>
        </w:sectPr>
      </w:pPr>
    </w:p>
    <w:bookmarkStart w:id="28" w:name="page29"/>
    <w:bookmarkEnd w:id="28"/>
    <w:p>
      <w:pPr>
        <w:spacing w:after="0"/>
        <w:rPr>
          <w:sz w:val="20"/>
          <w:szCs w:val="20"/>
          <w:color w:val="auto"/>
        </w:rPr>
      </w:pPr>
      <w:r>
        <w:rPr>
          <w:rFonts w:ascii="Arial" w:cs="Arial" w:eastAsia="Arial" w:hAnsi="Arial"/>
          <w:sz w:val="20"/>
          <w:szCs w:val="20"/>
          <w:b w:val="1"/>
          <w:bCs w:val="1"/>
          <w:color w:val="auto"/>
        </w:rPr>
        <w:t>NOTE O – STOCK INCENTIVE PLANS</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components of Ashland’s pre-tax stock-based compensation expense included in continuing operations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111760</wp:posOffset>
            </wp:positionV>
            <wp:extent cx="66262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83"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20" w:type="dxa"/>
            <w:vAlign w:val="bottom"/>
            <w:gridSpan w:val="4"/>
          </w:tcPr>
          <w:p>
            <w:pPr>
              <w:ind w:left="20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40" w:type="dxa"/>
            <w:vAlign w:val="bottom"/>
            <w:gridSpan w:val="4"/>
          </w:tcPr>
          <w:p>
            <w:pPr>
              <w:ind w:left="220"/>
              <w:spacing w:after="0"/>
              <w:rPr>
                <w:sz w:val="20"/>
                <w:szCs w:val="20"/>
                <w:color w:val="auto"/>
              </w:rPr>
            </w:pPr>
            <w:r>
              <w:rPr>
                <w:rFonts w:ascii="Arial" w:cs="Arial" w:eastAsia="Arial" w:hAnsi="Arial"/>
                <w:sz w:val="18"/>
                <w:szCs w:val="18"/>
                <w:color w:val="auto"/>
              </w:rPr>
              <w:t>Nine months ended</w:t>
            </w:r>
          </w:p>
        </w:tc>
      </w:tr>
      <w:tr>
        <w:trPr>
          <w:trHeight w:val="263"/>
        </w:trPr>
        <w:tc>
          <w:tcPr>
            <w:tcW w:w="50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color w:val="auto"/>
              </w:rPr>
              <w:t>June 30</w:t>
            </w:r>
          </w:p>
        </w:tc>
        <w:tc>
          <w:tcPr>
            <w:tcW w:w="9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color w:val="auto"/>
              </w:rPr>
              <w:t>June 30</w:t>
            </w:r>
          </w:p>
        </w:tc>
        <w:tc>
          <w:tcPr>
            <w:tcW w:w="860" w:type="dxa"/>
            <w:vAlign w:val="bottom"/>
            <w:tcBorders>
              <w:bottom w:val="single" w:sz="8" w:color="auto"/>
            </w:tcBorders>
          </w:tcPr>
          <w:p>
            <w:pPr>
              <w:spacing w:after="0"/>
              <w:rPr>
                <w:sz w:val="22"/>
                <w:szCs w:val="22"/>
                <w:color w:val="auto"/>
              </w:rPr>
            </w:pPr>
          </w:p>
        </w:tc>
      </w:tr>
      <w:tr>
        <w:trPr>
          <w:trHeight w:val="250"/>
        </w:trPr>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 xml:space="preserve">2021 </w:t>
            </w:r>
            <w:r>
              <w:rPr>
                <w:rFonts w:ascii="Arial" w:cs="Arial" w:eastAsia="Arial" w:hAnsi="Arial"/>
                <w:sz w:val="14"/>
                <w:szCs w:val="14"/>
                <w:color w:val="auto"/>
              </w:rPr>
              <w:t>(a)</w:t>
            </w:r>
          </w:p>
        </w:tc>
        <w:tc>
          <w:tcPr>
            <w:tcW w:w="2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 xml:space="preserve">2020 </w:t>
            </w:r>
            <w:r>
              <w:rPr>
                <w:rFonts w:ascii="Arial" w:cs="Arial" w:eastAsia="Arial" w:hAnsi="Arial"/>
                <w:sz w:val="14"/>
                <w:szCs w:val="14"/>
                <w:color w:val="auto"/>
              </w:rPr>
              <w:t>(b)</w:t>
            </w:r>
          </w:p>
        </w:tc>
        <w:tc>
          <w:tcPr>
            <w:tcW w:w="2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 xml:space="preserve">2021 </w:t>
            </w:r>
            <w:r>
              <w:rPr>
                <w:rFonts w:ascii="Arial" w:cs="Arial" w:eastAsia="Arial" w:hAnsi="Arial"/>
                <w:sz w:val="14"/>
                <w:szCs w:val="14"/>
                <w:color w:val="auto"/>
              </w:rPr>
              <w:t>(a)</w:t>
            </w:r>
          </w:p>
        </w:tc>
        <w:tc>
          <w:tcPr>
            <w:tcW w:w="2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 xml:space="preserve">2020 </w:t>
            </w:r>
            <w:r>
              <w:rPr>
                <w:rFonts w:ascii="Arial" w:cs="Arial" w:eastAsia="Arial" w:hAnsi="Arial"/>
                <w:sz w:val="14"/>
                <w:szCs w:val="14"/>
                <w:color w:val="auto"/>
              </w:rPr>
              <w:t>(b)</w:t>
            </w:r>
          </w:p>
        </w:tc>
      </w:tr>
      <w:tr>
        <w:trPr>
          <w:trHeight w:val="257"/>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SARs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r>
      <w:tr>
        <w:trPr>
          <w:trHeight w:val="250"/>
        </w:trPr>
        <w:tc>
          <w:tcPr>
            <w:tcW w:w="5020" w:type="dxa"/>
            <w:vAlign w:val="bottom"/>
          </w:tcPr>
          <w:p>
            <w:pPr>
              <w:spacing w:after="0"/>
              <w:rPr>
                <w:sz w:val="20"/>
                <w:szCs w:val="20"/>
                <w:color w:val="auto"/>
              </w:rPr>
            </w:pPr>
            <w:r>
              <w:rPr>
                <w:rFonts w:ascii="Arial" w:cs="Arial" w:eastAsia="Arial" w:hAnsi="Arial"/>
                <w:sz w:val="18"/>
                <w:szCs w:val="18"/>
                <w:color w:val="auto"/>
              </w:rPr>
              <w:t>Nonvested stock awards</w:t>
            </w:r>
          </w:p>
        </w:tc>
        <w:tc>
          <w:tcPr>
            <w:tcW w:w="3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63"/>
        </w:trPr>
        <w:tc>
          <w:tcPr>
            <w:tcW w:w="5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Performance share awards</w:t>
            </w:r>
          </w:p>
        </w:tc>
        <w:tc>
          <w:tcPr>
            <w:tcW w:w="32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50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0"/>
        </w:trPr>
        <w:tc>
          <w:tcPr>
            <w:tcW w:w="50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49"/>
        </w:trPr>
        <w:tc>
          <w:tcPr>
            <w:tcW w:w="50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-304800</wp:posOffset>
            </wp:positionV>
            <wp:extent cx="128905"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-304800</wp:posOffset>
            </wp:positionV>
            <wp:extent cx="128905"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-304800</wp:posOffset>
            </wp:positionV>
            <wp:extent cx="120015"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0015" cy="5715"/>
                    </a:xfrm>
                    <a:prstGeom prst="rect">
                      <a:avLst/>
                    </a:prstGeom>
                    <a:noFill/>
                  </pic:spPr>
                </pic:pic>
              </a:graphicData>
            </a:graphic>
          </wp:anchor>
        </w:drawing>
      </w:r>
    </w:p>
    <w:p>
      <w:pPr>
        <w:spacing w:after="0" w:line="8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Included zero and $2 million of expense related to cash-settled nonvested restricted stock awards during the three and nine months ended June 30, 2021.</w:t>
      </w:r>
    </w:p>
    <w:p>
      <w:pPr>
        <w:spacing w:after="0" w:line="55" w:lineRule="exact"/>
        <w:rPr>
          <w:rFonts w:ascii="Arial" w:cs="Arial" w:eastAsia="Arial" w:hAnsi="Arial"/>
          <w:sz w:val="14"/>
          <w:szCs w:val="14"/>
          <w:color w:val="auto"/>
        </w:rPr>
      </w:pPr>
    </w:p>
    <w:p>
      <w:pPr>
        <w:ind w:left="660" w:hanging="328"/>
        <w:spacing w:after="0"/>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Included $2 million and $1 million of expense related to cash-settled nonvested restricted stock awards during the three and nine months June 30, 2020.</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P – REVENUE</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Revenue recognition</w:t>
      </w:r>
    </w:p>
    <w:p>
      <w:pPr>
        <w:spacing w:after="0" w:line="141" w:lineRule="exact"/>
        <w:rPr>
          <w:sz w:val="20"/>
          <w:szCs w:val="20"/>
          <w:color w:val="auto"/>
        </w:rPr>
      </w:pPr>
    </w:p>
    <w:p>
      <w:pPr>
        <w:jc w:val="both"/>
        <w:ind w:left="340"/>
        <w:spacing w:after="0" w:line="274" w:lineRule="auto"/>
        <w:rPr>
          <w:sz w:val="20"/>
          <w:szCs w:val="20"/>
          <w:color w:val="auto"/>
        </w:rPr>
      </w:pPr>
      <w:r>
        <w:rPr>
          <w:rFonts w:ascii="Arial" w:cs="Arial" w:eastAsia="Arial" w:hAnsi="Arial"/>
          <w:sz w:val="20"/>
          <w:szCs w:val="20"/>
          <w:color w:val="auto"/>
        </w:rPr>
        <w:t>Ashland’s revenue is measured as the amount of consideration it expects to receive in exchange for transferring goods or providing services and is recognized when performance obligations are satisfied under the terms of contracts with customers. Ashland generally utilizes standardized language for the terms of contracts, unless a separate agreement has been entered into with a customer that supersedes the standard language.</w:t>
      </w:r>
    </w:p>
    <w:p>
      <w:pPr>
        <w:spacing w:after="0" w:line="84" w:lineRule="exact"/>
        <w:rPr>
          <w:sz w:val="20"/>
          <w:szCs w:val="20"/>
          <w:color w:val="auto"/>
        </w:rPr>
      </w:pPr>
    </w:p>
    <w:p>
      <w:pPr>
        <w:jc w:val="both"/>
        <w:ind w:left="340"/>
        <w:spacing w:after="0" w:line="345" w:lineRule="auto"/>
        <w:rPr>
          <w:sz w:val="20"/>
          <w:szCs w:val="20"/>
          <w:color w:val="auto"/>
        </w:rPr>
      </w:pPr>
      <w:r>
        <w:rPr>
          <w:rFonts w:ascii="Arial" w:cs="Arial" w:eastAsia="Arial" w:hAnsi="Arial"/>
          <w:sz w:val="16"/>
          <w:szCs w:val="16"/>
          <w:color w:val="auto"/>
        </w:rPr>
        <w:t>A performance obligation is deemed to be satisfied by Ashland when control of the product or service is transferred to the customer. The transaction price of a contract, or the amount Ashland expects to receive upon satisfaction of all performance obligations, is determined by reference to the contract’s terms and includes adjustments, if applicable, for any variable consideration, such as volume discounts, rebates, refunds and right to return. Where a contract contains more than one distinct performance obligation, the transaction price is allocated to each performance obligation based on the standalone selling price of each performance obligation, although these situations do not occur frequently and are generally not included within Ashland’s contracts. Any unsatisfied performance obligations are not material. Standalone selling prices are based on prices Ashland charges to customers, which in some cases is based on established market prices. Ashland generally collects the cash from its customers within 60 days of the product delivery date. Sales and other similar taxes collected from customers on behalf of third parties are excluded from the contract price.</w:t>
      </w:r>
    </w:p>
    <w:p>
      <w:pPr>
        <w:spacing w:after="0" w:line="36" w:lineRule="exact"/>
        <w:rPr>
          <w:sz w:val="20"/>
          <w:szCs w:val="20"/>
          <w:color w:val="auto"/>
        </w:rPr>
      </w:pPr>
    </w:p>
    <w:p>
      <w:pPr>
        <w:jc w:val="both"/>
        <w:ind w:left="340"/>
        <w:spacing w:after="0" w:line="314" w:lineRule="auto"/>
        <w:rPr>
          <w:sz w:val="20"/>
          <w:szCs w:val="20"/>
          <w:color w:val="auto"/>
        </w:rPr>
      </w:pPr>
      <w:r>
        <w:rPr>
          <w:rFonts w:ascii="Arial" w:cs="Arial" w:eastAsia="Arial" w:hAnsi="Arial"/>
          <w:sz w:val="18"/>
          <w:szCs w:val="18"/>
          <w:color w:val="auto"/>
        </w:rPr>
        <w:t>All of Ashland’s revenue is derived from contracts with customers, and nearly all contracts with customers contain one performance obligation for the transfer of goods where such performance obligation is satisfied at a point in time. Control of a product is deemed to be transferred to the customer generally upon shipment or delivery. Costs for shipping and handling activities, whether performed before or after the customer obtains control of the goods, are accounted for as fulfillment costs when not reimbursed.</w:t>
      </w:r>
    </w:p>
    <w:p>
      <w:pPr>
        <w:spacing w:after="0" w:line="51" w:lineRule="exact"/>
        <w:rPr>
          <w:sz w:val="20"/>
          <w:szCs w:val="20"/>
          <w:color w:val="auto"/>
        </w:rPr>
      </w:pPr>
    </w:p>
    <w:p>
      <w:pPr>
        <w:jc w:val="both"/>
        <w:ind w:left="340"/>
        <w:spacing w:after="0" w:line="260" w:lineRule="auto"/>
        <w:rPr>
          <w:sz w:val="20"/>
          <w:szCs w:val="20"/>
          <w:color w:val="auto"/>
        </w:rPr>
      </w:pPr>
      <w:r>
        <w:rPr>
          <w:rFonts w:ascii="Arial" w:cs="Arial" w:eastAsia="Arial" w:hAnsi="Arial"/>
          <w:sz w:val="20"/>
          <w:szCs w:val="20"/>
          <w:color w:val="auto"/>
        </w:rPr>
        <w:t>Costs incurred to obtain contracts with customers have historically not been significant and are expensed immediately as the amortization period is generally one year or less. Ashland estimates expected credit losses based on relevant information about past events, including historical experience, current conditions, and reasonable and supportable forecasts that affect the collectability of the customers receivable amount.</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Trade receivables</w:t>
      </w:r>
    </w:p>
    <w:p>
      <w:pPr>
        <w:spacing w:after="0" w:line="127" w:lineRule="exact"/>
        <w:rPr>
          <w:sz w:val="20"/>
          <w:szCs w:val="20"/>
          <w:color w:val="auto"/>
        </w:rPr>
      </w:pPr>
    </w:p>
    <w:p>
      <w:pPr>
        <w:jc w:val="both"/>
        <w:ind w:left="340"/>
        <w:spacing w:after="0" w:line="278" w:lineRule="auto"/>
        <w:rPr>
          <w:sz w:val="20"/>
          <w:szCs w:val="20"/>
          <w:color w:val="auto"/>
        </w:rPr>
      </w:pPr>
      <w:r>
        <w:rPr>
          <w:rFonts w:ascii="Arial" w:cs="Arial" w:eastAsia="Arial" w:hAnsi="Arial"/>
          <w:sz w:val="19"/>
          <w:szCs w:val="19"/>
          <w:color w:val="auto"/>
        </w:rPr>
        <w:t>Trade receivables are defined as receivables arising from contracts with customers and are recorded within the accounts receivable caption within the Condensed Consolidated Balance Sheets. Ashland’s trade receivables were $345 million and $441 million as of June 30, 2021 and September 30, 2020, respectively. See Note H for additional information on Ashland’s program to sell certain receivables on a revolving basis to third party banks up to an aggregate purchase limit.</w:t>
      </w:r>
    </w:p>
    <w:p>
      <w:pPr>
        <w:spacing w:after="0" w:line="7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30" w:right="659" w:bottom="1440" w:gutter="0" w:footer="0" w:header="0"/>
        </w:sectPr>
      </w:pPr>
    </w:p>
    <w:bookmarkStart w:id="29" w:name="page30"/>
    <w:bookmarkEnd w:id="29"/>
    <w:p>
      <w:pPr>
        <w:spacing w:after="0"/>
        <w:rPr>
          <w:sz w:val="20"/>
          <w:szCs w:val="20"/>
          <w:color w:val="auto"/>
        </w:rPr>
      </w:pPr>
      <w:r>
        <w:rPr>
          <w:rFonts w:ascii="Arial" w:cs="Arial" w:eastAsia="Arial" w:hAnsi="Arial"/>
          <w:sz w:val="20"/>
          <w:szCs w:val="20"/>
          <w:b w:val="1"/>
          <w:bCs w:val="1"/>
          <w:color w:val="auto"/>
        </w:rPr>
        <w:t>Disaggregation of revenue</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Ashland disaggregates its revenue by segment and geographical region as Ashland believes these categories best depict how management reviews the financial performance of its operations. See the following tables for details. See Note Q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51435</wp:posOffset>
            </wp:positionV>
            <wp:extent cx="662622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79"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Sales by geography</w:t>
      </w:r>
    </w:p>
    <w:p>
      <w:pPr>
        <w:spacing w:after="0" w:line="22" w:lineRule="exact"/>
        <w:rPr>
          <w:sz w:val="20"/>
          <w:szCs w:val="20"/>
          <w:color w:val="auto"/>
        </w:rPr>
      </w:pPr>
    </w:p>
    <w:tbl>
      <w:tblPr>
        <w:tblLayout w:type="fixed"/>
        <w:tblInd w:w="80" w:type="dxa"/>
        <w:tblCellMar>
          <w:top w:w="0" w:type="dxa"/>
          <w:left w:w="0" w:type="dxa"/>
          <w:bottom w:w="0" w:type="dxa"/>
          <w:right w:w="0" w:type="dxa"/>
        </w:tblCellMar>
      </w:tblPr>
      <w:tr>
        <w:trPr>
          <w:trHeight w:val="209"/>
        </w:trPr>
        <w:tc>
          <w:tcPr>
            <w:tcW w:w="29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gridSpan w:val="3"/>
          </w:tcPr>
          <w:p>
            <w:pPr>
              <w:jc w:val="center"/>
              <w:ind w:left="319"/>
              <w:spacing w:after="0"/>
              <w:rPr>
                <w:sz w:val="20"/>
                <w:szCs w:val="20"/>
                <w:color w:val="auto"/>
              </w:rPr>
            </w:pPr>
            <w:r>
              <w:rPr>
                <w:rFonts w:ascii="Arial" w:cs="Arial" w:eastAsia="Arial" w:hAnsi="Arial"/>
                <w:sz w:val="16"/>
                <w:szCs w:val="16"/>
                <w:color w:val="auto"/>
                <w:w w:val="89"/>
              </w:rPr>
              <w:t>Three months ended</w:t>
            </w:r>
          </w:p>
        </w:tc>
        <w:tc>
          <w:tcPr>
            <w:tcW w:w="6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3"/>
          </w:tcPr>
          <w:p>
            <w:pPr>
              <w:jc w:val="center"/>
              <w:ind w:left="39"/>
              <w:spacing w:after="0"/>
              <w:rPr>
                <w:sz w:val="20"/>
                <w:szCs w:val="20"/>
                <w:color w:val="auto"/>
              </w:rPr>
            </w:pPr>
            <w:r>
              <w:rPr>
                <w:rFonts w:ascii="Arial" w:cs="Arial" w:eastAsia="Arial" w:hAnsi="Arial"/>
                <w:sz w:val="16"/>
                <w:szCs w:val="16"/>
                <w:color w:val="auto"/>
                <w:w w:val="90"/>
              </w:rPr>
              <w:t>Nine months ended</w:t>
            </w:r>
          </w:p>
        </w:tc>
        <w:tc>
          <w:tcPr>
            <w:tcW w:w="660" w:type="dxa"/>
            <w:vAlign w:val="bottom"/>
            <w:tcBorders>
              <w:top w:val="single" w:sz="8" w:color="auto"/>
            </w:tcBorders>
          </w:tcPr>
          <w:p>
            <w:pPr>
              <w:spacing w:after="0"/>
              <w:rPr>
                <w:sz w:val="18"/>
                <w:szCs w:val="18"/>
                <w:color w:val="auto"/>
              </w:rPr>
            </w:pPr>
          </w:p>
        </w:tc>
      </w:tr>
      <w:tr>
        <w:trPr>
          <w:trHeight w:val="243"/>
        </w:trPr>
        <w:tc>
          <w:tcPr>
            <w:tcW w:w="29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3"/>
          </w:tcPr>
          <w:p>
            <w:pPr>
              <w:jc w:val="center"/>
              <w:ind w:left="339"/>
              <w:spacing w:after="0"/>
              <w:rPr>
                <w:sz w:val="20"/>
                <w:szCs w:val="20"/>
                <w:color w:val="auto"/>
              </w:rPr>
            </w:pPr>
            <w:r>
              <w:rPr>
                <w:rFonts w:ascii="Arial" w:cs="Arial" w:eastAsia="Arial" w:hAnsi="Arial"/>
                <w:sz w:val="16"/>
                <w:szCs w:val="16"/>
                <w:color w:val="auto"/>
                <w:w w:val="87"/>
              </w:rPr>
              <w:t>June 30</w:t>
            </w:r>
          </w:p>
        </w:tc>
        <w:tc>
          <w:tcPr>
            <w:tcW w:w="6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3"/>
          </w:tcPr>
          <w:p>
            <w:pPr>
              <w:jc w:val="center"/>
              <w:ind w:left="39"/>
              <w:spacing w:after="0"/>
              <w:rPr>
                <w:sz w:val="20"/>
                <w:szCs w:val="20"/>
                <w:color w:val="auto"/>
              </w:rPr>
            </w:pPr>
            <w:r>
              <w:rPr>
                <w:rFonts w:ascii="Arial" w:cs="Arial" w:eastAsia="Arial" w:hAnsi="Arial"/>
                <w:sz w:val="16"/>
                <w:szCs w:val="16"/>
                <w:color w:val="auto"/>
                <w:w w:val="87"/>
              </w:rPr>
              <w:t>June 30</w:t>
            </w:r>
          </w:p>
        </w:tc>
        <w:tc>
          <w:tcPr>
            <w:tcW w:w="660" w:type="dxa"/>
            <w:vAlign w:val="bottom"/>
            <w:tcBorders>
              <w:bottom w:val="single" w:sz="8" w:color="auto"/>
            </w:tcBorders>
          </w:tcPr>
          <w:p>
            <w:pPr>
              <w:spacing w:after="0"/>
              <w:rPr>
                <w:sz w:val="21"/>
                <w:szCs w:val="21"/>
                <w:color w:val="auto"/>
              </w:rPr>
            </w:pPr>
          </w:p>
        </w:tc>
      </w:tr>
      <w:tr>
        <w:trPr>
          <w:trHeight w:val="223"/>
        </w:trPr>
        <w:tc>
          <w:tcPr>
            <w:tcW w:w="29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 millions)</w:t>
            </w:r>
          </w:p>
        </w:tc>
        <w:tc>
          <w:tcPr>
            <w:tcW w:w="1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2021</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2020</w:t>
            </w: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2021</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2020</w:t>
            </w:r>
          </w:p>
        </w:tc>
      </w:tr>
      <w:tr>
        <w:trPr>
          <w:trHeight w:val="223"/>
        </w:trPr>
        <w:tc>
          <w:tcPr>
            <w:tcW w:w="29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6"/>
                <w:szCs w:val="16"/>
                <w:color w:val="auto"/>
                <w:w w:val="92"/>
              </w:rPr>
              <w:t>Life Sciences</w:t>
            </w:r>
          </w:p>
        </w:tc>
        <w:tc>
          <w:tcPr>
            <w:tcW w:w="7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r>
      <w:tr>
        <w:trPr>
          <w:trHeight w:val="230"/>
        </w:trPr>
        <w:tc>
          <w:tcPr>
            <w:tcW w:w="29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North America</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7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58</w:t>
            </w:r>
          </w:p>
        </w:tc>
        <w:tc>
          <w:tcPr>
            <w:tcW w:w="60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171</w:t>
            </w:r>
          </w:p>
        </w:tc>
        <w:tc>
          <w:tcPr>
            <w:tcW w:w="880" w:type="dxa"/>
            <w:vAlign w:val="bottom"/>
            <w:gridSpan w:val="2"/>
            <w:shd w:val="clear" w:color="auto" w:fill="CFF0FC"/>
          </w:tcPr>
          <w:p>
            <w:pPr>
              <w:jc w:val="right"/>
              <w:ind w:right="6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166</w:t>
            </w:r>
          </w:p>
        </w:tc>
      </w:tr>
      <w:tr>
        <w:trPr>
          <w:trHeight w:val="220"/>
        </w:trPr>
        <w:tc>
          <w:tcPr>
            <w:tcW w:w="2920" w:type="dxa"/>
            <w:vAlign w:val="bottom"/>
          </w:tcPr>
          <w:p>
            <w:pPr>
              <w:ind w:left="120"/>
              <w:spacing w:after="0"/>
              <w:rPr>
                <w:sz w:val="20"/>
                <w:szCs w:val="20"/>
                <w:color w:val="auto"/>
              </w:rPr>
            </w:pPr>
            <w:r>
              <w:rPr>
                <w:rFonts w:ascii="Arial" w:cs="Arial" w:eastAsia="Arial" w:hAnsi="Arial"/>
                <w:sz w:val="16"/>
                <w:szCs w:val="16"/>
                <w:color w:val="auto"/>
              </w:rPr>
              <w:t>Europe</w:t>
            </w: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62</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177</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174</w:t>
            </w:r>
          </w:p>
        </w:tc>
      </w:tr>
      <w:tr>
        <w:trPr>
          <w:trHeight w:val="239"/>
        </w:trPr>
        <w:tc>
          <w:tcPr>
            <w:tcW w:w="29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Asia Pacific</w:t>
            </w:r>
          </w:p>
        </w:tc>
        <w:tc>
          <w:tcPr>
            <w:tcW w:w="14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52</w:t>
            </w:r>
          </w:p>
        </w:tc>
        <w:tc>
          <w:tcPr>
            <w:tcW w:w="1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50</w:t>
            </w:r>
          </w:p>
        </w:tc>
        <w:tc>
          <w:tcPr>
            <w:tcW w:w="1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146</w:t>
            </w: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135</w:t>
            </w:r>
          </w:p>
        </w:tc>
      </w:tr>
      <w:tr>
        <w:trPr>
          <w:trHeight w:val="227"/>
        </w:trPr>
        <w:tc>
          <w:tcPr>
            <w:tcW w:w="2920" w:type="dxa"/>
            <w:vAlign w:val="bottom"/>
          </w:tcPr>
          <w:p>
            <w:pPr>
              <w:ind w:left="120"/>
              <w:spacing w:after="0"/>
              <w:rPr>
                <w:sz w:val="20"/>
                <w:szCs w:val="20"/>
                <w:color w:val="auto"/>
              </w:rPr>
            </w:pPr>
            <w:r>
              <w:rPr>
                <w:rFonts w:ascii="Arial" w:cs="Arial" w:eastAsia="Arial" w:hAnsi="Arial"/>
                <w:sz w:val="16"/>
                <w:szCs w:val="16"/>
                <w:color w:val="auto"/>
              </w:rPr>
              <w:t>Latin America &amp; other</w:t>
            </w:r>
          </w:p>
        </w:tc>
        <w:tc>
          <w:tcPr>
            <w:tcW w:w="1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w:t>
            </w:r>
          </w:p>
        </w:tc>
        <w:tc>
          <w:tcPr>
            <w:tcW w:w="16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19</w:t>
            </w:r>
          </w:p>
        </w:tc>
        <w:tc>
          <w:tcPr>
            <w:tcW w:w="1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w:t>
            </w:r>
          </w:p>
        </w:tc>
        <w:tc>
          <w:tcPr>
            <w:tcW w:w="16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w:t>
            </w:r>
          </w:p>
        </w:tc>
      </w:tr>
      <w:tr>
        <w:trPr>
          <w:trHeight w:val="259"/>
        </w:trPr>
        <w:tc>
          <w:tcPr>
            <w:tcW w:w="2920" w:type="dxa"/>
            <w:vAlign w:val="bottom"/>
            <w:shd w:val="clear" w:color="auto" w:fill="CFF0FC"/>
          </w:tcPr>
          <w:p>
            <w:pPr>
              <w:spacing w:after="0"/>
              <w:rPr>
                <w:sz w:val="22"/>
                <w:szCs w:val="22"/>
                <w:color w:val="auto"/>
              </w:rPr>
            </w:pP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193</w:t>
            </w:r>
          </w:p>
        </w:tc>
        <w:tc>
          <w:tcPr>
            <w:tcW w:w="160" w:type="dxa"/>
            <w:vAlign w:val="bottom"/>
            <w:shd w:val="clear" w:color="auto" w:fill="CFF0FC"/>
          </w:tcPr>
          <w:p>
            <w:pPr>
              <w:spacing w:after="0"/>
              <w:rPr>
                <w:sz w:val="22"/>
                <w:szCs w:val="22"/>
                <w:color w:val="auto"/>
              </w:rPr>
            </w:pPr>
          </w:p>
        </w:tc>
        <w:tc>
          <w:tcPr>
            <w:tcW w:w="760" w:type="dxa"/>
            <w:vAlign w:val="bottom"/>
            <w:shd w:val="clear" w:color="auto" w:fill="CFF0FC"/>
          </w:tcPr>
          <w:p>
            <w:pPr>
              <w:jc w:val="right"/>
              <w:ind w:right="57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189</w:t>
            </w:r>
          </w:p>
        </w:tc>
        <w:tc>
          <w:tcPr>
            <w:tcW w:w="60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548</w:t>
            </w:r>
          </w:p>
        </w:tc>
        <w:tc>
          <w:tcPr>
            <w:tcW w:w="880" w:type="dxa"/>
            <w:vAlign w:val="bottom"/>
            <w:gridSpan w:val="2"/>
            <w:shd w:val="clear" w:color="auto" w:fill="CFF0FC"/>
          </w:tcPr>
          <w:p>
            <w:pPr>
              <w:jc w:val="right"/>
              <w:ind w:right="6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528</w:t>
            </w:r>
          </w:p>
        </w:tc>
      </w:tr>
      <w:tr>
        <w:trPr>
          <w:trHeight w:val="217"/>
        </w:trPr>
        <w:tc>
          <w:tcPr>
            <w:tcW w:w="2920" w:type="dxa"/>
            <w:vAlign w:val="bottom"/>
            <w:tcBorders>
              <w:top w:val="single" w:sz="8" w:color="CFF0FC"/>
            </w:tcBorders>
          </w:tcPr>
          <w:p>
            <w:pPr>
              <w:spacing w:after="0"/>
              <w:rPr>
                <w:sz w:val="18"/>
                <w:szCs w:val="18"/>
                <w:color w:val="auto"/>
              </w:rPr>
            </w:pPr>
          </w:p>
        </w:tc>
        <w:tc>
          <w:tcPr>
            <w:tcW w:w="140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CFF0FC"/>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CFF0FC"/>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r>
      <w:tr>
        <w:trPr>
          <w:trHeight w:val="204"/>
        </w:trPr>
        <w:tc>
          <w:tcPr>
            <w:tcW w:w="2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0" w:type="dxa"/>
            <w:vAlign w:val="bottom"/>
            <w:gridSpan w:val="3"/>
          </w:tcPr>
          <w:p>
            <w:pPr>
              <w:jc w:val="center"/>
              <w:ind w:left="319"/>
              <w:spacing w:after="0"/>
              <w:rPr>
                <w:sz w:val="20"/>
                <w:szCs w:val="20"/>
                <w:color w:val="auto"/>
              </w:rPr>
            </w:pPr>
            <w:r>
              <w:rPr>
                <w:rFonts w:ascii="Arial" w:cs="Arial" w:eastAsia="Arial" w:hAnsi="Arial"/>
                <w:sz w:val="16"/>
                <w:szCs w:val="16"/>
                <w:color w:val="auto"/>
                <w:w w:val="89"/>
              </w:rPr>
              <w:t>Three months ended</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gridSpan w:val="3"/>
          </w:tcPr>
          <w:p>
            <w:pPr>
              <w:jc w:val="center"/>
              <w:ind w:left="39"/>
              <w:spacing w:after="0"/>
              <w:rPr>
                <w:sz w:val="20"/>
                <w:szCs w:val="20"/>
                <w:color w:val="auto"/>
              </w:rPr>
            </w:pPr>
            <w:r>
              <w:rPr>
                <w:rFonts w:ascii="Arial" w:cs="Arial" w:eastAsia="Arial" w:hAnsi="Arial"/>
                <w:sz w:val="16"/>
                <w:szCs w:val="16"/>
                <w:color w:val="auto"/>
                <w:w w:val="90"/>
              </w:rPr>
              <w:t>Nine months ended</w:t>
            </w:r>
          </w:p>
        </w:tc>
        <w:tc>
          <w:tcPr>
            <w:tcW w:w="660" w:type="dxa"/>
            <w:vAlign w:val="bottom"/>
          </w:tcPr>
          <w:p>
            <w:pPr>
              <w:spacing w:after="0"/>
              <w:rPr>
                <w:sz w:val="17"/>
                <w:szCs w:val="17"/>
                <w:color w:val="auto"/>
              </w:rPr>
            </w:pPr>
          </w:p>
        </w:tc>
      </w:tr>
      <w:tr>
        <w:trPr>
          <w:trHeight w:val="242"/>
        </w:trPr>
        <w:tc>
          <w:tcPr>
            <w:tcW w:w="29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3"/>
          </w:tcPr>
          <w:p>
            <w:pPr>
              <w:jc w:val="center"/>
              <w:ind w:left="339"/>
              <w:spacing w:after="0"/>
              <w:rPr>
                <w:sz w:val="20"/>
                <w:szCs w:val="20"/>
                <w:color w:val="auto"/>
              </w:rPr>
            </w:pPr>
            <w:r>
              <w:rPr>
                <w:rFonts w:ascii="Arial" w:cs="Arial" w:eastAsia="Arial" w:hAnsi="Arial"/>
                <w:sz w:val="16"/>
                <w:szCs w:val="16"/>
                <w:color w:val="auto"/>
                <w:w w:val="87"/>
              </w:rPr>
              <w:t>June 30</w:t>
            </w:r>
          </w:p>
        </w:tc>
        <w:tc>
          <w:tcPr>
            <w:tcW w:w="6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3"/>
          </w:tcPr>
          <w:p>
            <w:pPr>
              <w:jc w:val="center"/>
              <w:ind w:left="39"/>
              <w:spacing w:after="0"/>
              <w:rPr>
                <w:sz w:val="20"/>
                <w:szCs w:val="20"/>
                <w:color w:val="auto"/>
              </w:rPr>
            </w:pPr>
            <w:r>
              <w:rPr>
                <w:rFonts w:ascii="Arial" w:cs="Arial" w:eastAsia="Arial" w:hAnsi="Arial"/>
                <w:sz w:val="16"/>
                <w:szCs w:val="16"/>
                <w:color w:val="auto"/>
                <w:w w:val="87"/>
              </w:rPr>
              <w:t>June 30</w:t>
            </w:r>
          </w:p>
        </w:tc>
        <w:tc>
          <w:tcPr>
            <w:tcW w:w="660" w:type="dxa"/>
            <w:vAlign w:val="bottom"/>
            <w:tcBorders>
              <w:bottom w:val="single" w:sz="8" w:color="auto"/>
            </w:tcBorders>
          </w:tcPr>
          <w:p>
            <w:pPr>
              <w:spacing w:after="0"/>
              <w:rPr>
                <w:sz w:val="21"/>
                <w:szCs w:val="21"/>
                <w:color w:val="auto"/>
              </w:rPr>
            </w:pPr>
          </w:p>
        </w:tc>
      </w:tr>
      <w:tr>
        <w:trPr>
          <w:trHeight w:val="223"/>
        </w:trPr>
        <w:tc>
          <w:tcPr>
            <w:tcW w:w="29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 millions)</w:t>
            </w:r>
          </w:p>
        </w:tc>
        <w:tc>
          <w:tcPr>
            <w:tcW w:w="1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2021</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2020</w:t>
            </w: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2021</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2020</w:t>
            </w:r>
          </w:p>
        </w:tc>
      </w:tr>
      <w:tr>
        <w:trPr>
          <w:trHeight w:val="223"/>
        </w:trPr>
        <w:tc>
          <w:tcPr>
            <w:tcW w:w="292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gridSpan w:val="5"/>
          </w:tcPr>
          <w:p>
            <w:pPr>
              <w:jc w:val="center"/>
              <w:ind w:left="659"/>
              <w:spacing w:after="0"/>
              <w:rPr>
                <w:sz w:val="20"/>
                <w:szCs w:val="20"/>
                <w:color w:val="auto"/>
              </w:rPr>
            </w:pPr>
            <w:r>
              <w:rPr>
                <w:rFonts w:ascii="Arial" w:cs="Arial" w:eastAsia="Arial" w:hAnsi="Arial"/>
                <w:sz w:val="16"/>
                <w:szCs w:val="16"/>
                <w:color w:val="auto"/>
                <w:w w:val="90"/>
              </w:rPr>
              <w:t>Personal Care &amp; Household</w:t>
            </w:r>
          </w:p>
        </w:tc>
        <w:tc>
          <w:tcPr>
            <w:tcW w:w="6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r>
      <w:tr>
        <w:trPr>
          <w:trHeight w:val="229"/>
        </w:trPr>
        <w:tc>
          <w:tcPr>
            <w:tcW w:w="29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North America</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46</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7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42</w:t>
            </w:r>
          </w:p>
        </w:tc>
        <w:tc>
          <w:tcPr>
            <w:tcW w:w="60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129</w:t>
            </w:r>
          </w:p>
        </w:tc>
        <w:tc>
          <w:tcPr>
            <w:tcW w:w="880" w:type="dxa"/>
            <w:vAlign w:val="bottom"/>
            <w:gridSpan w:val="2"/>
            <w:shd w:val="clear" w:color="auto" w:fill="CFF0FC"/>
          </w:tcPr>
          <w:p>
            <w:pPr>
              <w:jc w:val="right"/>
              <w:ind w:right="6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133</w:t>
            </w:r>
          </w:p>
        </w:tc>
      </w:tr>
      <w:tr>
        <w:trPr>
          <w:trHeight w:val="220"/>
        </w:trPr>
        <w:tc>
          <w:tcPr>
            <w:tcW w:w="2920" w:type="dxa"/>
            <w:vAlign w:val="bottom"/>
          </w:tcPr>
          <w:p>
            <w:pPr>
              <w:ind w:left="120"/>
              <w:spacing w:after="0"/>
              <w:rPr>
                <w:sz w:val="20"/>
                <w:szCs w:val="20"/>
                <w:color w:val="auto"/>
              </w:rPr>
            </w:pPr>
            <w:r>
              <w:rPr>
                <w:rFonts w:ascii="Arial" w:cs="Arial" w:eastAsia="Arial" w:hAnsi="Arial"/>
                <w:sz w:val="16"/>
                <w:szCs w:val="16"/>
                <w:color w:val="auto"/>
              </w:rPr>
              <w:t>Europe</w:t>
            </w: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59</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65</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162</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190</w:t>
            </w:r>
          </w:p>
        </w:tc>
      </w:tr>
      <w:tr>
        <w:trPr>
          <w:trHeight w:val="239"/>
        </w:trPr>
        <w:tc>
          <w:tcPr>
            <w:tcW w:w="29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Asia Pacific</w:t>
            </w:r>
          </w:p>
        </w:tc>
        <w:tc>
          <w:tcPr>
            <w:tcW w:w="14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w:t>
            </w:r>
          </w:p>
        </w:tc>
        <w:tc>
          <w:tcPr>
            <w:tcW w:w="1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28</w:t>
            </w:r>
          </w:p>
        </w:tc>
        <w:tc>
          <w:tcPr>
            <w:tcW w:w="1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68</w:t>
            </w: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74</w:t>
            </w:r>
          </w:p>
        </w:tc>
      </w:tr>
      <w:tr>
        <w:trPr>
          <w:trHeight w:val="227"/>
        </w:trPr>
        <w:tc>
          <w:tcPr>
            <w:tcW w:w="2920" w:type="dxa"/>
            <w:vAlign w:val="bottom"/>
          </w:tcPr>
          <w:p>
            <w:pPr>
              <w:ind w:left="120"/>
              <w:spacing w:after="0"/>
              <w:rPr>
                <w:sz w:val="20"/>
                <w:szCs w:val="20"/>
                <w:color w:val="auto"/>
              </w:rPr>
            </w:pPr>
            <w:r>
              <w:rPr>
                <w:rFonts w:ascii="Arial" w:cs="Arial" w:eastAsia="Arial" w:hAnsi="Arial"/>
                <w:sz w:val="16"/>
                <w:szCs w:val="16"/>
                <w:color w:val="auto"/>
              </w:rPr>
              <w:t>Latin America &amp; other</w:t>
            </w:r>
          </w:p>
        </w:tc>
        <w:tc>
          <w:tcPr>
            <w:tcW w:w="1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w:t>
            </w:r>
          </w:p>
        </w:tc>
        <w:tc>
          <w:tcPr>
            <w:tcW w:w="16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w:t>
            </w:r>
          </w:p>
        </w:tc>
        <w:tc>
          <w:tcPr>
            <w:tcW w:w="1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w:t>
            </w:r>
          </w:p>
        </w:tc>
        <w:tc>
          <w:tcPr>
            <w:tcW w:w="16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w:t>
            </w:r>
          </w:p>
        </w:tc>
      </w:tr>
      <w:tr>
        <w:trPr>
          <w:trHeight w:val="259"/>
        </w:trPr>
        <w:tc>
          <w:tcPr>
            <w:tcW w:w="2920" w:type="dxa"/>
            <w:vAlign w:val="bottom"/>
            <w:shd w:val="clear" w:color="auto" w:fill="CFF0FC"/>
          </w:tcPr>
          <w:p>
            <w:pPr>
              <w:spacing w:after="0"/>
              <w:rPr>
                <w:sz w:val="22"/>
                <w:szCs w:val="22"/>
                <w:color w:val="auto"/>
              </w:rPr>
            </w:pP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147</w:t>
            </w:r>
          </w:p>
        </w:tc>
        <w:tc>
          <w:tcPr>
            <w:tcW w:w="160" w:type="dxa"/>
            <w:vAlign w:val="bottom"/>
            <w:shd w:val="clear" w:color="auto" w:fill="CFF0FC"/>
          </w:tcPr>
          <w:p>
            <w:pPr>
              <w:spacing w:after="0"/>
              <w:rPr>
                <w:sz w:val="22"/>
                <w:szCs w:val="22"/>
                <w:color w:val="auto"/>
              </w:rPr>
            </w:pPr>
          </w:p>
        </w:tc>
        <w:tc>
          <w:tcPr>
            <w:tcW w:w="760" w:type="dxa"/>
            <w:vAlign w:val="bottom"/>
            <w:shd w:val="clear" w:color="auto" w:fill="CFF0FC"/>
          </w:tcPr>
          <w:p>
            <w:pPr>
              <w:jc w:val="right"/>
              <w:ind w:right="57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155</w:t>
            </w:r>
          </w:p>
        </w:tc>
        <w:tc>
          <w:tcPr>
            <w:tcW w:w="60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409</w:t>
            </w:r>
          </w:p>
        </w:tc>
        <w:tc>
          <w:tcPr>
            <w:tcW w:w="880" w:type="dxa"/>
            <w:vAlign w:val="bottom"/>
            <w:gridSpan w:val="2"/>
            <w:shd w:val="clear" w:color="auto" w:fill="CFF0FC"/>
          </w:tcPr>
          <w:p>
            <w:pPr>
              <w:jc w:val="right"/>
              <w:ind w:right="6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451</w:t>
            </w:r>
          </w:p>
        </w:tc>
      </w:tr>
      <w:tr>
        <w:trPr>
          <w:trHeight w:val="217"/>
        </w:trPr>
        <w:tc>
          <w:tcPr>
            <w:tcW w:w="2920" w:type="dxa"/>
            <w:vAlign w:val="bottom"/>
            <w:tcBorders>
              <w:top w:val="single" w:sz="8" w:color="CFF0FC"/>
            </w:tcBorders>
          </w:tcPr>
          <w:p>
            <w:pPr>
              <w:spacing w:after="0"/>
              <w:rPr>
                <w:sz w:val="18"/>
                <w:szCs w:val="18"/>
                <w:color w:val="auto"/>
              </w:rPr>
            </w:pPr>
          </w:p>
        </w:tc>
        <w:tc>
          <w:tcPr>
            <w:tcW w:w="140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CFF0FC"/>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CFF0FC"/>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r>
      <w:tr>
        <w:trPr>
          <w:trHeight w:val="203"/>
        </w:trPr>
        <w:tc>
          <w:tcPr>
            <w:tcW w:w="2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0" w:type="dxa"/>
            <w:vAlign w:val="bottom"/>
            <w:gridSpan w:val="3"/>
          </w:tcPr>
          <w:p>
            <w:pPr>
              <w:jc w:val="center"/>
              <w:ind w:left="319"/>
              <w:spacing w:after="0"/>
              <w:rPr>
                <w:sz w:val="20"/>
                <w:szCs w:val="20"/>
                <w:color w:val="auto"/>
              </w:rPr>
            </w:pPr>
            <w:r>
              <w:rPr>
                <w:rFonts w:ascii="Arial" w:cs="Arial" w:eastAsia="Arial" w:hAnsi="Arial"/>
                <w:sz w:val="16"/>
                <w:szCs w:val="16"/>
                <w:color w:val="auto"/>
                <w:w w:val="89"/>
              </w:rPr>
              <w:t>Three months ended</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gridSpan w:val="3"/>
          </w:tcPr>
          <w:p>
            <w:pPr>
              <w:jc w:val="center"/>
              <w:ind w:left="39"/>
              <w:spacing w:after="0"/>
              <w:rPr>
                <w:sz w:val="20"/>
                <w:szCs w:val="20"/>
                <w:color w:val="auto"/>
              </w:rPr>
            </w:pPr>
            <w:r>
              <w:rPr>
                <w:rFonts w:ascii="Arial" w:cs="Arial" w:eastAsia="Arial" w:hAnsi="Arial"/>
                <w:sz w:val="16"/>
                <w:szCs w:val="16"/>
                <w:color w:val="auto"/>
                <w:w w:val="90"/>
              </w:rPr>
              <w:t>Nine months ended</w:t>
            </w:r>
          </w:p>
        </w:tc>
        <w:tc>
          <w:tcPr>
            <w:tcW w:w="660" w:type="dxa"/>
            <w:vAlign w:val="bottom"/>
          </w:tcPr>
          <w:p>
            <w:pPr>
              <w:spacing w:after="0"/>
              <w:rPr>
                <w:sz w:val="17"/>
                <w:szCs w:val="17"/>
                <w:color w:val="auto"/>
              </w:rPr>
            </w:pPr>
          </w:p>
        </w:tc>
      </w:tr>
      <w:tr>
        <w:trPr>
          <w:trHeight w:val="243"/>
        </w:trPr>
        <w:tc>
          <w:tcPr>
            <w:tcW w:w="29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3"/>
          </w:tcPr>
          <w:p>
            <w:pPr>
              <w:jc w:val="center"/>
              <w:ind w:left="339"/>
              <w:spacing w:after="0"/>
              <w:rPr>
                <w:sz w:val="20"/>
                <w:szCs w:val="20"/>
                <w:color w:val="auto"/>
              </w:rPr>
            </w:pPr>
            <w:r>
              <w:rPr>
                <w:rFonts w:ascii="Arial" w:cs="Arial" w:eastAsia="Arial" w:hAnsi="Arial"/>
                <w:sz w:val="16"/>
                <w:szCs w:val="16"/>
                <w:color w:val="auto"/>
                <w:w w:val="87"/>
              </w:rPr>
              <w:t>June 30</w:t>
            </w:r>
          </w:p>
        </w:tc>
        <w:tc>
          <w:tcPr>
            <w:tcW w:w="6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3"/>
          </w:tcPr>
          <w:p>
            <w:pPr>
              <w:jc w:val="center"/>
              <w:ind w:left="39"/>
              <w:spacing w:after="0"/>
              <w:rPr>
                <w:sz w:val="20"/>
                <w:szCs w:val="20"/>
                <w:color w:val="auto"/>
              </w:rPr>
            </w:pPr>
            <w:r>
              <w:rPr>
                <w:rFonts w:ascii="Arial" w:cs="Arial" w:eastAsia="Arial" w:hAnsi="Arial"/>
                <w:sz w:val="16"/>
                <w:szCs w:val="16"/>
                <w:color w:val="auto"/>
                <w:w w:val="87"/>
              </w:rPr>
              <w:t>June 30</w:t>
            </w:r>
          </w:p>
        </w:tc>
        <w:tc>
          <w:tcPr>
            <w:tcW w:w="660" w:type="dxa"/>
            <w:vAlign w:val="bottom"/>
            <w:tcBorders>
              <w:bottom w:val="single" w:sz="8" w:color="auto"/>
            </w:tcBorders>
          </w:tcPr>
          <w:p>
            <w:pPr>
              <w:spacing w:after="0"/>
              <w:rPr>
                <w:sz w:val="21"/>
                <w:szCs w:val="21"/>
                <w:color w:val="auto"/>
              </w:rPr>
            </w:pPr>
          </w:p>
        </w:tc>
      </w:tr>
      <w:tr>
        <w:trPr>
          <w:trHeight w:val="223"/>
        </w:trPr>
        <w:tc>
          <w:tcPr>
            <w:tcW w:w="29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 millions)</w:t>
            </w:r>
          </w:p>
        </w:tc>
        <w:tc>
          <w:tcPr>
            <w:tcW w:w="1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2021</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2020</w:t>
            </w: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2021</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2020</w:t>
            </w:r>
          </w:p>
        </w:tc>
      </w:tr>
      <w:tr>
        <w:trPr>
          <w:trHeight w:val="223"/>
        </w:trPr>
        <w:tc>
          <w:tcPr>
            <w:tcW w:w="29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6"/>
                <w:szCs w:val="16"/>
                <w:color w:val="auto"/>
                <w:w w:val="95"/>
              </w:rPr>
              <w:t>Specialty Additives</w:t>
            </w:r>
          </w:p>
        </w:tc>
        <w:tc>
          <w:tcPr>
            <w:tcW w:w="7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r>
      <w:tr>
        <w:trPr>
          <w:trHeight w:val="230"/>
        </w:trPr>
        <w:tc>
          <w:tcPr>
            <w:tcW w:w="29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North America</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53</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7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50</w:t>
            </w:r>
          </w:p>
        </w:tc>
        <w:tc>
          <w:tcPr>
            <w:tcW w:w="60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146</w:t>
            </w:r>
          </w:p>
        </w:tc>
        <w:tc>
          <w:tcPr>
            <w:tcW w:w="880" w:type="dxa"/>
            <w:vAlign w:val="bottom"/>
            <w:gridSpan w:val="2"/>
            <w:shd w:val="clear" w:color="auto" w:fill="CFF0FC"/>
          </w:tcPr>
          <w:p>
            <w:pPr>
              <w:jc w:val="right"/>
              <w:ind w:right="6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148</w:t>
            </w:r>
          </w:p>
        </w:tc>
      </w:tr>
      <w:tr>
        <w:trPr>
          <w:trHeight w:val="220"/>
        </w:trPr>
        <w:tc>
          <w:tcPr>
            <w:tcW w:w="2920" w:type="dxa"/>
            <w:vAlign w:val="bottom"/>
          </w:tcPr>
          <w:p>
            <w:pPr>
              <w:ind w:left="120"/>
              <w:spacing w:after="0"/>
              <w:rPr>
                <w:sz w:val="20"/>
                <w:szCs w:val="20"/>
                <w:color w:val="auto"/>
              </w:rPr>
            </w:pPr>
            <w:r>
              <w:rPr>
                <w:rFonts w:ascii="Arial" w:cs="Arial" w:eastAsia="Arial" w:hAnsi="Arial"/>
                <w:sz w:val="16"/>
                <w:szCs w:val="16"/>
                <w:color w:val="auto"/>
              </w:rPr>
              <w:t>Europe</w:t>
            </w: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65</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48</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179</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157</w:t>
            </w:r>
          </w:p>
        </w:tc>
      </w:tr>
      <w:tr>
        <w:trPr>
          <w:trHeight w:val="239"/>
        </w:trPr>
        <w:tc>
          <w:tcPr>
            <w:tcW w:w="29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Asia Pacific</w:t>
            </w:r>
          </w:p>
        </w:tc>
        <w:tc>
          <w:tcPr>
            <w:tcW w:w="14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43</w:t>
            </w:r>
          </w:p>
        </w:tc>
        <w:tc>
          <w:tcPr>
            <w:tcW w:w="1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29</w:t>
            </w:r>
          </w:p>
        </w:tc>
        <w:tc>
          <w:tcPr>
            <w:tcW w:w="1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123</w:t>
            </w: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97</w:t>
            </w:r>
          </w:p>
        </w:tc>
      </w:tr>
      <w:tr>
        <w:trPr>
          <w:trHeight w:val="227"/>
        </w:trPr>
        <w:tc>
          <w:tcPr>
            <w:tcW w:w="2920" w:type="dxa"/>
            <w:vAlign w:val="bottom"/>
          </w:tcPr>
          <w:p>
            <w:pPr>
              <w:ind w:left="120"/>
              <w:spacing w:after="0"/>
              <w:rPr>
                <w:sz w:val="20"/>
                <w:szCs w:val="20"/>
                <w:color w:val="auto"/>
              </w:rPr>
            </w:pPr>
            <w:r>
              <w:rPr>
                <w:rFonts w:ascii="Arial" w:cs="Arial" w:eastAsia="Arial" w:hAnsi="Arial"/>
                <w:sz w:val="16"/>
                <w:szCs w:val="16"/>
                <w:color w:val="auto"/>
              </w:rPr>
              <w:t>Latin America &amp; other</w:t>
            </w:r>
          </w:p>
        </w:tc>
        <w:tc>
          <w:tcPr>
            <w:tcW w:w="1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w:t>
            </w:r>
          </w:p>
        </w:tc>
        <w:tc>
          <w:tcPr>
            <w:tcW w:w="16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w:t>
            </w:r>
          </w:p>
        </w:tc>
        <w:tc>
          <w:tcPr>
            <w:tcW w:w="1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w:t>
            </w:r>
          </w:p>
        </w:tc>
        <w:tc>
          <w:tcPr>
            <w:tcW w:w="16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w:t>
            </w:r>
          </w:p>
        </w:tc>
      </w:tr>
      <w:tr>
        <w:trPr>
          <w:trHeight w:val="259"/>
        </w:trPr>
        <w:tc>
          <w:tcPr>
            <w:tcW w:w="2920" w:type="dxa"/>
            <w:vAlign w:val="bottom"/>
            <w:shd w:val="clear" w:color="auto" w:fill="CFF0FC"/>
          </w:tcPr>
          <w:p>
            <w:pPr>
              <w:spacing w:after="0"/>
              <w:rPr>
                <w:sz w:val="22"/>
                <w:szCs w:val="22"/>
                <w:color w:val="auto"/>
              </w:rPr>
            </w:pP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169</w:t>
            </w:r>
          </w:p>
        </w:tc>
        <w:tc>
          <w:tcPr>
            <w:tcW w:w="160" w:type="dxa"/>
            <w:vAlign w:val="bottom"/>
            <w:shd w:val="clear" w:color="auto" w:fill="CFF0FC"/>
          </w:tcPr>
          <w:p>
            <w:pPr>
              <w:spacing w:after="0"/>
              <w:rPr>
                <w:sz w:val="22"/>
                <w:szCs w:val="22"/>
                <w:color w:val="auto"/>
              </w:rPr>
            </w:pPr>
          </w:p>
        </w:tc>
        <w:tc>
          <w:tcPr>
            <w:tcW w:w="760" w:type="dxa"/>
            <w:vAlign w:val="bottom"/>
            <w:shd w:val="clear" w:color="auto" w:fill="CFF0FC"/>
          </w:tcPr>
          <w:p>
            <w:pPr>
              <w:jc w:val="right"/>
              <w:ind w:right="57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135</w:t>
            </w:r>
          </w:p>
        </w:tc>
        <w:tc>
          <w:tcPr>
            <w:tcW w:w="60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474</w:t>
            </w:r>
          </w:p>
        </w:tc>
        <w:tc>
          <w:tcPr>
            <w:tcW w:w="880" w:type="dxa"/>
            <w:vAlign w:val="bottom"/>
            <w:gridSpan w:val="2"/>
            <w:shd w:val="clear" w:color="auto" w:fill="CFF0FC"/>
          </w:tcPr>
          <w:p>
            <w:pPr>
              <w:jc w:val="right"/>
              <w:ind w:right="6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429</w:t>
            </w:r>
          </w:p>
        </w:tc>
      </w:tr>
      <w:tr>
        <w:trPr>
          <w:trHeight w:val="217"/>
        </w:trPr>
        <w:tc>
          <w:tcPr>
            <w:tcW w:w="2920" w:type="dxa"/>
            <w:vAlign w:val="bottom"/>
            <w:tcBorders>
              <w:top w:val="single" w:sz="8" w:color="CFF0FC"/>
            </w:tcBorders>
          </w:tcPr>
          <w:p>
            <w:pPr>
              <w:spacing w:after="0"/>
              <w:rPr>
                <w:sz w:val="18"/>
                <w:szCs w:val="18"/>
                <w:color w:val="auto"/>
              </w:rPr>
            </w:pPr>
          </w:p>
        </w:tc>
        <w:tc>
          <w:tcPr>
            <w:tcW w:w="140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CFF0FC"/>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CFF0FC"/>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r>
      <w:tr>
        <w:trPr>
          <w:trHeight w:val="203"/>
        </w:trPr>
        <w:tc>
          <w:tcPr>
            <w:tcW w:w="2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0" w:type="dxa"/>
            <w:vAlign w:val="bottom"/>
            <w:gridSpan w:val="3"/>
          </w:tcPr>
          <w:p>
            <w:pPr>
              <w:jc w:val="center"/>
              <w:ind w:left="319"/>
              <w:spacing w:after="0"/>
              <w:rPr>
                <w:sz w:val="20"/>
                <w:szCs w:val="20"/>
                <w:color w:val="auto"/>
              </w:rPr>
            </w:pPr>
            <w:r>
              <w:rPr>
                <w:rFonts w:ascii="Arial" w:cs="Arial" w:eastAsia="Arial" w:hAnsi="Arial"/>
                <w:sz w:val="16"/>
                <w:szCs w:val="16"/>
                <w:color w:val="auto"/>
                <w:w w:val="89"/>
              </w:rPr>
              <w:t>Three months ended</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gridSpan w:val="3"/>
          </w:tcPr>
          <w:p>
            <w:pPr>
              <w:jc w:val="center"/>
              <w:ind w:left="39"/>
              <w:spacing w:after="0"/>
              <w:rPr>
                <w:sz w:val="20"/>
                <w:szCs w:val="20"/>
                <w:color w:val="auto"/>
              </w:rPr>
            </w:pPr>
            <w:r>
              <w:rPr>
                <w:rFonts w:ascii="Arial" w:cs="Arial" w:eastAsia="Arial" w:hAnsi="Arial"/>
                <w:sz w:val="16"/>
                <w:szCs w:val="16"/>
                <w:color w:val="auto"/>
                <w:w w:val="90"/>
              </w:rPr>
              <w:t>Nine months ended</w:t>
            </w:r>
          </w:p>
        </w:tc>
        <w:tc>
          <w:tcPr>
            <w:tcW w:w="660" w:type="dxa"/>
            <w:vAlign w:val="bottom"/>
          </w:tcPr>
          <w:p>
            <w:pPr>
              <w:spacing w:after="0"/>
              <w:rPr>
                <w:sz w:val="17"/>
                <w:szCs w:val="17"/>
                <w:color w:val="auto"/>
              </w:rPr>
            </w:pPr>
          </w:p>
        </w:tc>
      </w:tr>
      <w:tr>
        <w:trPr>
          <w:trHeight w:val="243"/>
        </w:trPr>
        <w:tc>
          <w:tcPr>
            <w:tcW w:w="29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3"/>
          </w:tcPr>
          <w:p>
            <w:pPr>
              <w:jc w:val="center"/>
              <w:ind w:left="339"/>
              <w:spacing w:after="0"/>
              <w:rPr>
                <w:sz w:val="20"/>
                <w:szCs w:val="20"/>
                <w:color w:val="auto"/>
              </w:rPr>
            </w:pPr>
            <w:r>
              <w:rPr>
                <w:rFonts w:ascii="Arial" w:cs="Arial" w:eastAsia="Arial" w:hAnsi="Arial"/>
                <w:sz w:val="16"/>
                <w:szCs w:val="16"/>
                <w:color w:val="auto"/>
                <w:w w:val="87"/>
              </w:rPr>
              <w:t>June 30</w:t>
            </w:r>
          </w:p>
        </w:tc>
        <w:tc>
          <w:tcPr>
            <w:tcW w:w="6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3"/>
          </w:tcPr>
          <w:p>
            <w:pPr>
              <w:jc w:val="center"/>
              <w:ind w:left="39"/>
              <w:spacing w:after="0"/>
              <w:rPr>
                <w:sz w:val="20"/>
                <w:szCs w:val="20"/>
                <w:color w:val="auto"/>
              </w:rPr>
            </w:pPr>
            <w:r>
              <w:rPr>
                <w:rFonts w:ascii="Arial" w:cs="Arial" w:eastAsia="Arial" w:hAnsi="Arial"/>
                <w:sz w:val="16"/>
                <w:szCs w:val="16"/>
                <w:color w:val="auto"/>
                <w:w w:val="87"/>
              </w:rPr>
              <w:t>June 30</w:t>
            </w:r>
          </w:p>
        </w:tc>
        <w:tc>
          <w:tcPr>
            <w:tcW w:w="660" w:type="dxa"/>
            <w:vAlign w:val="bottom"/>
            <w:tcBorders>
              <w:bottom w:val="single" w:sz="8" w:color="auto"/>
            </w:tcBorders>
          </w:tcPr>
          <w:p>
            <w:pPr>
              <w:spacing w:after="0"/>
              <w:rPr>
                <w:sz w:val="21"/>
                <w:szCs w:val="21"/>
                <w:color w:val="auto"/>
              </w:rPr>
            </w:pPr>
          </w:p>
        </w:tc>
      </w:tr>
      <w:tr>
        <w:trPr>
          <w:trHeight w:val="223"/>
        </w:trPr>
        <w:tc>
          <w:tcPr>
            <w:tcW w:w="29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 millions)</w:t>
            </w:r>
          </w:p>
        </w:tc>
        <w:tc>
          <w:tcPr>
            <w:tcW w:w="1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2021</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2020</w:t>
            </w: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2021</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2020</w:t>
            </w:r>
          </w:p>
        </w:tc>
      </w:tr>
      <w:tr>
        <w:trPr>
          <w:trHeight w:val="223"/>
        </w:trPr>
        <w:tc>
          <w:tcPr>
            <w:tcW w:w="29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4"/>
          </w:tcPr>
          <w:p>
            <w:pPr>
              <w:jc w:val="center"/>
              <w:ind w:right="599"/>
              <w:spacing w:after="0"/>
              <w:rPr>
                <w:sz w:val="20"/>
                <w:szCs w:val="20"/>
                <w:color w:val="auto"/>
              </w:rPr>
            </w:pPr>
            <w:r>
              <w:rPr>
                <w:rFonts w:ascii="Arial" w:cs="Arial" w:eastAsia="Arial" w:hAnsi="Arial"/>
                <w:sz w:val="16"/>
                <w:szCs w:val="16"/>
                <w:color w:val="auto"/>
                <w:w w:val="90"/>
              </w:rPr>
              <w:t>Performance Adhesives</w:t>
            </w:r>
          </w:p>
        </w:tc>
        <w:tc>
          <w:tcPr>
            <w:tcW w:w="6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r>
      <w:tr>
        <w:trPr>
          <w:trHeight w:val="229"/>
        </w:trPr>
        <w:tc>
          <w:tcPr>
            <w:tcW w:w="29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North America</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74</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7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59</w:t>
            </w:r>
          </w:p>
        </w:tc>
        <w:tc>
          <w:tcPr>
            <w:tcW w:w="60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215</w:t>
            </w:r>
          </w:p>
        </w:tc>
        <w:tc>
          <w:tcPr>
            <w:tcW w:w="880" w:type="dxa"/>
            <w:vAlign w:val="bottom"/>
            <w:gridSpan w:val="2"/>
            <w:shd w:val="clear" w:color="auto" w:fill="CFF0FC"/>
          </w:tcPr>
          <w:p>
            <w:pPr>
              <w:jc w:val="right"/>
              <w:ind w:right="6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196</w:t>
            </w:r>
          </w:p>
        </w:tc>
      </w:tr>
      <w:tr>
        <w:trPr>
          <w:trHeight w:val="220"/>
        </w:trPr>
        <w:tc>
          <w:tcPr>
            <w:tcW w:w="2920" w:type="dxa"/>
            <w:vAlign w:val="bottom"/>
          </w:tcPr>
          <w:p>
            <w:pPr>
              <w:ind w:left="120"/>
              <w:spacing w:after="0"/>
              <w:rPr>
                <w:sz w:val="20"/>
                <w:szCs w:val="20"/>
                <w:color w:val="auto"/>
              </w:rPr>
            </w:pPr>
            <w:r>
              <w:rPr>
                <w:rFonts w:ascii="Arial" w:cs="Arial" w:eastAsia="Arial" w:hAnsi="Arial"/>
                <w:sz w:val="16"/>
                <w:szCs w:val="16"/>
                <w:color w:val="auto"/>
              </w:rPr>
              <w:t>Europe</w:t>
            </w: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8</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239"/>
        </w:trPr>
        <w:tc>
          <w:tcPr>
            <w:tcW w:w="29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Asia Pacific</w:t>
            </w:r>
          </w:p>
        </w:tc>
        <w:tc>
          <w:tcPr>
            <w:tcW w:w="14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w:t>
            </w:r>
          </w:p>
        </w:tc>
        <w:tc>
          <w:tcPr>
            <w:tcW w:w="1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w:t>
            </w:r>
          </w:p>
        </w:tc>
        <w:tc>
          <w:tcPr>
            <w:tcW w:w="1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11</w:t>
            </w: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w:t>
            </w:r>
          </w:p>
        </w:tc>
      </w:tr>
      <w:tr>
        <w:trPr>
          <w:trHeight w:val="226"/>
        </w:trPr>
        <w:tc>
          <w:tcPr>
            <w:tcW w:w="2920" w:type="dxa"/>
            <w:vAlign w:val="bottom"/>
          </w:tcPr>
          <w:p>
            <w:pPr>
              <w:ind w:left="120"/>
              <w:spacing w:after="0"/>
              <w:rPr>
                <w:sz w:val="20"/>
                <w:szCs w:val="20"/>
                <w:color w:val="auto"/>
              </w:rPr>
            </w:pPr>
            <w:r>
              <w:rPr>
                <w:rFonts w:ascii="Arial" w:cs="Arial" w:eastAsia="Arial" w:hAnsi="Arial"/>
                <w:sz w:val="16"/>
                <w:szCs w:val="16"/>
                <w:color w:val="auto"/>
              </w:rPr>
              <w:t>Latin America &amp; other</w:t>
            </w:r>
          </w:p>
        </w:tc>
        <w:tc>
          <w:tcPr>
            <w:tcW w:w="1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r>
      <w:tr>
        <w:trPr>
          <w:trHeight w:val="260"/>
        </w:trPr>
        <w:tc>
          <w:tcPr>
            <w:tcW w:w="2920" w:type="dxa"/>
            <w:vAlign w:val="bottom"/>
            <w:shd w:val="clear" w:color="auto" w:fill="CFF0FC"/>
          </w:tcPr>
          <w:p>
            <w:pPr>
              <w:spacing w:after="0"/>
              <w:rPr>
                <w:sz w:val="22"/>
                <w:szCs w:val="22"/>
                <w:color w:val="auto"/>
              </w:rPr>
            </w:pP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94</w:t>
            </w:r>
          </w:p>
        </w:tc>
        <w:tc>
          <w:tcPr>
            <w:tcW w:w="160" w:type="dxa"/>
            <w:vAlign w:val="bottom"/>
            <w:shd w:val="clear" w:color="auto" w:fill="CFF0FC"/>
          </w:tcPr>
          <w:p>
            <w:pPr>
              <w:spacing w:after="0"/>
              <w:rPr>
                <w:sz w:val="22"/>
                <w:szCs w:val="22"/>
                <w:color w:val="auto"/>
              </w:rPr>
            </w:pPr>
          </w:p>
        </w:tc>
        <w:tc>
          <w:tcPr>
            <w:tcW w:w="760" w:type="dxa"/>
            <w:vAlign w:val="bottom"/>
            <w:shd w:val="clear" w:color="auto" w:fill="CFF0FC"/>
          </w:tcPr>
          <w:p>
            <w:pPr>
              <w:jc w:val="right"/>
              <w:ind w:right="57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70</w:t>
            </w:r>
          </w:p>
        </w:tc>
        <w:tc>
          <w:tcPr>
            <w:tcW w:w="60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267</w:t>
            </w:r>
          </w:p>
        </w:tc>
        <w:tc>
          <w:tcPr>
            <w:tcW w:w="880" w:type="dxa"/>
            <w:vAlign w:val="bottom"/>
            <w:gridSpan w:val="2"/>
            <w:shd w:val="clear" w:color="auto" w:fill="CFF0FC"/>
          </w:tcPr>
          <w:p>
            <w:pPr>
              <w:jc w:val="right"/>
              <w:ind w:right="6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229</w:t>
            </w:r>
          </w:p>
        </w:tc>
      </w:tr>
      <w:tr>
        <w:trPr>
          <w:trHeight w:val="217"/>
        </w:trPr>
        <w:tc>
          <w:tcPr>
            <w:tcW w:w="2920" w:type="dxa"/>
            <w:vAlign w:val="bottom"/>
            <w:tcBorders>
              <w:top w:val="single" w:sz="8" w:color="CFF0FC"/>
            </w:tcBorders>
          </w:tcPr>
          <w:p>
            <w:pPr>
              <w:spacing w:after="0"/>
              <w:rPr>
                <w:sz w:val="18"/>
                <w:szCs w:val="18"/>
                <w:color w:val="auto"/>
              </w:rPr>
            </w:pPr>
          </w:p>
        </w:tc>
        <w:tc>
          <w:tcPr>
            <w:tcW w:w="140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CFF0FC"/>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CFF0FC"/>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r>
      <w:tr>
        <w:trPr>
          <w:trHeight w:val="203"/>
        </w:trPr>
        <w:tc>
          <w:tcPr>
            <w:tcW w:w="2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0" w:type="dxa"/>
            <w:vAlign w:val="bottom"/>
            <w:gridSpan w:val="3"/>
          </w:tcPr>
          <w:p>
            <w:pPr>
              <w:jc w:val="center"/>
              <w:ind w:left="319"/>
              <w:spacing w:after="0"/>
              <w:rPr>
                <w:sz w:val="20"/>
                <w:szCs w:val="20"/>
                <w:color w:val="auto"/>
              </w:rPr>
            </w:pPr>
            <w:r>
              <w:rPr>
                <w:rFonts w:ascii="Arial" w:cs="Arial" w:eastAsia="Arial" w:hAnsi="Arial"/>
                <w:sz w:val="16"/>
                <w:szCs w:val="16"/>
                <w:color w:val="auto"/>
                <w:w w:val="89"/>
              </w:rPr>
              <w:t>Three months ended</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gridSpan w:val="3"/>
          </w:tcPr>
          <w:p>
            <w:pPr>
              <w:jc w:val="center"/>
              <w:ind w:left="39"/>
              <w:spacing w:after="0"/>
              <w:rPr>
                <w:sz w:val="20"/>
                <w:szCs w:val="20"/>
                <w:color w:val="auto"/>
              </w:rPr>
            </w:pPr>
            <w:r>
              <w:rPr>
                <w:rFonts w:ascii="Arial" w:cs="Arial" w:eastAsia="Arial" w:hAnsi="Arial"/>
                <w:sz w:val="16"/>
                <w:szCs w:val="16"/>
                <w:color w:val="auto"/>
                <w:w w:val="90"/>
              </w:rPr>
              <w:t>Nine months ended</w:t>
            </w:r>
          </w:p>
        </w:tc>
        <w:tc>
          <w:tcPr>
            <w:tcW w:w="660" w:type="dxa"/>
            <w:vAlign w:val="bottom"/>
          </w:tcPr>
          <w:p>
            <w:pPr>
              <w:spacing w:after="0"/>
              <w:rPr>
                <w:sz w:val="17"/>
                <w:szCs w:val="17"/>
                <w:color w:val="auto"/>
              </w:rPr>
            </w:pPr>
          </w:p>
        </w:tc>
      </w:tr>
      <w:tr>
        <w:trPr>
          <w:trHeight w:val="243"/>
        </w:trPr>
        <w:tc>
          <w:tcPr>
            <w:tcW w:w="29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3"/>
          </w:tcPr>
          <w:p>
            <w:pPr>
              <w:jc w:val="center"/>
              <w:ind w:left="339"/>
              <w:spacing w:after="0"/>
              <w:rPr>
                <w:sz w:val="20"/>
                <w:szCs w:val="20"/>
                <w:color w:val="auto"/>
              </w:rPr>
            </w:pPr>
            <w:r>
              <w:rPr>
                <w:rFonts w:ascii="Arial" w:cs="Arial" w:eastAsia="Arial" w:hAnsi="Arial"/>
                <w:sz w:val="16"/>
                <w:szCs w:val="16"/>
                <w:color w:val="auto"/>
                <w:w w:val="87"/>
              </w:rPr>
              <w:t>June 30</w:t>
            </w:r>
          </w:p>
        </w:tc>
        <w:tc>
          <w:tcPr>
            <w:tcW w:w="6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3"/>
          </w:tcPr>
          <w:p>
            <w:pPr>
              <w:jc w:val="center"/>
              <w:ind w:left="39"/>
              <w:spacing w:after="0"/>
              <w:rPr>
                <w:sz w:val="20"/>
                <w:szCs w:val="20"/>
                <w:color w:val="auto"/>
              </w:rPr>
            </w:pPr>
            <w:r>
              <w:rPr>
                <w:rFonts w:ascii="Arial" w:cs="Arial" w:eastAsia="Arial" w:hAnsi="Arial"/>
                <w:sz w:val="16"/>
                <w:szCs w:val="16"/>
                <w:color w:val="auto"/>
                <w:w w:val="87"/>
              </w:rPr>
              <w:t>June 30</w:t>
            </w:r>
          </w:p>
        </w:tc>
        <w:tc>
          <w:tcPr>
            <w:tcW w:w="660" w:type="dxa"/>
            <w:vAlign w:val="bottom"/>
            <w:tcBorders>
              <w:bottom w:val="single" w:sz="8" w:color="auto"/>
            </w:tcBorders>
          </w:tcPr>
          <w:p>
            <w:pPr>
              <w:spacing w:after="0"/>
              <w:rPr>
                <w:sz w:val="21"/>
                <w:szCs w:val="21"/>
                <w:color w:val="auto"/>
              </w:rPr>
            </w:pPr>
          </w:p>
        </w:tc>
      </w:tr>
      <w:tr>
        <w:trPr>
          <w:trHeight w:val="223"/>
        </w:trPr>
        <w:tc>
          <w:tcPr>
            <w:tcW w:w="29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 millions)</w:t>
            </w:r>
          </w:p>
        </w:tc>
        <w:tc>
          <w:tcPr>
            <w:tcW w:w="1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2021</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2020</w:t>
            </w: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2021</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2020</w:t>
            </w:r>
          </w:p>
        </w:tc>
      </w:tr>
      <w:tr>
        <w:trPr>
          <w:trHeight w:val="223"/>
        </w:trPr>
        <w:tc>
          <w:tcPr>
            <w:tcW w:w="292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gridSpan w:val="5"/>
          </w:tcPr>
          <w:p>
            <w:pPr>
              <w:jc w:val="center"/>
              <w:ind w:left="659"/>
              <w:spacing w:after="0"/>
              <w:rPr>
                <w:sz w:val="20"/>
                <w:szCs w:val="20"/>
                <w:color w:val="auto"/>
              </w:rPr>
            </w:pPr>
            <w:r>
              <w:rPr>
                <w:rFonts w:ascii="Arial" w:cs="Arial" w:eastAsia="Arial" w:hAnsi="Arial"/>
                <w:sz w:val="16"/>
                <w:szCs w:val="16"/>
                <w:color w:val="auto"/>
                <w:w w:val="90"/>
              </w:rPr>
              <w:t>Intermediates and Solvents</w:t>
            </w:r>
          </w:p>
        </w:tc>
        <w:tc>
          <w:tcPr>
            <w:tcW w:w="6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r>
      <w:tr>
        <w:trPr>
          <w:trHeight w:val="229"/>
        </w:trPr>
        <w:tc>
          <w:tcPr>
            <w:tcW w:w="29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North America</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7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21</w:t>
            </w:r>
          </w:p>
        </w:tc>
        <w:tc>
          <w:tcPr>
            <w:tcW w:w="60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73</w:t>
            </w:r>
          </w:p>
        </w:tc>
        <w:tc>
          <w:tcPr>
            <w:tcW w:w="880" w:type="dxa"/>
            <w:vAlign w:val="bottom"/>
            <w:gridSpan w:val="2"/>
            <w:shd w:val="clear" w:color="auto" w:fill="CFF0FC"/>
          </w:tcPr>
          <w:p>
            <w:pPr>
              <w:jc w:val="right"/>
              <w:ind w:right="6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59</w:t>
            </w:r>
          </w:p>
        </w:tc>
      </w:tr>
      <w:tr>
        <w:trPr>
          <w:trHeight w:val="220"/>
        </w:trPr>
        <w:tc>
          <w:tcPr>
            <w:tcW w:w="2920" w:type="dxa"/>
            <w:vAlign w:val="bottom"/>
          </w:tcPr>
          <w:p>
            <w:pPr>
              <w:ind w:left="120"/>
              <w:spacing w:after="0"/>
              <w:rPr>
                <w:sz w:val="20"/>
                <w:szCs w:val="20"/>
                <w:color w:val="auto"/>
              </w:rPr>
            </w:pPr>
            <w:r>
              <w:rPr>
                <w:rFonts w:ascii="Arial" w:cs="Arial" w:eastAsia="Arial" w:hAnsi="Arial"/>
                <w:sz w:val="16"/>
                <w:szCs w:val="16"/>
                <w:color w:val="auto"/>
              </w:rPr>
              <w:t>Europe</w:t>
            </w: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239"/>
        </w:trPr>
        <w:tc>
          <w:tcPr>
            <w:tcW w:w="29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Asia Pacific</w:t>
            </w:r>
          </w:p>
        </w:tc>
        <w:tc>
          <w:tcPr>
            <w:tcW w:w="14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w:t>
            </w:r>
          </w:p>
        </w:tc>
        <w:tc>
          <w:tcPr>
            <w:tcW w:w="1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w:t>
            </w:r>
          </w:p>
        </w:tc>
        <w:tc>
          <w:tcPr>
            <w:tcW w:w="1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21</w:t>
            </w: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21</w:t>
            </w:r>
          </w:p>
        </w:tc>
      </w:tr>
      <w:tr>
        <w:trPr>
          <w:trHeight w:val="226"/>
        </w:trPr>
        <w:tc>
          <w:tcPr>
            <w:tcW w:w="2920" w:type="dxa"/>
            <w:vAlign w:val="bottom"/>
          </w:tcPr>
          <w:p>
            <w:pPr>
              <w:ind w:left="120"/>
              <w:spacing w:after="0"/>
              <w:rPr>
                <w:sz w:val="20"/>
                <w:szCs w:val="20"/>
                <w:color w:val="auto"/>
              </w:rPr>
            </w:pPr>
            <w:r>
              <w:rPr>
                <w:rFonts w:ascii="Arial" w:cs="Arial" w:eastAsia="Arial" w:hAnsi="Arial"/>
                <w:sz w:val="16"/>
                <w:szCs w:val="16"/>
                <w:color w:val="auto"/>
              </w:rPr>
              <w:t>Latin America &amp; other</w:t>
            </w:r>
          </w:p>
        </w:tc>
        <w:tc>
          <w:tcPr>
            <w:tcW w:w="1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r>
      <w:tr>
        <w:trPr>
          <w:trHeight w:val="240"/>
        </w:trPr>
        <w:tc>
          <w:tcPr>
            <w:tcW w:w="292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49</w:t>
            </w:r>
          </w:p>
        </w:tc>
        <w:tc>
          <w:tcPr>
            <w:tcW w:w="16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57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37</w:t>
            </w:r>
          </w:p>
        </w:tc>
        <w:tc>
          <w:tcPr>
            <w:tcW w:w="60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118</w:t>
            </w:r>
          </w:p>
        </w:tc>
        <w:tc>
          <w:tcPr>
            <w:tcW w:w="880" w:type="dxa"/>
            <w:vAlign w:val="bottom"/>
            <w:gridSpan w:val="2"/>
            <w:shd w:val="clear" w:color="auto" w:fill="CFF0FC"/>
          </w:tcPr>
          <w:p>
            <w:pPr>
              <w:jc w:val="right"/>
              <w:ind w:right="6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102</w:t>
            </w:r>
          </w:p>
        </w:tc>
      </w:tr>
      <w:tr>
        <w:trPr>
          <w:trHeight w:val="20"/>
        </w:trPr>
        <w:tc>
          <w:tcPr>
            <w:tcW w:w="292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3698240</wp:posOffset>
            </wp:positionH>
            <wp:positionV relativeFrom="paragraph">
              <wp:posOffset>-6128385</wp:posOffset>
            </wp:positionV>
            <wp:extent cx="10287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3698240</wp:posOffset>
            </wp:positionH>
            <wp:positionV relativeFrom="paragraph">
              <wp:posOffset>-6111240</wp:posOffset>
            </wp:positionV>
            <wp:extent cx="10287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4709795</wp:posOffset>
            </wp:positionH>
            <wp:positionV relativeFrom="paragraph">
              <wp:posOffset>-6128385</wp:posOffset>
            </wp:positionV>
            <wp:extent cx="1028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4709795</wp:posOffset>
            </wp:positionH>
            <wp:positionV relativeFrom="paragraph">
              <wp:posOffset>-6111240</wp:posOffset>
            </wp:positionV>
            <wp:extent cx="1028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5695315</wp:posOffset>
            </wp:positionH>
            <wp:positionV relativeFrom="paragraph">
              <wp:posOffset>-6128385</wp:posOffset>
            </wp:positionV>
            <wp:extent cx="939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5695315</wp:posOffset>
            </wp:positionH>
            <wp:positionV relativeFrom="paragraph">
              <wp:posOffset>-6111240</wp:posOffset>
            </wp:positionV>
            <wp:extent cx="939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3698240</wp:posOffset>
            </wp:positionH>
            <wp:positionV relativeFrom="paragraph">
              <wp:posOffset>-4602480</wp:posOffset>
            </wp:positionV>
            <wp:extent cx="10287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3698240</wp:posOffset>
            </wp:positionH>
            <wp:positionV relativeFrom="paragraph">
              <wp:posOffset>-4585335</wp:posOffset>
            </wp:positionV>
            <wp:extent cx="10287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4709795</wp:posOffset>
            </wp:positionH>
            <wp:positionV relativeFrom="paragraph">
              <wp:posOffset>-4602480</wp:posOffset>
            </wp:positionV>
            <wp:extent cx="10287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4709795</wp:posOffset>
            </wp:positionH>
            <wp:positionV relativeFrom="paragraph">
              <wp:posOffset>-4585335</wp:posOffset>
            </wp:positionV>
            <wp:extent cx="10287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5695315</wp:posOffset>
            </wp:positionH>
            <wp:positionV relativeFrom="paragraph">
              <wp:posOffset>-4602480</wp:posOffset>
            </wp:positionV>
            <wp:extent cx="939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5695315</wp:posOffset>
            </wp:positionH>
            <wp:positionV relativeFrom="paragraph">
              <wp:posOffset>-4585335</wp:posOffset>
            </wp:positionV>
            <wp:extent cx="939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3698240</wp:posOffset>
            </wp:positionH>
            <wp:positionV relativeFrom="paragraph">
              <wp:posOffset>-3076575</wp:posOffset>
            </wp:positionV>
            <wp:extent cx="10287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3698240</wp:posOffset>
            </wp:positionH>
            <wp:positionV relativeFrom="paragraph">
              <wp:posOffset>-3059430</wp:posOffset>
            </wp:positionV>
            <wp:extent cx="10287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4709795</wp:posOffset>
            </wp:positionH>
            <wp:positionV relativeFrom="paragraph">
              <wp:posOffset>-3076575</wp:posOffset>
            </wp:positionV>
            <wp:extent cx="10287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4709795</wp:posOffset>
            </wp:positionH>
            <wp:positionV relativeFrom="paragraph">
              <wp:posOffset>-3059430</wp:posOffset>
            </wp:positionV>
            <wp:extent cx="10287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5695315</wp:posOffset>
            </wp:positionH>
            <wp:positionV relativeFrom="paragraph">
              <wp:posOffset>-3076575</wp:posOffset>
            </wp:positionV>
            <wp:extent cx="939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5695315</wp:posOffset>
            </wp:positionH>
            <wp:positionV relativeFrom="paragraph">
              <wp:posOffset>-3059430</wp:posOffset>
            </wp:positionV>
            <wp:extent cx="939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3698240</wp:posOffset>
            </wp:positionH>
            <wp:positionV relativeFrom="paragraph">
              <wp:posOffset>-1550670</wp:posOffset>
            </wp:positionV>
            <wp:extent cx="10287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3698240</wp:posOffset>
            </wp:positionH>
            <wp:positionV relativeFrom="paragraph">
              <wp:posOffset>-1533525</wp:posOffset>
            </wp:positionV>
            <wp:extent cx="10287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4709795</wp:posOffset>
            </wp:positionH>
            <wp:positionV relativeFrom="paragraph">
              <wp:posOffset>-1550670</wp:posOffset>
            </wp:positionV>
            <wp:extent cx="10287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4709795</wp:posOffset>
            </wp:positionH>
            <wp:positionV relativeFrom="paragraph">
              <wp:posOffset>-1533525</wp:posOffset>
            </wp:positionV>
            <wp:extent cx="10287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5695315</wp:posOffset>
            </wp:positionH>
            <wp:positionV relativeFrom="paragraph">
              <wp:posOffset>-1550670</wp:posOffset>
            </wp:positionV>
            <wp:extent cx="939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5695315</wp:posOffset>
            </wp:positionH>
            <wp:positionV relativeFrom="paragraph">
              <wp:posOffset>-1533525</wp:posOffset>
            </wp:positionV>
            <wp:extent cx="939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3698240</wp:posOffset>
            </wp:positionH>
            <wp:positionV relativeFrom="paragraph">
              <wp:posOffset>-25400</wp:posOffset>
            </wp:positionV>
            <wp:extent cx="10287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3698240</wp:posOffset>
            </wp:positionH>
            <wp:positionV relativeFrom="paragraph">
              <wp:posOffset>-8255</wp:posOffset>
            </wp:positionV>
            <wp:extent cx="10287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4709795</wp:posOffset>
            </wp:positionH>
            <wp:positionV relativeFrom="paragraph">
              <wp:posOffset>-25400</wp:posOffset>
            </wp:positionV>
            <wp:extent cx="10287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4709795</wp:posOffset>
            </wp:positionH>
            <wp:positionV relativeFrom="paragraph">
              <wp:posOffset>-8255</wp:posOffset>
            </wp:positionV>
            <wp:extent cx="10287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5695315</wp:posOffset>
            </wp:positionH>
            <wp:positionV relativeFrom="paragraph">
              <wp:posOffset>-25400</wp:posOffset>
            </wp:positionV>
            <wp:extent cx="939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5695315</wp:posOffset>
            </wp:positionH>
            <wp:positionV relativeFrom="paragraph">
              <wp:posOffset>-8255</wp:posOffset>
            </wp:positionV>
            <wp:extent cx="939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ectPr>
          <w:pgSz w:w="11900" w:h="16838" w:orient="portrait"/>
          <w:cols w:equalWidth="0" w:num="1">
            <w:col w:w="10580"/>
          </w:cols>
          <w:pgMar w:left="660" w:top="130" w:right="65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85090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660" w:top="130" w:right="65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20"/>
          <w:szCs w:val="20"/>
          <w:b w:val="1"/>
          <w:bCs w:val="1"/>
          <w:color w:val="auto"/>
        </w:rPr>
        <w:t>NOTE Q – REPORTABLE SEGMENT INFORMATION</w:t>
      </w:r>
    </w:p>
    <w:p>
      <w:pPr>
        <w:spacing w:after="0" w:line="127" w:lineRule="exact"/>
        <w:rPr>
          <w:sz w:val="20"/>
          <w:szCs w:val="20"/>
          <w:color w:val="auto"/>
        </w:rPr>
      </w:pPr>
    </w:p>
    <w:p>
      <w:pPr>
        <w:jc w:val="both"/>
        <w:ind w:left="340"/>
        <w:spacing w:after="0" w:line="275" w:lineRule="auto"/>
        <w:rPr>
          <w:sz w:val="20"/>
          <w:szCs w:val="20"/>
          <w:color w:val="auto"/>
        </w:rPr>
      </w:pPr>
      <w:r>
        <w:rPr>
          <w:rFonts w:ascii="Arial" w:cs="Arial" w:eastAsia="Arial" w:hAnsi="Arial"/>
          <w:sz w:val="19"/>
          <w:szCs w:val="19"/>
          <w:color w:val="auto"/>
        </w:rPr>
        <w:t>Ashland determines its reportable segments based on how operations are managed internally for the products and services sold to customers, including how the results are reviewed by the chief operating decision maker, which includes determining resource allocation methodologies used for reportable segments. Operating income and EBITDA are the primary measures of performance that are reviewed by the chief operating decision maker in assessing each reportable segment's financial performance. Ashland does not aggregate operating segments to arrive at these reportable segments.</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Reportable Segments</w:t>
      </w:r>
    </w:p>
    <w:p>
      <w:pPr>
        <w:spacing w:after="0" w:line="127" w:lineRule="exact"/>
        <w:rPr>
          <w:sz w:val="20"/>
          <w:szCs w:val="20"/>
          <w:color w:val="auto"/>
        </w:rPr>
      </w:pPr>
    </w:p>
    <w:p>
      <w:pPr>
        <w:jc w:val="both"/>
        <w:ind w:left="340" w:right="20"/>
        <w:spacing w:after="0" w:line="377" w:lineRule="auto"/>
        <w:rPr>
          <w:sz w:val="20"/>
          <w:szCs w:val="20"/>
          <w:color w:val="auto"/>
        </w:rPr>
      </w:pPr>
      <w:r>
        <w:rPr>
          <w:rFonts w:ascii="Arial" w:cs="Arial" w:eastAsia="Arial" w:hAnsi="Arial"/>
          <w:sz w:val="16"/>
          <w:szCs w:val="16"/>
          <w:color w:val="auto"/>
        </w:rPr>
        <w:t>Ashland’s reportable segments include Life Sciences, Personal Care &amp; Household, Specialty Additives, Performance Adhesives and Intermediates and Solvents. Unallocated and Other includes corporate governance activities and certain legacy matters. Ashland has also provided subtotals by its consumer and industrial businesses to reflect the end markets served by each reportable segment.</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Reportable segment business descriptions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Consumer Specialties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Consumer Specialties business is comprised of the following reportable segments:</w:t>
      </w:r>
    </w:p>
    <w:p>
      <w:pPr>
        <w:spacing w:after="0" w:line="135" w:lineRule="exact"/>
        <w:rPr>
          <w:sz w:val="20"/>
          <w:szCs w:val="20"/>
          <w:color w:val="auto"/>
        </w:rPr>
      </w:pPr>
    </w:p>
    <w:p>
      <w:pPr>
        <w:jc w:val="both"/>
        <w:ind w:left="340"/>
        <w:spacing w:after="0" w:line="257" w:lineRule="auto"/>
        <w:rPr>
          <w:sz w:val="20"/>
          <w:szCs w:val="20"/>
          <w:color w:val="auto"/>
        </w:rPr>
      </w:pPr>
      <w:r>
        <w:rPr>
          <w:rFonts w:ascii="Arial" w:cs="Arial" w:eastAsia="Arial" w:hAnsi="Arial"/>
          <w:sz w:val="20"/>
          <w:szCs w:val="20"/>
          <w:color w:val="auto"/>
        </w:rPr>
        <w:t>Life Sciences is comprised of pharmaceuticals, nutrition, nutraceuticals, agricultural chemicals, advanced materials and fine chemicals. Pharmaceutical solutions include controlled release polymers, disintegrants, film coatings, solubilizers, and tablet binders. Nutrition solutions include thickeners, stabilizers, emulsifiers and additives for enhancing mouthfeel, controlling moisture migration, reducing oil uptake and controlling color. Nutraceutical solutions include products for weight management, joint comfort, stomach and intestinal health, sports nutrition and general wellness, and providing custom formulation, toll processing and particle engineering solutions. Customers include pharmaceutical, food, beverage, nutraceuticals and supplements manufacturers, hospitals and radiologists and industrial manufacturers.</w:t>
      </w:r>
    </w:p>
    <w:p>
      <w:pPr>
        <w:spacing w:after="0" w:line="85" w:lineRule="exact"/>
        <w:rPr>
          <w:sz w:val="20"/>
          <w:szCs w:val="20"/>
          <w:color w:val="auto"/>
        </w:rPr>
      </w:pPr>
    </w:p>
    <w:p>
      <w:pPr>
        <w:jc w:val="both"/>
        <w:ind w:left="340"/>
        <w:spacing w:after="0" w:line="288" w:lineRule="auto"/>
        <w:rPr>
          <w:sz w:val="20"/>
          <w:szCs w:val="20"/>
          <w:color w:val="auto"/>
        </w:rPr>
      </w:pPr>
      <w:r>
        <w:rPr>
          <w:rFonts w:ascii="Arial" w:cs="Arial" w:eastAsia="Arial" w:hAnsi="Arial"/>
          <w:sz w:val="18"/>
          <w:szCs w:val="18"/>
          <w:color w:val="auto"/>
        </w:rPr>
        <w:t>Personal Care &amp; Household is comprised of biofunctionals, preservatives, skin care, sun care, oral care, hair care and household. These businesses have a broad range of nature-based, biodegradable, and performance-enhancing ingredients for customer-driven solutions to help protect, renew, moisturize and revitalize skin and hair, and provide solutions for toothpastes, mouth washes and rinses, denture cleaning and care for teeth. Household supplies nature-derived rheology ingredients, biodegradable surface wetting agents, performance encapsulates, and specialty polymers for household, industrial and institutional cleaning products. Customers include formulators at large multinational branded consumer products companies and smaller, independent boutique companies. On April 30, 2021, Ashland completed its acquisition of the Schülke personal care business. The business, results and cash flows of Schülke have been integrated within the Personal Care &amp; Household operating segment. See Note B for more information.</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Industrial Specialties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Industrial Specialties business is comprised of the following reportable segments:</w:t>
      </w:r>
    </w:p>
    <w:p>
      <w:pPr>
        <w:spacing w:after="0" w:line="135" w:lineRule="exact"/>
        <w:rPr>
          <w:sz w:val="20"/>
          <w:szCs w:val="20"/>
          <w:color w:val="auto"/>
        </w:rPr>
      </w:pPr>
    </w:p>
    <w:p>
      <w:pPr>
        <w:jc w:val="both"/>
        <w:ind w:left="340"/>
        <w:spacing w:after="0" w:line="270" w:lineRule="auto"/>
        <w:rPr>
          <w:sz w:val="20"/>
          <w:szCs w:val="20"/>
          <w:color w:val="auto"/>
        </w:rPr>
      </w:pPr>
      <w:r>
        <w:rPr>
          <w:rFonts w:ascii="Arial" w:cs="Arial" w:eastAsia="Arial" w:hAnsi="Arial"/>
          <w:sz w:val="19"/>
          <w:szCs w:val="19"/>
          <w:color w:val="auto"/>
        </w:rPr>
        <w:t>Specialty Additives is comprised of rheology- and performance-enhancing additives serving the coatings, construction, energy, automotive and various industrial markets. Solutions include coatings additives for architectural paints, finishes and lacquers, cement- and gypsum- based dry mortars, ready-mixed joint compounds, synthetic plasters for commercial and residential construction, and specialty materials for industrial applications. Products include rheology modifiers (cellulosic and associative thickeners), foam-control agents, surfactants and wetting agents, pH neutralizers, advanced ceramics used in catalytic converters, and environmental filters, ingredients that aid the manufacturing process of ceramic capacitors, plasma display panels and solar cells, ingredients for textile printing, thermoplastic metals and alloys for welding. Products help improve desired functional outcomes through rheology modification and control, water retention, workability, adhesive strength, binding power, film formation, deposition and suspension and emulsification. Customers include global paint manufacturers, electronics and automotive manufacturers, textile mills, the construction industry, and welders.</w:t>
      </w:r>
    </w:p>
    <w:p>
      <w:pPr>
        <w:spacing w:after="0" w:line="8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30" w:right="659" w:bottom="1440" w:gutter="0" w:footer="0" w:header="0"/>
        </w:sectPr>
      </w:pPr>
    </w:p>
    <w:bookmarkStart w:id="31" w:name="page32"/>
    <w:bookmarkEnd w:id="31"/>
    <w:p>
      <w:pPr>
        <w:jc w:val="both"/>
        <w:spacing w:after="0" w:line="257" w:lineRule="auto"/>
        <w:rPr>
          <w:sz w:val="20"/>
          <w:szCs w:val="20"/>
          <w:color w:val="auto"/>
        </w:rPr>
      </w:pPr>
      <w:r>
        <w:rPr>
          <w:rFonts w:ascii="Arial" w:cs="Arial" w:eastAsia="Arial" w:hAnsi="Arial"/>
          <w:sz w:val="20"/>
          <w:szCs w:val="20"/>
          <w:color w:val="auto"/>
        </w:rPr>
        <w:t>Performance Adhesives is comprised of adhesives used in packaging, converting and structural applications. Packaging adhesives has an extensive line of pressure sensitive adhesives, functional coatings and primers combined with innovative technology solutions for narrow-, mid- and wide-web applications. Products meet stringent requirements in food and beverage safety, shipping, transportation, health and beauty, industrial, postage and security printing. Structural adhesives include light weighting vehicles and eliminating VOCs in buildings. Customers include converters of packaging materials, manufacturers of building materials and tier one suppliers to transportation industry.</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w:t>
      </w:r>
    </w:p>
    <w:p>
      <w:pPr>
        <w:spacing w:after="0" w:line="121"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Intermediates and Solvents is comprised of the production of 1,4 butanediol (BDO) and related derivatives, including n-methylpyrrolidone. These products are used as chemical intermediates in the production of engineering polymers and polyurethanes, and as specialty process solvents in a wide array of applications including electronics, pharmaceuticals, water filtration membranes and more. Butanediol is also provided to Life Sciences, Personal Care, and Specialty Additives for use as a raw material.</w:t>
      </w:r>
    </w:p>
    <w:p>
      <w:pPr>
        <w:spacing w:after="0" w:line="52" w:lineRule="exact"/>
        <w:rPr>
          <w:sz w:val="20"/>
          <w:szCs w:val="20"/>
          <w:color w:val="auto"/>
        </w:rPr>
      </w:pPr>
    </w:p>
    <w:p>
      <w:pPr>
        <w:jc w:val="both"/>
        <w:spacing w:after="0" w:line="301" w:lineRule="auto"/>
        <w:rPr>
          <w:sz w:val="20"/>
          <w:szCs w:val="20"/>
          <w:color w:val="auto"/>
        </w:rPr>
      </w:pPr>
      <w:r>
        <w:rPr>
          <w:rFonts w:ascii="Arial" w:cs="Arial" w:eastAsia="Arial" w:hAnsi="Arial"/>
          <w:sz w:val="19"/>
          <w:szCs w:val="19"/>
          <w:color w:val="auto"/>
        </w:rPr>
        <w:t>Unallocated and Other generally includes items such as certain significant company-wide restructuring activities, corporate governance costs and legacy costs or activities that relate to divested businesses that are no longer operated by Ashland.</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Reportable segment results</w:t>
      </w:r>
    </w:p>
    <w:p>
      <w:pPr>
        <w:spacing w:after="0" w:line="14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comparable companies. Ashland allocates all significant costs to its reportable segments except for certain significant company-wide restructuring activities, certain corporate governance costs and other costs or activities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income caption on the Statements of Consolidated Comprehensive Income (Loss). Ashland refines its expense allocation methodologies to the reportable segments from time to time as internal accounting practices are improved, more refined information becomes available and the industry or market changes. Significant revisions to Ashland’s methodologies are adjusted for all segments on a retrospective basis.</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62230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660" w:top="136" w:right="659" w:bottom="1440" w:gutter="0" w:footer="0" w:header="0"/>
        </w:sectPr>
      </w:pPr>
    </w:p>
    <w:bookmarkStart w:id="32" w:name="page33"/>
    <w:bookmarkEnd w:id="32"/>
    <w:p>
      <w:pPr>
        <w:spacing w:after="0" w:line="274" w:lineRule="auto"/>
        <w:rPr>
          <w:sz w:val="20"/>
          <w:szCs w:val="20"/>
          <w:color w:val="auto"/>
        </w:rPr>
      </w:pPr>
      <w:r>
        <w:rPr>
          <w:rFonts w:ascii="Arial" w:cs="Arial" w:eastAsia="Arial" w:hAnsi="Arial"/>
          <w:sz w:val="20"/>
          <w:szCs w:val="20"/>
          <w:color w:val="auto"/>
        </w:rPr>
        <w:t>The following table presents various financial information for each reportable segment for the three and nine months ended June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45720</wp:posOffset>
            </wp:positionV>
            <wp:extent cx="66262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78"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120" w:type="dxa"/>
            <w:vAlign w:val="bottom"/>
            <w:gridSpan w:val="3"/>
          </w:tcPr>
          <w:p>
            <w:pPr>
              <w:jc w:val="right"/>
              <w:ind w:right="170"/>
              <w:spacing w:after="0"/>
              <w:rPr>
                <w:sz w:val="20"/>
                <w:szCs w:val="20"/>
                <w:color w:val="auto"/>
              </w:rPr>
            </w:pPr>
            <w:r>
              <w:rPr>
                <w:rFonts w:ascii="Arial" w:cs="Arial" w:eastAsia="Arial" w:hAnsi="Arial"/>
                <w:sz w:val="18"/>
                <w:szCs w:val="18"/>
                <w:color w:val="auto"/>
              </w:rPr>
              <w:t>Three months ended</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40" w:type="dxa"/>
            <w:vAlign w:val="bottom"/>
            <w:gridSpan w:val="3"/>
          </w:tcPr>
          <w:p>
            <w:pPr>
              <w:jc w:val="right"/>
              <w:ind w:right="150"/>
              <w:spacing w:after="0"/>
              <w:rPr>
                <w:sz w:val="20"/>
                <w:szCs w:val="20"/>
                <w:color w:val="auto"/>
              </w:rPr>
            </w:pPr>
            <w:r>
              <w:rPr>
                <w:rFonts w:ascii="Arial" w:cs="Arial" w:eastAsia="Arial" w:hAnsi="Arial"/>
                <w:sz w:val="18"/>
                <w:szCs w:val="18"/>
                <w:color w:val="auto"/>
              </w:rPr>
              <w:t>Nine months ended</w:t>
            </w:r>
          </w:p>
        </w:tc>
        <w:tc>
          <w:tcPr>
            <w:tcW w:w="760" w:type="dxa"/>
            <w:vAlign w:val="bottom"/>
          </w:tcPr>
          <w:p>
            <w:pPr>
              <w:spacing w:after="0"/>
              <w:rPr>
                <w:sz w:val="20"/>
                <w:szCs w:val="20"/>
                <w:color w:val="auto"/>
              </w:rPr>
            </w:pPr>
          </w:p>
        </w:tc>
      </w:tr>
      <w:tr>
        <w:trPr>
          <w:trHeight w:val="263"/>
        </w:trPr>
        <w:tc>
          <w:tcPr>
            <w:tcW w:w="36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color w:val="auto"/>
              </w:rPr>
              <w:t>June 30</w:t>
            </w:r>
          </w:p>
        </w:tc>
        <w:tc>
          <w:tcPr>
            <w:tcW w:w="76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color w:val="auto"/>
              </w:rPr>
              <w:t>June 30</w:t>
            </w:r>
          </w:p>
        </w:tc>
        <w:tc>
          <w:tcPr>
            <w:tcW w:w="760" w:type="dxa"/>
            <w:vAlign w:val="bottom"/>
            <w:tcBorders>
              <w:bottom w:val="single" w:sz="8" w:color="auto"/>
            </w:tcBorders>
          </w:tcPr>
          <w:p>
            <w:pPr>
              <w:spacing w:after="0"/>
              <w:rPr>
                <w:sz w:val="22"/>
                <w:szCs w:val="22"/>
                <w:color w:val="auto"/>
              </w:rPr>
            </w:pPr>
          </w:p>
        </w:tc>
      </w:tr>
      <w:tr>
        <w:trPr>
          <w:trHeight w:val="250"/>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 - unaudited)</w:t>
            </w:r>
          </w:p>
        </w:tc>
        <w:tc>
          <w:tcPr>
            <w:tcW w:w="5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r>
      <w:tr>
        <w:trPr>
          <w:trHeight w:val="257"/>
        </w:trPr>
        <w:tc>
          <w:tcPr>
            <w:tcW w:w="3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SALES</w:t>
            </w:r>
          </w:p>
        </w:tc>
        <w:tc>
          <w:tcPr>
            <w:tcW w:w="50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r>
      <w:tr>
        <w:trPr>
          <w:trHeight w:val="250"/>
        </w:trPr>
        <w:tc>
          <w:tcPr>
            <w:tcW w:w="3600" w:type="dxa"/>
            <w:vAlign w:val="bottom"/>
          </w:tcPr>
          <w:p>
            <w:pPr>
              <w:ind w:left="260"/>
              <w:spacing w:after="0"/>
              <w:rPr>
                <w:sz w:val="20"/>
                <w:szCs w:val="20"/>
                <w:color w:val="auto"/>
              </w:rPr>
            </w:pPr>
            <w:r>
              <w:rPr>
                <w:rFonts w:ascii="Arial" w:cs="Arial" w:eastAsia="Arial" w:hAnsi="Arial"/>
                <w:sz w:val="18"/>
                <w:szCs w:val="18"/>
                <w:i w:val="1"/>
                <w:iCs w:val="1"/>
                <w:color w:val="auto"/>
              </w:rPr>
              <w:t>Life Sciences</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193</w:t>
            </w:r>
          </w:p>
        </w:tc>
        <w:tc>
          <w:tcPr>
            <w:tcW w:w="102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189</w:t>
            </w:r>
          </w:p>
        </w:tc>
        <w:tc>
          <w:tcPr>
            <w:tcW w:w="64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548</w:t>
            </w:r>
          </w:p>
        </w:tc>
        <w:tc>
          <w:tcPr>
            <w:tcW w:w="96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528</w:t>
            </w:r>
          </w:p>
        </w:tc>
      </w:tr>
      <w:tr>
        <w:trPr>
          <w:trHeight w:val="263"/>
        </w:trPr>
        <w:tc>
          <w:tcPr>
            <w:tcW w:w="36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i w:val="1"/>
                <w:iCs w:val="1"/>
                <w:color w:val="auto"/>
              </w:rPr>
              <w:t>Personal Care &amp; Household</w:t>
            </w:r>
          </w:p>
        </w:tc>
        <w:tc>
          <w:tcPr>
            <w:tcW w:w="50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147</w:t>
            </w:r>
          </w:p>
        </w:tc>
        <w:tc>
          <w:tcPr>
            <w:tcW w:w="18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155</w:t>
            </w:r>
          </w:p>
        </w:tc>
        <w:tc>
          <w:tcPr>
            <w:tcW w:w="16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409</w:t>
            </w:r>
          </w:p>
        </w:tc>
        <w:tc>
          <w:tcPr>
            <w:tcW w:w="16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451</w:t>
            </w:r>
          </w:p>
        </w:tc>
      </w:tr>
      <w:tr>
        <w:trPr>
          <w:trHeight w:val="250"/>
        </w:trPr>
        <w:tc>
          <w:tcPr>
            <w:tcW w:w="3600" w:type="dxa"/>
            <w:vAlign w:val="bottom"/>
          </w:tcPr>
          <w:p>
            <w:pPr>
              <w:ind w:left="260"/>
              <w:spacing w:after="0"/>
              <w:rPr>
                <w:sz w:val="20"/>
                <w:szCs w:val="20"/>
                <w:color w:val="auto"/>
              </w:rPr>
            </w:pPr>
            <w:r>
              <w:rPr>
                <w:rFonts w:ascii="Arial" w:cs="Arial" w:eastAsia="Arial" w:hAnsi="Arial"/>
                <w:sz w:val="18"/>
                <w:szCs w:val="18"/>
                <w:color w:val="auto"/>
              </w:rPr>
              <w:t>Consumer Specialties</w:t>
            </w:r>
          </w:p>
        </w:tc>
        <w:tc>
          <w:tcPr>
            <w:tcW w:w="5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340</w:t>
            </w:r>
          </w:p>
        </w:tc>
        <w:tc>
          <w:tcPr>
            <w:tcW w:w="18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344</w:t>
            </w:r>
          </w:p>
        </w:tc>
        <w:tc>
          <w:tcPr>
            <w:tcW w:w="1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957</w:t>
            </w:r>
          </w:p>
        </w:tc>
        <w:tc>
          <w:tcPr>
            <w:tcW w:w="16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979</w:t>
            </w:r>
          </w:p>
        </w:tc>
      </w:tr>
      <w:tr>
        <w:trPr>
          <w:trHeight w:val="250"/>
        </w:trPr>
        <w:tc>
          <w:tcPr>
            <w:tcW w:w="3600" w:type="dxa"/>
            <w:vAlign w:val="bottom"/>
            <w:shd w:val="clear" w:color="auto" w:fill="CFF0FC"/>
          </w:tcPr>
          <w:p>
            <w:pPr>
              <w:ind w:left="260"/>
              <w:spacing w:after="0"/>
              <w:rPr>
                <w:sz w:val="20"/>
                <w:szCs w:val="20"/>
                <w:color w:val="auto"/>
              </w:rPr>
            </w:pPr>
            <w:r>
              <w:rPr>
                <w:rFonts w:ascii="Arial" w:cs="Arial" w:eastAsia="Arial" w:hAnsi="Arial"/>
                <w:sz w:val="18"/>
                <w:szCs w:val="18"/>
                <w:i w:val="1"/>
                <w:iCs w:val="1"/>
                <w:color w:val="auto"/>
              </w:rPr>
              <w:t>Specialty Additives</w:t>
            </w:r>
          </w:p>
        </w:tc>
        <w:tc>
          <w:tcPr>
            <w:tcW w:w="5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169</w:t>
            </w: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474</w:t>
            </w: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429</w:t>
            </w:r>
          </w:p>
        </w:tc>
      </w:tr>
      <w:tr>
        <w:trPr>
          <w:trHeight w:val="257"/>
        </w:trPr>
        <w:tc>
          <w:tcPr>
            <w:tcW w:w="3600" w:type="dxa"/>
            <w:vAlign w:val="bottom"/>
          </w:tcPr>
          <w:p>
            <w:pPr>
              <w:ind w:left="260"/>
              <w:spacing w:after="0"/>
              <w:rPr>
                <w:sz w:val="20"/>
                <w:szCs w:val="20"/>
                <w:color w:val="auto"/>
              </w:rPr>
            </w:pPr>
            <w:r>
              <w:rPr>
                <w:rFonts w:ascii="Arial" w:cs="Arial" w:eastAsia="Arial" w:hAnsi="Arial"/>
                <w:sz w:val="18"/>
                <w:szCs w:val="18"/>
                <w:i w:val="1"/>
                <w:iCs w:val="1"/>
                <w:color w:val="auto"/>
              </w:rPr>
              <w:t>Performance Adhesives</w:t>
            </w: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267</w:t>
            </w:r>
          </w:p>
        </w:tc>
        <w:tc>
          <w:tcPr>
            <w:tcW w:w="16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229</w:t>
            </w:r>
          </w:p>
        </w:tc>
      </w:tr>
      <w:tr>
        <w:trPr>
          <w:trHeight w:val="250"/>
        </w:trPr>
        <w:tc>
          <w:tcPr>
            <w:tcW w:w="36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Industrial Specialties</w:t>
            </w:r>
          </w:p>
        </w:tc>
        <w:tc>
          <w:tcPr>
            <w:tcW w:w="5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263</w:t>
            </w:r>
          </w:p>
        </w:tc>
        <w:tc>
          <w:tcPr>
            <w:tcW w:w="18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205</w:t>
            </w:r>
          </w:p>
        </w:tc>
        <w:tc>
          <w:tcPr>
            <w:tcW w:w="1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741</w:t>
            </w:r>
          </w:p>
        </w:tc>
        <w:tc>
          <w:tcPr>
            <w:tcW w:w="1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658</w:t>
            </w:r>
          </w:p>
        </w:tc>
      </w:tr>
      <w:tr>
        <w:trPr>
          <w:trHeight w:val="243"/>
        </w:trPr>
        <w:tc>
          <w:tcPr>
            <w:tcW w:w="3600" w:type="dxa"/>
            <w:vAlign w:val="bottom"/>
          </w:tcPr>
          <w:p>
            <w:pPr>
              <w:ind w:left="260"/>
              <w:spacing w:after="0"/>
              <w:rPr>
                <w:sz w:val="20"/>
                <w:szCs w:val="20"/>
                <w:color w:val="auto"/>
              </w:rPr>
            </w:pPr>
            <w:r>
              <w:rPr>
                <w:rFonts w:ascii="Arial" w:cs="Arial" w:eastAsia="Arial" w:hAnsi="Arial"/>
                <w:sz w:val="18"/>
                <w:szCs w:val="18"/>
                <w:i w:val="1"/>
                <w:iCs w:val="1"/>
                <w:color w:val="auto"/>
              </w:rPr>
              <w:t>Intermediates and Solvents</w:t>
            </w:r>
          </w:p>
        </w:tc>
        <w:tc>
          <w:tcPr>
            <w:tcW w:w="5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102</w:t>
            </w:r>
          </w:p>
        </w:tc>
      </w:tr>
      <w:tr>
        <w:trPr>
          <w:trHeight w:val="263"/>
        </w:trPr>
        <w:tc>
          <w:tcPr>
            <w:tcW w:w="3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Intersegment sales </w:t>
            </w:r>
            <w:r>
              <w:rPr>
                <w:rFonts w:ascii="Arial" w:cs="Arial" w:eastAsia="Arial" w:hAnsi="Arial"/>
                <w:sz w:val="14"/>
                <w:szCs w:val="14"/>
                <w:color w:val="auto"/>
              </w:rPr>
              <w:t>(a)</w:t>
            </w:r>
          </w:p>
        </w:tc>
        <w:tc>
          <w:tcPr>
            <w:tcW w:w="50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r>
      <w:tr>
        <w:trPr>
          <w:trHeight w:val="256"/>
        </w:trPr>
        <w:tc>
          <w:tcPr>
            <w:tcW w:w="3600" w:type="dxa"/>
            <w:vAlign w:val="bottom"/>
          </w:tcPr>
          <w:p>
            <w:pPr>
              <w:ind w:left="380"/>
              <w:spacing w:after="0"/>
              <w:rPr>
                <w:sz w:val="20"/>
                <w:szCs w:val="20"/>
                <w:color w:val="auto"/>
              </w:rPr>
            </w:pPr>
            <w:r>
              <w:rPr>
                <w:rFonts w:ascii="Arial" w:cs="Arial" w:eastAsia="Arial" w:hAnsi="Arial"/>
                <w:sz w:val="18"/>
                <w:szCs w:val="18"/>
                <w:color w:val="auto"/>
              </w:rPr>
              <w:t>Intermediates and Solvents</w:t>
            </w: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(15 )</w:t>
            </w:r>
          </w:p>
        </w:tc>
        <w:tc>
          <w:tcPr>
            <w:tcW w:w="18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1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(30 )</w:t>
            </w:r>
          </w:p>
        </w:tc>
        <w:tc>
          <w:tcPr>
            <w:tcW w:w="16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(22 )</w:t>
            </w:r>
          </w:p>
        </w:tc>
      </w:tr>
      <w:tr>
        <w:trPr>
          <w:trHeight w:val="284"/>
        </w:trPr>
        <w:tc>
          <w:tcPr>
            <w:tcW w:w="3600" w:type="dxa"/>
            <w:vAlign w:val="bottom"/>
            <w:shd w:val="clear" w:color="auto" w:fill="CFF0FC"/>
          </w:tcPr>
          <w:p>
            <w:pPr>
              <w:spacing w:after="0"/>
              <w:rPr>
                <w:sz w:val="24"/>
                <w:szCs w:val="24"/>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637</w:t>
            </w:r>
          </w:p>
        </w:tc>
        <w:tc>
          <w:tcPr>
            <w:tcW w:w="1020" w:type="dxa"/>
            <w:vAlign w:val="bottom"/>
            <w:gridSpan w:val="2"/>
            <w:shd w:val="clear" w:color="auto" w:fill="CFF0FC"/>
          </w:tcPr>
          <w:p>
            <w:pPr>
              <w:jc w:val="right"/>
              <w:ind w:right="6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574</w:t>
            </w:r>
          </w:p>
        </w:tc>
        <w:tc>
          <w:tcPr>
            <w:tcW w:w="64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1,786</w:t>
            </w:r>
          </w:p>
        </w:tc>
        <w:tc>
          <w:tcPr>
            <w:tcW w:w="960" w:type="dxa"/>
            <w:vAlign w:val="bottom"/>
            <w:gridSpan w:val="2"/>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1,717</w:t>
            </w:r>
          </w:p>
        </w:tc>
      </w:tr>
      <w:tr>
        <w:trPr>
          <w:trHeight w:val="237"/>
        </w:trPr>
        <w:tc>
          <w:tcPr>
            <w:tcW w:w="360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OPERATING INCOME (LOSS)</w:t>
            </w:r>
          </w:p>
        </w:tc>
        <w:tc>
          <w:tcPr>
            <w:tcW w:w="5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r>
        <w:trPr>
          <w:trHeight w:val="263"/>
        </w:trPr>
        <w:tc>
          <w:tcPr>
            <w:tcW w:w="3600" w:type="dxa"/>
            <w:vAlign w:val="bottom"/>
            <w:shd w:val="clear" w:color="auto" w:fill="CFF0FC"/>
          </w:tcPr>
          <w:p>
            <w:pPr>
              <w:ind w:left="260"/>
              <w:spacing w:after="0"/>
              <w:rPr>
                <w:sz w:val="20"/>
                <w:szCs w:val="20"/>
                <w:color w:val="auto"/>
              </w:rPr>
            </w:pPr>
            <w:r>
              <w:rPr>
                <w:rFonts w:ascii="Arial" w:cs="Arial" w:eastAsia="Arial" w:hAnsi="Arial"/>
                <w:sz w:val="18"/>
                <w:szCs w:val="18"/>
                <w:i w:val="1"/>
                <w:iCs w:val="1"/>
                <w:color w:val="auto"/>
              </w:rPr>
              <w:t>Life Sciences</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w:t>
            </w:r>
          </w:p>
        </w:tc>
        <w:tc>
          <w:tcPr>
            <w:tcW w:w="1020" w:type="dxa"/>
            <w:vAlign w:val="bottom"/>
            <w:gridSpan w:val="2"/>
            <w:shd w:val="clear" w:color="auto" w:fill="CFF0FC"/>
          </w:tcPr>
          <w:p>
            <w:pPr>
              <w:jc w:val="right"/>
              <w:ind w:right="6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40</w:t>
            </w:r>
          </w:p>
        </w:tc>
        <w:tc>
          <w:tcPr>
            <w:tcW w:w="64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101</w:t>
            </w:r>
          </w:p>
        </w:tc>
        <w:tc>
          <w:tcPr>
            <w:tcW w:w="960" w:type="dxa"/>
            <w:vAlign w:val="bottom"/>
            <w:gridSpan w:val="2"/>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97</w:t>
            </w:r>
          </w:p>
        </w:tc>
      </w:tr>
      <w:tr>
        <w:trPr>
          <w:trHeight w:val="257"/>
        </w:trPr>
        <w:tc>
          <w:tcPr>
            <w:tcW w:w="3600" w:type="dxa"/>
            <w:vAlign w:val="bottom"/>
          </w:tcPr>
          <w:p>
            <w:pPr>
              <w:ind w:left="260"/>
              <w:spacing w:after="0"/>
              <w:rPr>
                <w:sz w:val="20"/>
                <w:szCs w:val="20"/>
                <w:color w:val="auto"/>
              </w:rPr>
            </w:pPr>
            <w:r>
              <w:rPr>
                <w:rFonts w:ascii="Arial" w:cs="Arial" w:eastAsia="Arial" w:hAnsi="Arial"/>
                <w:sz w:val="18"/>
                <w:szCs w:val="18"/>
                <w:i w:val="1"/>
                <w:iCs w:val="1"/>
                <w:color w:val="auto"/>
              </w:rPr>
              <w:t>Personal Care &amp; Household</w:t>
            </w: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(309 )</w:t>
            </w:r>
          </w:p>
        </w:tc>
      </w:tr>
      <w:tr>
        <w:trPr>
          <w:trHeight w:val="250"/>
        </w:trPr>
        <w:tc>
          <w:tcPr>
            <w:tcW w:w="36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Consumer Specialties</w:t>
            </w:r>
          </w:p>
        </w:tc>
        <w:tc>
          <w:tcPr>
            <w:tcW w:w="5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w:t>
            </w:r>
          </w:p>
        </w:tc>
        <w:tc>
          <w:tcPr>
            <w:tcW w:w="18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56</w:t>
            </w:r>
          </w:p>
        </w:tc>
        <w:tc>
          <w:tcPr>
            <w:tcW w:w="1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150</w:t>
            </w:r>
          </w:p>
        </w:tc>
        <w:tc>
          <w:tcPr>
            <w:tcW w:w="1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(212 )</w:t>
            </w:r>
          </w:p>
        </w:tc>
      </w:tr>
      <w:tr>
        <w:trPr>
          <w:trHeight w:val="243"/>
        </w:trPr>
        <w:tc>
          <w:tcPr>
            <w:tcW w:w="3600" w:type="dxa"/>
            <w:vAlign w:val="bottom"/>
          </w:tcPr>
          <w:p>
            <w:pPr>
              <w:ind w:left="260"/>
              <w:spacing w:after="0"/>
              <w:rPr>
                <w:sz w:val="20"/>
                <w:szCs w:val="20"/>
                <w:color w:val="auto"/>
              </w:rPr>
            </w:pPr>
            <w:r>
              <w:rPr>
                <w:rFonts w:ascii="Arial" w:cs="Arial" w:eastAsia="Arial" w:hAnsi="Arial"/>
                <w:sz w:val="18"/>
                <w:szCs w:val="18"/>
                <w:i w:val="1"/>
                <w:iCs w:val="1"/>
                <w:color w:val="auto"/>
              </w:rPr>
              <w:t xml:space="preserve">Specialty Additives </w:t>
            </w:r>
            <w:r>
              <w:rPr>
                <w:rFonts w:ascii="Arial" w:cs="Arial" w:eastAsia="Arial" w:hAnsi="Arial"/>
                <w:sz w:val="14"/>
                <w:szCs w:val="14"/>
                <w:color w:val="auto"/>
              </w:rPr>
              <w:t>(b)</w:t>
            </w:r>
          </w:p>
        </w:tc>
        <w:tc>
          <w:tcPr>
            <w:tcW w:w="5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(137 )</w:t>
            </w:r>
          </w:p>
        </w:tc>
      </w:tr>
      <w:tr>
        <w:trPr>
          <w:trHeight w:val="263"/>
        </w:trPr>
        <w:tc>
          <w:tcPr>
            <w:tcW w:w="36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i w:val="1"/>
                <w:iCs w:val="1"/>
                <w:color w:val="auto"/>
              </w:rPr>
              <w:t>Performance Adhesives</w:t>
            </w:r>
          </w:p>
        </w:tc>
        <w:tc>
          <w:tcPr>
            <w:tcW w:w="50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52</w:t>
            </w:r>
          </w:p>
        </w:tc>
        <w:tc>
          <w:tcPr>
            <w:tcW w:w="16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40</w:t>
            </w:r>
          </w:p>
        </w:tc>
      </w:tr>
      <w:tr>
        <w:trPr>
          <w:trHeight w:val="250"/>
        </w:trPr>
        <w:tc>
          <w:tcPr>
            <w:tcW w:w="3600" w:type="dxa"/>
            <w:vAlign w:val="bottom"/>
          </w:tcPr>
          <w:p>
            <w:pPr>
              <w:ind w:left="260"/>
              <w:spacing w:after="0"/>
              <w:rPr>
                <w:sz w:val="20"/>
                <w:szCs w:val="20"/>
                <w:color w:val="auto"/>
              </w:rPr>
            </w:pPr>
            <w:r>
              <w:rPr>
                <w:rFonts w:ascii="Arial" w:cs="Arial" w:eastAsia="Arial" w:hAnsi="Arial"/>
                <w:sz w:val="18"/>
                <w:szCs w:val="18"/>
                <w:color w:val="auto"/>
              </w:rPr>
              <w:t>Industrial Specialties</w:t>
            </w:r>
          </w:p>
        </w:tc>
        <w:tc>
          <w:tcPr>
            <w:tcW w:w="5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(97 )</w:t>
            </w:r>
          </w:p>
        </w:tc>
      </w:tr>
      <w:tr>
        <w:trPr>
          <w:trHeight w:val="250"/>
        </w:trPr>
        <w:tc>
          <w:tcPr>
            <w:tcW w:w="3600" w:type="dxa"/>
            <w:vAlign w:val="bottom"/>
            <w:shd w:val="clear" w:color="auto" w:fill="CFF0FC"/>
          </w:tcPr>
          <w:p>
            <w:pPr>
              <w:ind w:left="260"/>
              <w:spacing w:after="0"/>
              <w:rPr>
                <w:sz w:val="20"/>
                <w:szCs w:val="20"/>
                <w:color w:val="auto"/>
              </w:rPr>
            </w:pPr>
            <w:r>
              <w:rPr>
                <w:rFonts w:ascii="Arial" w:cs="Arial" w:eastAsia="Arial" w:hAnsi="Arial"/>
                <w:sz w:val="18"/>
                <w:szCs w:val="18"/>
                <w:i w:val="1"/>
                <w:iCs w:val="1"/>
                <w:color w:val="auto"/>
              </w:rPr>
              <w:t>Intermediates and Solvents</w:t>
            </w:r>
          </w:p>
        </w:tc>
        <w:tc>
          <w:tcPr>
            <w:tcW w:w="5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(7 )</w:t>
            </w:r>
          </w:p>
        </w:tc>
      </w:tr>
      <w:tr>
        <w:trPr>
          <w:trHeight w:val="256"/>
        </w:trPr>
        <w:tc>
          <w:tcPr>
            <w:tcW w:w="3600" w:type="dxa"/>
            <w:vAlign w:val="bottom"/>
          </w:tcPr>
          <w:p>
            <w:pPr>
              <w:ind w:left="260"/>
              <w:spacing w:after="0"/>
              <w:rPr>
                <w:sz w:val="20"/>
                <w:szCs w:val="20"/>
                <w:color w:val="auto"/>
              </w:rPr>
            </w:pPr>
            <w:r>
              <w:rPr>
                <w:rFonts w:ascii="Arial" w:cs="Arial" w:eastAsia="Arial" w:hAnsi="Arial"/>
                <w:sz w:val="18"/>
                <w:szCs w:val="18"/>
                <w:i w:val="1"/>
                <w:iCs w:val="1"/>
                <w:color w:val="auto"/>
              </w:rPr>
              <w:t>Unallocated and other</w:t>
            </w: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(30 )</w:t>
            </w:r>
          </w:p>
        </w:tc>
        <w:tc>
          <w:tcPr>
            <w:tcW w:w="18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(43 )</w:t>
            </w:r>
          </w:p>
        </w:tc>
        <w:tc>
          <w:tcPr>
            <w:tcW w:w="1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(81 )</w:t>
            </w:r>
          </w:p>
        </w:tc>
        <w:tc>
          <w:tcPr>
            <w:tcW w:w="16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(87 )</w:t>
            </w:r>
          </w:p>
        </w:tc>
      </w:tr>
      <w:tr>
        <w:trPr>
          <w:trHeight w:val="284"/>
        </w:trPr>
        <w:tc>
          <w:tcPr>
            <w:tcW w:w="3600" w:type="dxa"/>
            <w:vAlign w:val="bottom"/>
            <w:shd w:val="clear" w:color="auto" w:fill="CFF0FC"/>
          </w:tcPr>
          <w:p>
            <w:pPr>
              <w:spacing w:after="0"/>
              <w:rPr>
                <w:sz w:val="24"/>
                <w:szCs w:val="24"/>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62</w:t>
            </w:r>
          </w:p>
        </w:tc>
        <w:tc>
          <w:tcPr>
            <w:tcW w:w="1020" w:type="dxa"/>
            <w:vAlign w:val="bottom"/>
            <w:gridSpan w:val="2"/>
            <w:shd w:val="clear" w:color="auto" w:fill="CFF0FC"/>
          </w:tcPr>
          <w:p>
            <w:pPr>
              <w:jc w:val="right"/>
              <w:ind w:right="6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48</w:t>
            </w:r>
          </w:p>
        </w:tc>
        <w:tc>
          <w:tcPr>
            <w:tcW w:w="64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174</w:t>
            </w:r>
          </w:p>
        </w:tc>
        <w:tc>
          <w:tcPr>
            <w:tcW w:w="960" w:type="dxa"/>
            <w:vAlign w:val="bottom"/>
            <w:gridSpan w:val="2"/>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(403 )</w:t>
            </w:r>
          </w:p>
        </w:tc>
      </w:tr>
      <w:tr>
        <w:trPr>
          <w:trHeight w:val="237"/>
        </w:trPr>
        <w:tc>
          <w:tcPr>
            <w:tcW w:w="360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DEPRECIATION EXPENSE</w:t>
            </w:r>
          </w:p>
        </w:tc>
        <w:tc>
          <w:tcPr>
            <w:tcW w:w="5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r>
        <w:trPr>
          <w:trHeight w:val="263"/>
        </w:trPr>
        <w:tc>
          <w:tcPr>
            <w:tcW w:w="3600" w:type="dxa"/>
            <w:vAlign w:val="bottom"/>
            <w:shd w:val="clear" w:color="auto" w:fill="CFF0FC"/>
          </w:tcPr>
          <w:p>
            <w:pPr>
              <w:ind w:left="260"/>
              <w:spacing w:after="0"/>
              <w:rPr>
                <w:sz w:val="20"/>
                <w:szCs w:val="20"/>
                <w:color w:val="auto"/>
              </w:rPr>
            </w:pPr>
            <w:r>
              <w:rPr>
                <w:rFonts w:ascii="Arial" w:cs="Arial" w:eastAsia="Arial" w:hAnsi="Arial"/>
                <w:sz w:val="18"/>
                <w:szCs w:val="18"/>
                <w:i w:val="1"/>
                <w:iCs w:val="1"/>
                <w:color w:val="auto"/>
              </w:rPr>
              <w:t>Life Sciences</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1020" w:type="dxa"/>
            <w:vAlign w:val="bottom"/>
            <w:gridSpan w:val="2"/>
            <w:shd w:val="clear" w:color="auto" w:fill="CFF0FC"/>
          </w:tcPr>
          <w:p>
            <w:pPr>
              <w:jc w:val="right"/>
              <w:ind w:right="6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w:t>
            </w:r>
          </w:p>
        </w:tc>
        <w:tc>
          <w:tcPr>
            <w:tcW w:w="64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w:t>
            </w:r>
          </w:p>
        </w:tc>
        <w:tc>
          <w:tcPr>
            <w:tcW w:w="960" w:type="dxa"/>
            <w:vAlign w:val="bottom"/>
            <w:gridSpan w:val="2"/>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24</w:t>
            </w:r>
          </w:p>
        </w:tc>
      </w:tr>
      <w:tr>
        <w:trPr>
          <w:trHeight w:val="256"/>
        </w:trPr>
        <w:tc>
          <w:tcPr>
            <w:tcW w:w="3600" w:type="dxa"/>
            <w:vAlign w:val="bottom"/>
          </w:tcPr>
          <w:p>
            <w:pPr>
              <w:ind w:left="260"/>
              <w:spacing w:after="0"/>
              <w:rPr>
                <w:sz w:val="20"/>
                <w:szCs w:val="20"/>
                <w:color w:val="auto"/>
              </w:rPr>
            </w:pPr>
            <w:r>
              <w:rPr>
                <w:rFonts w:ascii="Arial" w:cs="Arial" w:eastAsia="Arial" w:hAnsi="Arial"/>
                <w:sz w:val="18"/>
                <w:szCs w:val="18"/>
                <w:i w:val="1"/>
                <w:iCs w:val="1"/>
                <w:color w:val="auto"/>
              </w:rPr>
              <w:t>Personal Care &amp; Household</w:t>
            </w: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w:t>
            </w:r>
          </w:p>
        </w:tc>
      </w:tr>
      <w:tr>
        <w:trPr>
          <w:trHeight w:val="250"/>
        </w:trPr>
        <w:tc>
          <w:tcPr>
            <w:tcW w:w="36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Consumer Specialties</w:t>
            </w:r>
          </w:p>
        </w:tc>
        <w:tc>
          <w:tcPr>
            <w:tcW w:w="5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55</w:t>
            </w:r>
          </w:p>
        </w:tc>
        <w:tc>
          <w:tcPr>
            <w:tcW w:w="1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54</w:t>
            </w:r>
          </w:p>
        </w:tc>
      </w:tr>
      <w:tr>
        <w:trPr>
          <w:trHeight w:val="243"/>
        </w:trPr>
        <w:tc>
          <w:tcPr>
            <w:tcW w:w="3600" w:type="dxa"/>
            <w:vAlign w:val="bottom"/>
          </w:tcPr>
          <w:p>
            <w:pPr>
              <w:ind w:left="260"/>
              <w:spacing w:after="0"/>
              <w:rPr>
                <w:sz w:val="20"/>
                <w:szCs w:val="20"/>
                <w:color w:val="auto"/>
              </w:rPr>
            </w:pPr>
            <w:r>
              <w:rPr>
                <w:rFonts w:ascii="Arial" w:cs="Arial" w:eastAsia="Arial" w:hAnsi="Arial"/>
                <w:sz w:val="18"/>
                <w:szCs w:val="18"/>
                <w:i w:val="1"/>
                <w:iCs w:val="1"/>
                <w:color w:val="auto"/>
              </w:rPr>
              <w:t>Specialty Additives</w:t>
            </w:r>
          </w:p>
        </w:tc>
        <w:tc>
          <w:tcPr>
            <w:tcW w:w="5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63"/>
        </w:trPr>
        <w:tc>
          <w:tcPr>
            <w:tcW w:w="36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i w:val="1"/>
                <w:iCs w:val="1"/>
                <w:color w:val="auto"/>
              </w:rPr>
              <w:t>Performance Adhesives</w:t>
            </w:r>
          </w:p>
        </w:tc>
        <w:tc>
          <w:tcPr>
            <w:tcW w:w="50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w:t>
            </w:r>
          </w:p>
        </w:tc>
      </w:tr>
      <w:tr>
        <w:trPr>
          <w:trHeight w:val="250"/>
        </w:trPr>
        <w:tc>
          <w:tcPr>
            <w:tcW w:w="3600" w:type="dxa"/>
            <w:vAlign w:val="bottom"/>
          </w:tcPr>
          <w:p>
            <w:pPr>
              <w:ind w:left="260"/>
              <w:spacing w:after="0"/>
              <w:rPr>
                <w:sz w:val="20"/>
                <w:szCs w:val="20"/>
                <w:color w:val="auto"/>
              </w:rPr>
            </w:pPr>
            <w:r>
              <w:rPr>
                <w:rFonts w:ascii="Arial" w:cs="Arial" w:eastAsia="Arial" w:hAnsi="Arial"/>
                <w:sz w:val="18"/>
                <w:szCs w:val="18"/>
                <w:color w:val="auto"/>
              </w:rPr>
              <w:t>Industrial Specialties</w:t>
            </w:r>
          </w:p>
        </w:tc>
        <w:tc>
          <w:tcPr>
            <w:tcW w:w="5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w:t>
            </w:r>
          </w:p>
        </w:tc>
      </w:tr>
      <w:tr>
        <w:trPr>
          <w:trHeight w:val="250"/>
        </w:trPr>
        <w:tc>
          <w:tcPr>
            <w:tcW w:w="36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i w:val="1"/>
                <w:iCs w:val="1"/>
                <w:color w:val="auto"/>
              </w:rPr>
              <w:t>Intermediates and Solvents</w:t>
            </w:r>
          </w:p>
        </w:tc>
        <w:tc>
          <w:tcPr>
            <w:tcW w:w="5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360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02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41</w:t>
            </w:r>
          </w:p>
        </w:tc>
        <w:tc>
          <w:tcPr>
            <w:tcW w:w="64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96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120</w:t>
            </w:r>
          </w:p>
        </w:tc>
      </w:tr>
      <w:tr>
        <w:trPr>
          <w:trHeight w:val="20"/>
        </w:trPr>
        <w:tc>
          <w:tcPr>
            <w:tcW w:w="3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243"/>
        </w:trPr>
        <w:tc>
          <w:tcPr>
            <w:tcW w:w="3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AMORTIZATION EXPENSE</w:t>
            </w:r>
          </w:p>
        </w:tc>
        <w:tc>
          <w:tcPr>
            <w:tcW w:w="5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r>
      <w:tr>
        <w:trPr>
          <w:trHeight w:val="250"/>
        </w:trPr>
        <w:tc>
          <w:tcPr>
            <w:tcW w:w="3600" w:type="dxa"/>
            <w:vAlign w:val="bottom"/>
          </w:tcPr>
          <w:p>
            <w:pPr>
              <w:ind w:left="260"/>
              <w:spacing w:after="0"/>
              <w:rPr>
                <w:sz w:val="20"/>
                <w:szCs w:val="20"/>
                <w:color w:val="auto"/>
              </w:rPr>
            </w:pPr>
            <w:r>
              <w:rPr>
                <w:rFonts w:ascii="Arial" w:cs="Arial" w:eastAsia="Arial" w:hAnsi="Arial"/>
                <w:sz w:val="18"/>
                <w:szCs w:val="18"/>
                <w:i w:val="1"/>
                <w:iCs w:val="1"/>
                <w:color w:val="auto"/>
              </w:rPr>
              <w:t>Life Sciences</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2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64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96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63"/>
        </w:trPr>
        <w:tc>
          <w:tcPr>
            <w:tcW w:w="36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i w:val="1"/>
                <w:iCs w:val="1"/>
                <w:color w:val="auto"/>
              </w:rPr>
              <w:t>Personal Care &amp; Household</w:t>
            </w:r>
          </w:p>
        </w:tc>
        <w:tc>
          <w:tcPr>
            <w:tcW w:w="50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27</w:t>
            </w:r>
          </w:p>
        </w:tc>
      </w:tr>
      <w:tr>
        <w:trPr>
          <w:trHeight w:val="250"/>
        </w:trPr>
        <w:tc>
          <w:tcPr>
            <w:tcW w:w="3600" w:type="dxa"/>
            <w:vAlign w:val="bottom"/>
          </w:tcPr>
          <w:p>
            <w:pPr>
              <w:ind w:left="260"/>
              <w:spacing w:after="0"/>
              <w:rPr>
                <w:sz w:val="20"/>
                <w:szCs w:val="20"/>
                <w:color w:val="auto"/>
              </w:rPr>
            </w:pPr>
            <w:r>
              <w:rPr>
                <w:rFonts w:ascii="Arial" w:cs="Arial" w:eastAsia="Arial" w:hAnsi="Arial"/>
                <w:sz w:val="18"/>
                <w:szCs w:val="18"/>
                <w:color w:val="auto"/>
              </w:rPr>
              <w:t>Consumer Specialties</w:t>
            </w:r>
          </w:p>
        </w:tc>
        <w:tc>
          <w:tcPr>
            <w:tcW w:w="5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w:t>
            </w:r>
          </w:p>
        </w:tc>
      </w:tr>
      <w:tr>
        <w:trPr>
          <w:trHeight w:val="250"/>
        </w:trPr>
        <w:tc>
          <w:tcPr>
            <w:tcW w:w="3600" w:type="dxa"/>
            <w:vAlign w:val="bottom"/>
            <w:shd w:val="clear" w:color="auto" w:fill="CFF0FC"/>
          </w:tcPr>
          <w:p>
            <w:pPr>
              <w:ind w:left="260"/>
              <w:spacing w:after="0"/>
              <w:rPr>
                <w:sz w:val="20"/>
                <w:szCs w:val="20"/>
                <w:color w:val="auto"/>
              </w:rPr>
            </w:pPr>
            <w:r>
              <w:rPr>
                <w:rFonts w:ascii="Arial" w:cs="Arial" w:eastAsia="Arial" w:hAnsi="Arial"/>
                <w:sz w:val="18"/>
                <w:szCs w:val="18"/>
                <w:i w:val="1"/>
                <w:iCs w:val="1"/>
                <w:color w:val="auto"/>
              </w:rPr>
              <w:t>Specialty Additives</w:t>
            </w:r>
          </w:p>
        </w:tc>
        <w:tc>
          <w:tcPr>
            <w:tcW w:w="5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w:t>
            </w:r>
          </w:p>
        </w:tc>
      </w:tr>
      <w:tr>
        <w:trPr>
          <w:trHeight w:val="257"/>
        </w:trPr>
        <w:tc>
          <w:tcPr>
            <w:tcW w:w="3600" w:type="dxa"/>
            <w:vAlign w:val="bottom"/>
          </w:tcPr>
          <w:p>
            <w:pPr>
              <w:ind w:left="260"/>
              <w:spacing w:after="0"/>
              <w:rPr>
                <w:sz w:val="20"/>
                <w:szCs w:val="20"/>
                <w:color w:val="auto"/>
              </w:rPr>
            </w:pPr>
            <w:r>
              <w:rPr>
                <w:rFonts w:ascii="Arial" w:cs="Arial" w:eastAsia="Arial" w:hAnsi="Arial"/>
                <w:sz w:val="18"/>
                <w:szCs w:val="18"/>
                <w:i w:val="1"/>
                <w:iCs w:val="1"/>
                <w:color w:val="auto"/>
              </w:rPr>
              <w:t>Performance Adhesives</w:t>
            </w: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r>
      <w:tr>
        <w:trPr>
          <w:trHeight w:val="250"/>
        </w:trPr>
        <w:tc>
          <w:tcPr>
            <w:tcW w:w="36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Industrial Specialties</w:t>
            </w:r>
          </w:p>
        </w:tc>
        <w:tc>
          <w:tcPr>
            <w:tcW w:w="5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w:t>
            </w:r>
          </w:p>
        </w:tc>
      </w:tr>
      <w:tr>
        <w:trPr>
          <w:trHeight w:val="250"/>
        </w:trPr>
        <w:tc>
          <w:tcPr>
            <w:tcW w:w="3600" w:type="dxa"/>
            <w:vAlign w:val="bottom"/>
          </w:tcPr>
          <w:p>
            <w:pPr>
              <w:ind w:left="260"/>
              <w:spacing w:after="0"/>
              <w:rPr>
                <w:sz w:val="20"/>
                <w:szCs w:val="20"/>
                <w:color w:val="auto"/>
              </w:rPr>
            </w:pPr>
            <w:r>
              <w:rPr>
                <w:rFonts w:ascii="Arial" w:cs="Arial" w:eastAsia="Arial" w:hAnsi="Arial"/>
                <w:sz w:val="18"/>
                <w:szCs w:val="18"/>
                <w:i w:val="1"/>
                <w:iCs w:val="1"/>
                <w:color w:val="auto"/>
              </w:rPr>
              <w:t>Intermediates and Solvents</w:t>
            </w:r>
          </w:p>
        </w:tc>
        <w:tc>
          <w:tcPr>
            <w:tcW w:w="5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83"/>
        </w:trPr>
        <w:tc>
          <w:tcPr>
            <w:tcW w:w="3600" w:type="dxa"/>
            <w:vAlign w:val="bottom"/>
            <w:shd w:val="clear" w:color="auto" w:fill="CFF0FC"/>
          </w:tcPr>
          <w:p>
            <w:pPr>
              <w:spacing w:after="0"/>
              <w:rPr>
                <w:sz w:val="24"/>
                <w:szCs w:val="24"/>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w:t>
            </w:r>
          </w:p>
        </w:tc>
        <w:tc>
          <w:tcPr>
            <w:tcW w:w="1020" w:type="dxa"/>
            <w:vAlign w:val="bottom"/>
            <w:gridSpan w:val="2"/>
            <w:shd w:val="clear" w:color="auto" w:fill="CFF0FC"/>
          </w:tcPr>
          <w:p>
            <w:pPr>
              <w:jc w:val="right"/>
              <w:ind w:right="6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w:t>
            </w:r>
          </w:p>
        </w:tc>
        <w:tc>
          <w:tcPr>
            <w:tcW w:w="64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66</w:t>
            </w:r>
          </w:p>
        </w:tc>
        <w:tc>
          <w:tcPr>
            <w:tcW w:w="960" w:type="dxa"/>
            <w:vAlign w:val="bottom"/>
            <w:gridSpan w:val="2"/>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63</w:t>
            </w:r>
          </w:p>
        </w:tc>
      </w:tr>
      <w:tr>
        <w:trPr>
          <w:trHeight w:val="237"/>
        </w:trPr>
        <w:tc>
          <w:tcPr>
            <w:tcW w:w="360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4"/>
                <w:szCs w:val="14"/>
                <w:color w:val="auto"/>
              </w:rPr>
              <w:t>(c)</w:t>
            </w:r>
          </w:p>
        </w:tc>
        <w:tc>
          <w:tcPr>
            <w:tcW w:w="5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r>
        <w:trPr>
          <w:trHeight w:val="263"/>
        </w:trPr>
        <w:tc>
          <w:tcPr>
            <w:tcW w:w="3600" w:type="dxa"/>
            <w:vAlign w:val="bottom"/>
            <w:shd w:val="clear" w:color="auto" w:fill="CFF0FC"/>
          </w:tcPr>
          <w:p>
            <w:pPr>
              <w:ind w:left="260"/>
              <w:spacing w:after="0"/>
              <w:rPr>
                <w:sz w:val="20"/>
                <w:szCs w:val="20"/>
                <w:color w:val="auto"/>
              </w:rPr>
            </w:pPr>
            <w:r>
              <w:rPr>
                <w:rFonts w:ascii="Arial" w:cs="Arial" w:eastAsia="Arial" w:hAnsi="Arial"/>
                <w:sz w:val="18"/>
                <w:szCs w:val="18"/>
                <w:i w:val="1"/>
                <w:iCs w:val="1"/>
                <w:color w:val="auto"/>
              </w:rPr>
              <w:t>Life Sciences</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w:t>
            </w:r>
          </w:p>
        </w:tc>
        <w:tc>
          <w:tcPr>
            <w:tcW w:w="1020" w:type="dxa"/>
            <w:vAlign w:val="bottom"/>
            <w:gridSpan w:val="2"/>
            <w:shd w:val="clear" w:color="auto" w:fill="CFF0FC"/>
          </w:tcPr>
          <w:p>
            <w:pPr>
              <w:jc w:val="right"/>
              <w:ind w:right="6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55</w:t>
            </w:r>
          </w:p>
        </w:tc>
        <w:tc>
          <w:tcPr>
            <w:tcW w:w="64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148</w:t>
            </w:r>
          </w:p>
        </w:tc>
        <w:tc>
          <w:tcPr>
            <w:tcW w:w="960" w:type="dxa"/>
            <w:vAlign w:val="bottom"/>
            <w:gridSpan w:val="2"/>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142</w:t>
            </w:r>
          </w:p>
        </w:tc>
      </w:tr>
      <w:tr>
        <w:trPr>
          <w:trHeight w:val="256"/>
        </w:trPr>
        <w:tc>
          <w:tcPr>
            <w:tcW w:w="3600" w:type="dxa"/>
            <w:vAlign w:val="bottom"/>
          </w:tcPr>
          <w:p>
            <w:pPr>
              <w:ind w:left="260"/>
              <w:spacing w:after="0"/>
              <w:rPr>
                <w:sz w:val="20"/>
                <w:szCs w:val="20"/>
                <w:color w:val="auto"/>
              </w:rPr>
            </w:pPr>
            <w:r>
              <w:rPr>
                <w:rFonts w:ascii="Arial" w:cs="Arial" w:eastAsia="Arial" w:hAnsi="Arial"/>
                <w:sz w:val="18"/>
                <w:szCs w:val="18"/>
                <w:i w:val="1"/>
                <w:iCs w:val="1"/>
                <w:color w:val="auto"/>
              </w:rPr>
              <w:t>Personal Care &amp; Household</w:t>
            </w: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(252 )</w:t>
            </w:r>
          </w:p>
        </w:tc>
      </w:tr>
      <w:tr>
        <w:trPr>
          <w:trHeight w:val="250"/>
        </w:trPr>
        <w:tc>
          <w:tcPr>
            <w:tcW w:w="36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Consumer Specialties</w:t>
            </w:r>
          </w:p>
        </w:tc>
        <w:tc>
          <w:tcPr>
            <w:tcW w:w="5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90</w:t>
            </w:r>
          </w:p>
        </w:tc>
        <w:tc>
          <w:tcPr>
            <w:tcW w:w="18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90</w:t>
            </w:r>
          </w:p>
        </w:tc>
        <w:tc>
          <w:tcPr>
            <w:tcW w:w="1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256</w:t>
            </w:r>
          </w:p>
        </w:tc>
        <w:tc>
          <w:tcPr>
            <w:tcW w:w="1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(110 )</w:t>
            </w:r>
          </w:p>
        </w:tc>
      </w:tr>
      <w:tr>
        <w:trPr>
          <w:trHeight w:val="243"/>
        </w:trPr>
        <w:tc>
          <w:tcPr>
            <w:tcW w:w="3600" w:type="dxa"/>
            <w:vAlign w:val="bottom"/>
          </w:tcPr>
          <w:p>
            <w:pPr>
              <w:ind w:left="260"/>
              <w:spacing w:after="0"/>
              <w:rPr>
                <w:sz w:val="20"/>
                <w:szCs w:val="20"/>
                <w:color w:val="auto"/>
              </w:rPr>
            </w:pPr>
            <w:r>
              <w:rPr>
                <w:rFonts w:ascii="Arial" w:cs="Arial" w:eastAsia="Arial" w:hAnsi="Arial"/>
                <w:sz w:val="18"/>
                <w:szCs w:val="18"/>
                <w:i w:val="1"/>
                <w:iCs w:val="1"/>
                <w:color w:val="auto"/>
              </w:rPr>
              <w:t>Specialty Additives</w:t>
            </w:r>
          </w:p>
        </w:tc>
        <w:tc>
          <w:tcPr>
            <w:tcW w:w="5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(77 )</w:t>
            </w:r>
          </w:p>
        </w:tc>
      </w:tr>
      <w:tr>
        <w:trPr>
          <w:trHeight w:val="263"/>
        </w:trPr>
        <w:tc>
          <w:tcPr>
            <w:tcW w:w="36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i w:val="1"/>
                <w:iCs w:val="1"/>
                <w:color w:val="auto"/>
              </w:rPr>
              <w:t>Performance Adhesives</w:t>
            </w:r>
          </w:p>
        </w:tc>
        <w:tc>
          <w:tcPr>
            <w:tcW w:w="50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w:t>
            </w:r>
          </w:p>
        </w:tc>
        <w:tc>
          <w:tcPr>
            <w:tcW w:w="16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51</w:t>
            </w:r>
          </w:p>
        </w:tc>
      </w:tr>
      <w:tr>
        <w:trPr>
          <w:trHeight w:val="250"/>
        </w:trPr>
        <w:tc>
          <w:tcPr>
            <w:tcW w:w="3600" w:type="dxa"/>
            <w:vAlign w:val="bottom"/>
          </w:tcPr>
          <w:p>
            <w:pPr>
              <w:ind w:left="260"/>
              <w:spacing w:after="0"/>
              <w:rPr>
                <w:sz w:val="20"/>
                <w:szCs w:val="20"/>
                <w:color w:val="auto"/>
              </w:rPr>
            </w:pPr>
            <w:r>
              <w:rPr>
                <w:rFonts w:ascii="Arial" w:cs="Arial" w:eastAsia="Arial" w:hAnsi="Arial"/>
                <w:sz w:val="18"/>
                <w:szCs w:val="18"/>
                <w:color w:val="auto"/>
              </w:rPr>
              <w:t>Industrial Specialties</w:t>
            </w:r>
          </w:p>
        </w:tc>
        <w:tc>
          <w:tcPr>
            <w:tcW w:w="5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(26 )</w:t>
            </w:r>
          </w:p>
        </w:tc>
      </w:tr>
      <w:tr>
        <w:trPr>
          <w:trHeight w:val="250"/>
        </w:trPr>
        <w:tc>
          <w:tcPr>
            <w:tcW w:w="3600" w:type="dxa"/>
            <w:vAlign w:val="bottom"/>
            <w:shd w:val="clear" w:color="auto" w:fill="CFF0FC"/>
          </w:tcPr>
          <w:p>
            <w:pPr>
              <w:ind w:left="260"/>
              <w:spacing w:after="0"/>
              <w:rPr>
                <w:sz w:val="20"/>
                <w:szCs w:val="20"/>
                <w:color w:val="auto"/>
              </w:rPr>
            </w:pPr>
            <w:r>
              <w:rPr>
                <w:rFonts w:ascii="Arial" w:cs="Arial" w:eastAsia="Arial" w:hAnsi="Arial"/>
                <w:sz w:val="18"/>
                <w:szCs w:val="18"/>
                <w:i w:val="1"/>
                <w:iCs w:val="1"/>
                <w:color w:val="auto"/>
              </w:rPr>
              <w:t>Intermediates and Solvents</w:t>
            </w:r>
          </w:p>
        </w:tc>
        <w:tc>
          <w:tcPr>
            <w:tcW w:w="5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r>
      <w:tr>
        <w:trPr>
          <w:trHeight w:val="256"/>
        </w:trPr>
        <w:tc>
          <w:tcPr>
            <w:tcW w:w="3600" w:type="dxa"/>
            <w:vAlign w:val="bottom"/>
          </w:tcPr>
          <w:p>
            <w:pPr>
              <w:ind w:left="260"/>
              <w:spacing w:after="0"/>
              <w:rPr>
                <w:sz w:val="20"/>
                <w:szCs w:val="20"/>
                <w:color w:val="auto"/>
              </w:rPr>
            </w:pPr>
            <w:r>
              <w:rPr>
                <w:rFonts w:ascii="Arial" w:cs="Arial" w:eastAsia="Arial" w:hAnsi="Arial"/>
                <w:sz w:val="18"/>
                <w:szCs w:val="18"/>
                <w:i w:val="1"/>
                <w:iCs w:val="1"/>
                <w:color w:val="auto"/>
              </w:rPr>
              <w:t>Unallocated and other</w:t>
            </w: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(30 )</w:t>
            </w:r>
          </w:p>
        </w:tc>
        <w:tc>
          <w:tcPr>
            <w:tcW w:w="18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(43 )</w:t>
            </w:r>
          </w:p>
        </w:tc>
        <w:tc>
          <w:tcPr>
            <w:tcW w:w="1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(81 )</w:t>
            </w:r>
          </w:p>
        </w:tc>
        <w:tc>
          <w:tcPr>
            <w:tcW w:w="16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(87 )</w:t>
            </w:r>
          </w:p>
        </w:tc>
      </w:tr>
      <w:tr>
        <w:trPr>
          <w:trHeight w:val="283"/>
        </w:trPr>
        <w:tc>
          <w:tcPr>
            <w:tcW w:w="360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127</w:t>
            </w:r>
          </w:p>
        </w:tc>
        <w:tc>
          <w:tcPr>
            <w:tcW w:w="1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110</w:t>
            </w:r>
          </w:p>
        </w:tc>
        <w:tc>
          <w:tcPr>
            <w:tcW w:w="16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363</w:t>
            </w:r>
          </w:p>
        </w:tc>
        <w:tc>
          <w:tcPr>
            <w:tcW w:w="1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3355340</wp:posOffset>
            </wp:positionH>
            <wp:positionV relativeFrom="paragraph">
              <wp:posOffset>-7831455</wp:posOffset>
            </wp:positionV>
            <wp:extent cx="111125"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4478020</wp:posOffset>
            </wp:positionH>
            <wp:positionV relativeFrom="paragraph">
              <wp:posOffset>-7831455</wp:posOffset>
            </wp:positionV>
            <wp:extent cx="102870" cy="57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5575300</wp:posOffset>
            </wp:positionH>
            <wp:positionV relativeFrom="paragraph">
              <wp:posOffset>-7831455</wp:posOffset>
            </wp:positionV>
            <wp:extent cx="102870"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-7154545</wp:posOffset>
            </wp:positionV>
            <wp:extent cx="111125"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4478020</wp:posOffset>
            </wp:positionH>
            <wp:positionV relativeFrom="paragraph">
              <wp:posOffset>-7154545</wp:posOffset>
            </wp:positionV>
            <wp:extent cx="102870"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5575300</wp:posOffset>
            </wp:positionH>
            <wp:positionV relativeFrom="paragraph">
              <wp:posOffset>-7154545</wp:posOffset>
            </wp:positionV>
            <wp:extent cx="102870"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-6488430</wp:posOffset>
            </wp:positionV>
            <wp:extent cx="11112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-6471285</wp:posOffset>
            </wp:positionV>
            <wp:extent cx="1111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4478020</wp:posOffset>
            </wp:positionH>
            <wp:positionV relativeFrom="paragraph">
              <wp:posOffset>-6488430</wp:posOffset>
            </wp:positionV>
            <wp:extent cx="10287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4478020</wp:posOffset>
            </wp:positionH>
            <wp:positionV relativeFrom="paragraph">
              <wp:posOffset>-6471285</wp:posOffset>
            </wp:positionV>
            <wp:extent cx="10287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5575300</wp:posOffset>
            </wp:positionH>
            <wp:positionV relativeFrom="paragraph">
              <wp:posOffset>-6488430</wp:posOffset>
            </wp:positionV>
            <wp:extent cx="10287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5575300</wp:posOffset>
            </wp:positionH>
            <wp:positionV relativeFrom="paragraph">
              <wp:posOffset>-6471285</wp:posOffset>
            </wp:positionV>
            <wp:extent cx="10287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-5800090</wp:posOffset>
            </wp:positionV>
            <wp:extent cx="111125"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4478020</wp:posOffset>
            </wp:positionH>
            <wp:positionV relativeFrom="paragraph">
              <wp:posOffset>-5800090</wp:posOffset>
            </wp:positionV>
            <wp:extent cx="102870" cy="57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5575300</wp:posOffset>
            </wp:positionH>
            <wp:positionV relativeFrom="paragraph">
              <wp:posOffset>-5800090</wp:posOffset>
            </wp:positionV>
            <wp:extent cx="102870" cy="57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-5465445</wp:posOffset>
            </wp:positionV>
            <wp:extent cx="111125" cy="57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4478020</wp:posOffset>
            </wp:positionH>
            <wp:positionV relativeFrom="paragraph">
              <wp:posOffset>-5465445</wp:posOffset>
            </wp:positionV>
            <wp:extent cx="102870"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5575300</wp:posOffset>
            </wp:positionH>
            <wp:positionV relativeFrom="paragraph">
              <wp:posOffset>-5465445</wp:posOffset>
            </wp:positionV>
            <wp:extent cx="102870" cy="57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-4791075</wp:posOffset>
            </wp:positionV>
            <wp:extent cx="11112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-4773930</wp:posOffset>
            </wp:positionV>
            <wp:extent cx="11112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4478020</wp:posOffset>
            </wp:positionH>
            <wp:positionV relativeFrom="paragraph">
              <wp:posOffset>-4791075</wp:posOffset>
            </wp:positionV>
            <wp:extent cx="10287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4478020</wp:posOffset>
            </wp:positionH>
            <wp:positionV relativeFrom="paragraph">
              <wp:posOffset>-4773930</wp:posOffset>
            </wp:positionV>
            <wp:extent cx="10287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5575300</wp:posOffset>
            </wp:positionH>
            <wp:positionV relativeFrom="paragraph">
              <wp:posOffset>-4791075</wp:posOffset>
            </wp:positionV>
            <wp:extent cx="10287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5575300</wp:posOffset>
            </wp:positionH>
            <wp:positionV relativeFrom="paragraph">
              <wp:posOffset>-4773930</wp:posOffset>
            </wp:positionV>
            <wp:extent cx="10287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-4102735</wp:posOffset>
            </wp:positionV>
            <wp:extent cx="111125" cy="57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4478020</wp:posOffset>
            </wp:positionH>
            <wp:positionV relativeFrom="paragraph">
              <wp:posOffset>-4102735</wp:posOffset>
            </wp:positionV>
            <wp:extent cx="102870" cy="57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5575300</wp:posOffset>
            </wp:positionH>
            <wp:positionV relativeFrom="paragraph">
              <wp:posOffset>-4102735</wp:posOffset>
            </wp:positionV>
            <wp:extent cx="102870" cy="57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-3768090</wp:posOffset>
            </wp:positionV>
            <wp:extent cx="111125" cy="57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4478020</wp:posOffset>
            </wp:positionH>
            <wp:positionV relativeFrom="paragraph">
              <wp:posOffset>-3768090</wp:posOffset>
            </wp:positionV>
            <wp:extent cx="102870" cy="57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5575300</wp:posOffset>
            </wp:positionH>
            <wp:positionV relativeFrom="paragraph">
              <wp:posOffset>-3768090</wp:posOffset>
            </wp:positionV>
            <wp:extent cx="102870" cy="57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-3425190</wp:posOffset>
            </wp:positionV>
            <wp:extent cx="111125"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4478020</wp:posOffset>
            </wp:positionH>
            <wp:positionV relativeFrom="paragraph">
              <wp:posOffset>-3425190</wp:posOffset>
            </wp:positionV>
            <wp:extent cx="102870" cy="57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5575300</wp:posOffset>
            </wp:positionH>
            <wp:positionV relativeFrom="paragraph">
              <wp:posOffset>-3425190</wp:posOffset>
            </wp:positionV>
            <wp:extent cx="102870" cy="57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-2739390</wp:posOffset>
            </wp:positionV>
            <wp:extent cx="111125" cy="57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4478020</wp:posOffset>
            </wp:positionH>
            <wp:positionV relativeFrom="paragraph">
              <wp:posOffset>-2739390</wp:posOffset>
            </wp:positionV>
            <wp:extent cx="102870"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5575300</wp:posOffset>
            </wp:positionH>
            <wp:positionV relativeFrom="paragraph">
              <wp:posOffset>-2739390</wp:posOffset>
            </wp:positionV>
            <wp:extent cx="102870"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-2062480</wp:posOffset>
            </wp:positionV>
            <wp:extent cx="111125"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4478020</wp:posOffset>
            </wp:positionH>
            <wp:positionV relativeFrom="paragraph">
              <wp:posOffset>-2062480</wp:posOffset>
            </wp:positionV>
            <wp:extent cx="102870" cy="57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5575300</wp:posOffset>
            </wp:positionH>
            <wp:positionV relativeFrom="paragraph">
              <wp:posOffset>-2062480</wp:posOffset>
            </wp:positionV>
            <wp:extent cx="102870" cy="57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-1722120</wp:posOffset>
            </wp:positionV>
            <wp:extent cx="11112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-1704975</wp:posOffset>
            </wp:positionV>
            <wp:extent cx="11112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4478020</wp:posOffset>
            </wp:positionH>
            <wp:positionV relativeFrom="paragraph">
              <wp:posOffset>-1722120</wp:posOffset>
            </wp:positionV>
            <wp:extent cx="10287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4478020</wp:posOffset>
            </wp:positionH>
            <wp:positionV relativeFrom="paragraph">
              <wp:posOffset>-1704975</wp:posOffset>
            </wp:positionV>
            <wp:extent cx="10287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5575300</wp:posOffset>
            </wp:positionH>
            <wp:positionV relativeFrom="paragraph">
              <wp:posOffset>-1722120</wp:posOffset>
            </wp:positionV>
            <wp:extent cx="10287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5575300</wp:posOffset>
            </wp:positionH>
            <wp:positionV relativeFrom="paragraph">
              <wp:posOffset>-1704975</wp:posOffset>
            </wp:positionV>
            <wp:extent cx="10287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-1033780</wp:posOffset>
            </wp:positionV>
            <wp:extent cx="111125" cy="57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4478020</wp:posOffset>
            </wp:positionH>
            <wp:positionV relativeFrom="paragraph">
              <wp:posOffset>-1033780</wp:posOffset>
            </wp:positionV>
            <wp:extent cx="102870" cy="57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5575300</wp:posOffset>
            </wp:positionH>
            <wp:positionV relativeFrom="paragraph">
              <wp:posOffset>-1033780</wp:posOffset>
            </wp:positionV>
            <wp:extent cx="102870" cy="57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-699135</wp:posOffset>
            </wp:positionV>
            <wp:extent cx="111125" cy="57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4478020</wp:posOffset>
            </wp:positionH>
            <wp:positionV relativeFrom="paragraph">
              <wp:posOffset>-699135</wp:posOffset>
            </wp:positionV>
            <wp:extent cx="102870" cy="57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5575300</wp:posOffset>
            </wp:positionH>
            <wp:positionV relativeFrom="paragraph">
              <wp:posOffset>-699135</wp:posOffset>
            </wp:positionV>
            <wp:extent cx="102870" cy="57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-25400</wp:posOffset>
            </wp:positionV>
            <wp:extent cx="11112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-7620</wp:posOffset>
            </wp:positionV>
            <wp:extent cx="11112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4478020</wp:posOffset>
            </wp:positionH>
            <wp:positionV relativeFrom="paragraph">
              <wp:posOffset>-25400</wp:posOffset>
            </wp:positionV>
            <wp:extent cx="10287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4478020</wp:posOffset>
            </wp:positionH>
            <wp:positionV relativeFrom="paragraph">
              <wp:posOffset>-7620</wp:posOffset>
            </wp:positionV>
            <wp:extent cx="10287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5575300</wp:posOffset>
            </wp:positionH>
            <wp:positionV relativeFrom="paragraph">
              <wp:posOffset>-25400</wp:posOffset>
            </wp:positionV>
            <wp:extent cx="10287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5575300</wp:posOffset>
            </wp:positionH>
            <wp:positionV relativeFrom="paragraph">
              <wp:posOffset>-7620</wp:posOffset>
            </wp:positionV>
            <wp:extent cx="10287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ectPr>
          <w:pgSz w:w="11900" w:h="16838" w:orient="portrait"/>
          <w:cols w:equalWidth="0" w:num="1">
            <w:col w:w="10580"/>
          </w:cols>
          <w:pgMar w:left="660" w:top="136" w:right="659" w:bottom="1101" w:gutter="0" w:footer="0" w:header="0"/>
        </w:sect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76835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660" w:top="136" w:right="659" w:bottom="1101" w:gutter="0" w:footer="0" w:header="0"/>
          <w:type w:val="continuous"/>
        </w:sectPr>
      </w:pPr>
    </w:p>
    <w:bookmarkStart w:id="33" w:name="page34"/>
    <w:bookmarkEnd w:id="33"/>
    <w:tbl>
      <w:tblPr>
        <w:tblLayout w:type="fixed"/>
        <w:tblInd w:w="88"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June 30</w:t>
            </w: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September 30</w:t>
            </w:r>
          </w:p>
        </w:tc>
      </w:tr>
      <w:tr>
        <w:trPr>
          <w:trHeight w:val="263"/>
        </w:trPr>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 - unaudited)</w:t>
            </w:r>
          </w:p>
        </w:tc>
        <w:tc>
          <w:tcPr>
            <w:tcW w:w="9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r>
      <w:tr>
        <w:trPr>
          <w:trHeight w:val="257"/>
        </w:trPr>
        <w:tc>
          <w:tcPr>
            <w:tcW w:w="5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920" w:type="dxa"/>
            <w:vAlign w:val="bottom"/>
            <w:shd w:val="clear" w:color="auto" w:fill="CFF0FC"/>
          </w:tcPr>
          <w:p>
            <w:pPr>
              <w:spacing w:after="0"/>
              <w:rPr>
                <w:sz w:val="22"/>
                <w:szCs w:val="22"/>
                <w:color w:val="auto"/>
              </w:rPr>
            </w:pPr>
          </w:p>
        </w:tc>
        <w:tc>
          <w:tcPr>
            <w:tcW w:w="15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1680" w:type="dxa"/>
            <w:vAlign w:val="bottom"/>
            <w:shd w:val="clear" w:color="auto" w:fill="CFF0FC"/>
          </w:tcPr>
          <w:p>
            <w:pPr>
              <w:spacing w:after="0"/>
              <w:rPr>
                <w:sz w:val="22"/>
                <w:szCs w:val="22"/>
                <w:color w:val="auto"/>
              </w:rPr>
            </w:pPr>
          </w:p>
        </w:tc>
      </w:tr>
      <w:tr>
        <w:trPr>
          <w:trHeight w:val="250"/>
        </w:trPr>
        <w:tc>
          <w:tcPr>
            <w:tcW w:w="5420" w:type="dxa"/>
            <w:vAlign w:val="bottom"/>
          </w:tcPr>
          <w:p>
            <w:pPr>
              <w:ind w:left="260"/>
              <w:spacing w:after="0"/>
              <w:rPr>
                <w:sz w:val="20"/>
                <w:szCs w:val="20"/>
                <w:color w:val="auto"/>
              </w:rPr>
            </w:pPr>
            <w:r>
              <w:rPr>
                <w:rFonts w:ascii="Arial" w:cs="Arial" w:eastAsia="Arial" w:hAnsi="Arial"/>
                <w:sz w:val="18"/>
                <w:szCs w:val="18"/>
                <w:i w:val="1"/>
                <w:iCs w:val="1"/>
                <w:color w:val="auto"/>
              </w:rPr>
              <w:t>Life Sciences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1,941</w:t>
            </w:r>
          </w:p>
        </w:tc>
        <w:tc>
          <w:tcPr>
            <w:tcW w:w="9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1,974</w:t>
            </w:r>
          </w:p>
        </w:tc>
      </w:tr>
      <w:tr>
        <w:trPr>
          <w:trHeight w:val="263"/>
        </w:trPr>
        <w:tc>
          <w:tcPr>
            <w:tcW w:w="54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i w:val="1"/>
                <w:iCs w:val="1"/>
                <w:color w:val="auto"/>
              </w:rPr>
              <w:t xml:space="preserve">Personal Care &amp; Household </w:t>
            </w:r>
            <w:r>
              <w:rPr>
                <w:rFonts w:ascii="Arial" w:cs="Arial" w:eastAsia="Arial" w:hAnsi="Arial"/>
                <w:sz w:val="14"/>
                <w:szCs w:val="14"/>
                <w:i w:val="1"/>
                <w:iCs w:val="1"/>
                <w:color w:val="auto"/>
              </w:rPr>
              <w:t>(d)</w:t>
            </w:r>
          </w:p>
        </w:tc>
        <w:tc>
          <w:tcPr>
            <w:tcW w:w="920" w:type="dxa"/>
            <w:vAlign w:val="bottom"/>
            <w:tcBorders>
              <w:bottom w:val="single" w:sz="8" w:color="auto"/>
            </w:tcBorders>
            <w:shd w:val="clear" w:color="auto" w:fill="CFF0FC"/>
          </w:tcPr>
          <w:p>
            <w:pPr>
              <w:spacing w:after="0"/>
              <w:rPr>
                <w:sz w:val="22"/>
                <w:szCs w:val="22"/>
                <w:color w:val="auto"/>
              </w:rPr>
            </w:pPr>
          </w:p>
        </w:tc>
        <w:tc>
          <w:tcPr>
            <w:tcW w:w="15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1,204</w:t>
            </w:r>
          </w:p>
        </w:tc>
        <w:tc>
          <w:tcPr>
            <w:tcW w:w="24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spacing w:after="0"/>
              <w:rPr>
                <w:sz w:val="22"/>
                <w:szCs w:val="22"/>
                <w:color w:val="auto"/>
              </w:rPr>
            </w:pPr>
          </w:p>
        </w:tc>
        <w:tc>
          <w:tcPr>
            <w:tcW w:w="16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939</w:t>
            </w:r>
          </w:p>
        </w:tc>
      </w:tr>
      <w:tr>
        <w:trPr>
          <w:trHeight w:val="250"/>
        </w:trPr>
        <w:tc>
          <w:tcPr>
            <w:tcW w:w="5420" w:type="dxa"/>
            <w:vAlign w:val="bottom"/>
          </w:tcPr>
          <w:p>
            <w:pPr>
              <w:ind w:left="260"/>
              <w:spacing w:after="0"/>
              <w:rPr>
                <w:sz w:val="20"/>
                <w:szCs w:val="20"/>
                <w:color w:val="auto"/>
              </w:rPr>
            </w:pPr>
            <w:r>
              <w:rPr>
                <w:rFonts w:ascii="Arial" w:cs="Arial" w:eastAsia="Arial" w:hAnsi="Arial"/>
                <w:sz w:val="18"/>
                <w:szCs w:val="18"/>
                <w:color w:val="auto"/>
              </w:rPr>
              <w:t>Consumer Specialties</w:t>
            </w:r>
          </w:p>
        </w:tc>
        <w:tc>
          <w:tcPr>
            <w:tcW w:w="9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3,145</w:t>
            </w:r>
          </w:p>
        </w:tc>
        <w:tc>
          <w:tcPr>
            <w:tcW w:w="24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2,913</w:t>
            </w:r>
          </w:p>
        </w:tc>
      </w:tr>
      <w:tr>
        <w:trPr>
          <w:trHeight w:val="250"/>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i w:val="1"/>
                <w:iCs w:val="1"/>
                <w:color w:val="auto"/>
              </w:rPr>
              <w:t>Specialty Additives</w:t>
            </w:r>
          </w:p>
        </w:tc>
        <w:tc>
          <w:tcPr>
            <w:tcW w:w="92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1,646</w:t>
            </w:r>
          </w:p>
        </w:tc>
        <w:tc>
          <w:tcPr>
            <w:tcW w:w="2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1,666</w:t>
            </w:r>
          </w:p>
        </w:tc>
      </w:tr>
      <w:tr>
        <w:trPr>
          <w:trHeight w:val="257"/>
        </w:trPr>
        <w:tc>
          <w:tcPr>
            <w:tcW w:w="5420" w:type="dxa"/>
            <w:vAlign w:val="bottom"/>
          </w:tcPr>
          <w:p>
            <w:pPr>
              <w:ind w:left="260"/>
              <w:spacing w:after="0"/>
              <w:rPr>
                <w:sz w:val="20"/>
                <w:szCs w:val="20"/>
                <w:color w:val="auto"/>
              </w:rPr>
            </w:pPr>
            <w:r>
              <w:rPr>
                <w:rFonts w:ascii="Arial" w:cs="Arial" w:eastAsia="Arial" w:hAnsi="Arial"/>
                <w:sz w:val="18"/>
                <w:szCs w:val="18"/>
                <w:i w:val="1"/>
                <w:iCs w:val="1"/>
                <w:color w:val="auto"/>
              </w:rPr>
              <w:t>Performance Adhesives</w:t>
            </w:r>
          </w:p>
        </w:tc>
        <w:tc>
          <w:tcPr>
            <w:tcW w:w="9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599</w:t>
            </w:r>
          </w:p>
        </w:tc>
        <w:tc>
          <w:tcPr>
            <w:tcW w:w="24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591</w:t>
            </w:r>
          </w:p>
        </w:tc>
      </w:tr>
      <w:tr>
        <w:trPr>
          <w:trHeight w:val="250"/>
        </w:trPr>
        <w:tc>
          <w:tcPr>
            <w:tcW w:w="54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Industrial Specialties</w:t>
            </w:r>
          </w:p>
        </w:tc>
        <w:tc>
          <w:tcPr>
            <w:tcW w:w="92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2,245</w:t>
            </w:r>
          </w:p>
        </w:tc>
        <w:tc>
          <w:tcPr>
            <w:tcW w:w="24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2,257</w:t>
            </w:r>
          </w:p>
        </w:tc>
      </w:tr>
      <w:tr>
        <w:trPr>
          <w:trHeight w:val="243"/>
        </w:trPr>
        <w:tc>
          <w:tcPr>
            <w:tcW w:w="5420" w:type="dxa"/>
            <w:vAlign w:val="bottom"/>
          </w:tcPr>
          <w:p>
            <w:pPr>
              <w:ind w:left="260"/>
              <w:spacing w:after="0"/>
              <w:rPr>
                <w:sz w:val="20"/>
                <w:szCs w:val="20"/>
                <w:color w:val="auto"/>
              </w:rPr>
            </w:pPr>
            <w:r>
              <w:rPr>
                <w:rFonts w:ascii="Arial" w:cs="Arial" w:eastAsia="Arial" w:hAnsi="Arial"/>
                <w:sz w:val="18"/>
                <w:szCs w:val="18"/>
                <w:i w:val="1"/>
                <w:iCs w:val="1"/>
                <w:color w:val="auto"/>
              </w:rPr>
              <w:t>Intermediates and Solvents</w:t>
            </w:r>
          </w:p>
        </w:tc>
        <w:tc>
          <w:tcPr>
            <w:tcW w:w="920" w:type="dxa"/>
            <w:vAlign w:val="bottom"/>
          </w:tcPr>
          <w:p>
            <w:pPr>
              <w:spacing w:after="0"/>
              <w:rPr>
                <w:sz w:val="21"/>
                <w:szCs w:val="21"/>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161</w:t>
            </w:r>
          </w:p>
        </w:tc>
      </w:tr>
      <w:tr>
        <w:trPr>
          <w:trHeight w:val="263"/>
        </w:trPr>
        <w:tc>
          <w:tcPr>
            <w:tcW w:w="54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i w:val="1"/>
                <w:iCs w:val="1"/>
                <w:color w:val="auto"/>
              </w:rPr>
              <w:t>Unallocated and other</w:t>
            </w:r>
          </w:p>
        </w:tc>
        <w:tc>
          <w:tcPr>
            <w:tcW w:w="920" w:type="dxa"/>
            <w:vAlign w:val="bottom"/>
            <w:tcBorders>
              <w:bottom w:val="single" w:sz="8" w:color="auto"/>
            </w:tcBorders>
            <w:shd w:val="clear" w:color="auto" w:fill="CFF0FC"/>
          </w:tcPr>
          <w:p>
            <w:pPr>
              <w:spacing w:after="0"/>
              <w:rPr>
                <w:sz w:val="22"/>
                <w:szCs w:val="22"/>
                <w:color w:val="auto"/>
              </w:rPr>
            </w:pPr>
          </w:p>
        </w:tc>
        <w:tc>
          <w:tcPr>
            <w:tcW w:w="15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1,222</w:t>
            </w:r>
          </w:p>
        </w:tc>
        <w:tc>
          <w:tcPr>
            <w:tcW w:w="24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spacing w:after="0"/>
              <w:rPr>
                <w:sz w:val="22"/>
                <w:szCs w:val="22"/>
                <w:color w:val="auto"/>
              </w:rPr>
            </w:pPr>
          </w:p>
        </w:tc>
        <w:tc>
          <w:tcPr>
            <w:tcW w:w="16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1,546</w:t>
            </w:r>
          </w:p>
        </w:tc>
      </w:tr>
      <w:tr>
        <w:trPr>
          <w:trHeight w:val="243"/>
        </w:trPr>
        <w:tc>
          <w:tcPr>
            <w:tcW w:w="5420" w:type="dxa"/>
            <w:vAlign w:val="bottom"/>
          </w:tcPr>
          <w:p>
            <w:pPr>
              <w:spacing w:after="0"/>
              <w:rPr>
                <w:sz w:val="21"/>
                <w:szCs w:val="21"/>
                <w:color w:val="auto"/>
              </w:rPr>
            </w:pP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6,766</w:t>
            </w:r>
          </w:p>
        </w:tc>
        <w:tc>
          <w:tcPr>
            <w:tcW w:w="9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6,877</w:t>
            </w:r>
          </w:p>
        </w:tc>
      </w:tr>
      <w:tr>
        <w:trPr>
          <w:trHeight w:val="20"/>
        </w:trPr>
        <w:tc>
          <w:tcPr>
            <w:tcW w:w="5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r>
        <w:trPr>
          <w:trHeight w:val="149"/>
        </w:trPr>
        <w:tc>
          <w:tcPr>
            <w:tcW w:w="54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5031740</wp:posOffset>
            </wp:positionH>
            <wp:positionV relativeFrom="paragraph">
              <wp:posOffset>-1316355</wp:posOffset>
            </wp:positionV>
            <wp:extent cx="154305" cy="57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5031740</wp:posOffset>
            </wp:positionH>
            <wp:positionV relativeFrom="paragraph">
              <wp:posOffset>-639445</wp:posOffset>
            </wp:positionV>
            <wp:extent cx="154305" cy="57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5031740</wp:posOffset>
            </wp:positionH>
            <wp:positionV relativeFrom="paragraph">
              <wp:posOffset>-304800</wp:posOffset>
            </wp:positionV>
            <wp:extent cx="154305" cy="57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54305" cy="5715"/>
                    </a:xfrm>
                    <a:prstGeom prst="rect">
                      <a:avLst/>
                    </a:prstGeom>
                    <a:noFill/>
                  </pic:spPr>
                </pic:pic>
              </a:graphicData>
            </a:graphic>
          </wp:anchor>
        </w:drawing>
      </w:r>
    </w:p>
    <w:p>
      <w:pPr>
        <w:spacing w:after="0" w:line="83" w:lineRule="exact"/>
        <w:rPr>
          <w:sz w:val="20"/>
          <w:szCs w:val="20"/>
          <w:color w:val="auto"/>
        </w:rPr>
      </w:pPr>
    </w:p>
    <w:p>
      <w:pPr>
        <w:ind w:left="328" w:hanging="328"/>
        <w:spacing w:after="0"/>
        <w:tabs>
          <w:tab w:leader="none" w:pos="328"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Intersegment sales from Intermediates and Solvents are accounted for at prices that approximate fair value. All other intersegment sales are accounted for at cost.</w:t>
      </w:r>
    </w:p>
    <w:p>
      <w:pPr>
        <w:spacing w:after="0" w:line="55" w:lineRule="exact"/>
        <w:rPr>
          <w:rFonts w:ascii="Arial" w:cs="Arial" w:eastAsia="Arial" w:hAnsi="Arial"/>
          <w:sz w:val="14"/>
          <w:szCs w:val="14"/>
          <w:color w:val="auto"/>
        </w:rPr>
      </w:pPr>
    </w:p>
    <w:p>
      <w:pPr>
        <w:ind w:left="328" w:hanging="328"/>
        <w:spacing w:after="0"/>
        <w:tabs>
          <w:tab w:leader="none" w:pos="328"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a capital project impairment of $9 million for the nine months ended June 30, 2021 relating to a long-term capital project plan change at a plant facility.</w:t>
      </w:r>
    </w:p>
    <w:p>
      <w:pPr>
        <w:spacing w:after="0" w:line="41" w:lineRule="exact"/>
        <w:rPr>
          <w:rFonts w:ascii="Arial" w:cs="Arial" w:eastAsia="Arial" w:hAnsi="Arial"/>
          <w:sz w:val="14"/>
          <w:szCs w:val="14"/>
          <w:color w:val="auto"/>
        </w:rPr>
      </w:pPr>
    </w:p>
    <w:p>
      <w:pPr>
        <w:ind w:left="328" w:right="340" w:hanging="328"/>
        <w:spacing w:after="0" w:line="291" w:lineRule="auto"/>
        <w:tabs>
          <w:tab w:leader="none" w:pos="328" w:val="left"/>
        </w:tabs>
        <w:numPr>
          <w:ilvl w:val="0"/>
          <w:numId w:val="20"/>
        </w:numPr>
        <w:rPr>
          <w:rFonts w:ascii="Arial" w:cs="Arial" w:eastAsia="Arial" w:hAnsi="Arial"/>
          <w:sz w:val="14"/>
          <w:szCs w:val="14"/>
          <w:color w:val="auto"/>
        </w:rPr>
      </w:pPr>
      <w:r>
        <w:rPr>
          <w:rFonts w:ascii="Arial" w:cs="Arial" w:eastAsia="Arial" w:hAnsi="Arial"/>
          <w:sz w:val="14"/>
          <w:szCs w:val="14"/>
          <w:color w:val="auto"/>
        </w:rPr>
        <w:t>Excludes income (loss) from discontinued operations, other net periodic benefit income (expense) and net income (loss) on divestitures. See the Statement of Consolidated Comprehensive Income (Loss) for applicable amounts excluded.</w:t>
      </w:r>
    </w:p>
    <w:p>
      <w:pPr>
        <w:spacing w:after="0" w:line="1" w:lineRule="exact"/>
        <w:rPr>
          <w:rFonts w:ascii="Arial" w:cs="Arial" w:eastAsia="Arial" w:hAnsi="Arial"/>
          <w:sz w:val="14"/>
          <w:szCs w:val="14"/>
          <w:color w:val="auto"/>
        </w:rPr>
      </w:pPr>
    </w:p>
    <w:p>
      <w:pPr>
        <w:ind w:left="328" w:hanging="328"/>
        <w:spacing w:after="0"/>
        <w:tabs>
          <w:tab w:leader="none" w:pos="328" w:val="left"/>
        </w:tabs>
        <w:numPr>
          <w:ilvl w:val="0"/>
          <w:numId w:val="20"/>
        </w:numPr>
        <w:rPr>
          <w:rFonts w:ascii="Arial" w:cs="Arial" w:eastAsia="Arial" w:hAnsi="Arial"/>
          <w:sz w:val="14"/>
          <w:szCs w:val="14"/>
          <w:color w:val="auto"/>
        </w:rPr>
      </w:pPr>
      <w:r>
        <w:rPr>
          <w:rFonts w:ascii="Arial" w:cs="Arial" w:eastAsia="Arial" w:hAnsi="Arial"/>
          <w:sz w:val="14"/>
          <w:szCs w:val="14"/>
          <w:color w:val="auto"/>
        </w:rPr>
        <w:t>See Note B for acquired assets associated with the Schülke personal care business on April 30, 2021.</w:t>
      </w:r>
    </w:p>
    <w:p>
      <w:pPr>
        <w:spacing w:after="0" w:line="397" w:lineRule="exact"/>
        <w:rPr>
          <w:sz w:val="20"/>
          <w:szCs w:val="20"/>
          <w:color w:val="auto"/>
        </w:rPr>
      </w:pPr>
    </w:p>
    <w:p>
      <w:pPr>
        <w:jc w:val="center"/>
        <w:ind w:right="-67"/>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70485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8"/>
          </w:cols>
          <w:pgMar w:left="652" w:top="287" w:right="739" w:bottom="1440" w:gutter="0" w:footer="0" w:header="0"/>
        </w:sectPr>
      </w:pPr>
    </w:p>
    <w:bookmarkStart w:id="34" w:name="page35"/>
    <w:bookmarkEnd w:id="34"/>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8255"/>
                    </a:xfrm>
                    <a:prstGeom prst="rect">
                      <a:avLst/>
                    </a:prstGeom>
                    <a:noFill/>
                  </pic:spPr>
                </pic:pic>
              </a:graphicData>
            </a:graphic>
          </wp:anchor>
        </w:drawing>
        <w:t>ASHLAND GLOBAL HOLDINGS INC. AND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41" w:lineRule="exact"/>
        <w:rPr>
          <w:sz w:val="20"/>
          <w:szCs w:val="20"/>
          <w:color w:val="auto"/>
        </w:rPr>
      </w:pPr>
    </w:p>
    <w:p>
      <w:pPr>
        <w:jc w:val="both"/>
        <w:ind w:left="380"/>
        <w:spacing w:after="0" w:line="299" w:lineRule="auto"/>
        <w:rPr>
          <w:sz w:val="20"/>
          <w:szCs w:val="20"/>
          <w:color w:val="auto"/>
        </w:rPr>
      </w:pPr>
      <w:r>
        <w:rPr>
          <w:rFonts w:ascii="Arial" w:cs="Arial" w:eastAsia="Arial" w:hAnsi="Arial"/>
          <w:sz w:val="18"/>
          <w:szCs w:val="18"/>
          <w:color w:val="auto"/>
        </w:rPr>
        <w:t>This Quarterly Report on Form 10-Q contains forward-looking statements including, without limitation, statements made under the caption “Management’s Discussion and Analysis of Financial Condition and Results of Operation” (MD&amp;A), within the meaning of Section 27A of the Securities Act of 1933, as amended and Section 21E of the Securities Exchange Act of 1934, as amended. Ashland has identified some of these forward-looking statements with words such as “anticipates,” “believes,” “expects,” “estimates,” “is likely,” “predicts,” “projects,” “forecasts,” “objectives,” “may,” “will,” “should,” “plans” and “intends” and the negative of these words or other comparable terminology. Ashland may from time to time make forward-looking statements in its Annual Report to Shareholders, quarterly reports and other filings with the Securities and Exchange Commission (SEC), news releases and other written and oral communications. These forward-looking statements are based on Ashland’s expectations and assumptions, as of the date such statements are made, regarding Ashland’s future operating performance and financial condition and expected effects of the COVID-19 pandemic on Ashland’s business, as well as the economy and other future events or circumstances. Ashland’s expectations and assumptions include, without limitation, those mentioned within the MD&amp;A, internal forecasts and analyses of current and future market conditions and trends, management plans and strategies, operating efficiencies, cost savings and economic conditions (such as prices, supply and demand, cost of raw materials, and the ability to recover raw-material cost increases through price increases), and risks and uncertainties associated with the following: the impact of acquisitions and/or divestitures Ashland has made or may make, including the acquisition of Schülke &amp; Mayr’s personal care business (including the possibility that Ashland may not realize the anticipated benefits from such transactions); Ashland’s substantial indebtedness (including the possibility that such indebtedness and related restrictive covenants may adversely affect Ashland’s future cash flows, results of operations, financial condition and its ability to repay debt); execution risks associated with Ashland’s growth strategies; the competitive nature of Ashland’s business; severe weather, natural disasters, public health crises (including the COVID-19 pandemic), cyber events and legal proceedings and claims (including product recalls, environmental and asbestos matters); the effects of the COVID-19 pandemic on the geographies in which Ashland operates, the end markets Ashland serves and on Ashland’s supply chain and customers; and without limitation, risks and uncertainties affecting Ashland that are contained in “Use of estimates, risks and uncertainties” in Note A of Notes to Consolidated Financial Statements and in Item 1A in its most recent Form 10-K filed with the SEC, which is available on Ashland’s website at http://investor.ashland.com or on the SEC’s website at http://www.sec.gov. Various risks and uncertainties may cause actual results to differ materially from those stated, projected or implied by any forward-looking statements. The extent and duration of the COVID-19 pandemic on our business and operations is uncertain. Factors that influence the impact on our business and operations include the duration and extent of the pandemic, the extent of imposed or recommended containment and mitigation measures, and the general economic consequences of the pandemic. Ashland believes its expectations and assumptions are reasonable, but there can be no assurance that the expectations reflected herein will be achieved. Unless legally required, Ashland undertakes no obligation to update any forward-looking statements made in this Form 10-Q whether as a result of new information, future events or otherwise. Information on Ashland’s website is not incorporated into or a part of this Form 10-Q.</w:t>
      </w:r>
    </w:p>
    <w:p>
      <w:pPr>
        <w:spacing w:after="0" w:line="8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603" w:right="719" w:bottom="1440" w:gutter="0" w:footer="0" w:header="0"/>
        </w:sectPr>
      </w:pPr>
    </w:p>
    <w:bookmarkStart w:id="35" w:name="page36"/>
    <w:bookmarkEnd w:id="35"/>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right="4220"/>
        <w:spacing w:after="0" w:line="295" w:lineRule="auto"/>
        <w:rPr>
          <w:sz w:val="20"/>
          <w:szCs w:val="20"/>
          <w:color w:val="auto"/>
        </w:rPr>
      </w:pPr>
      <w:r>
        <w:rPr>
          <w:rFonts w:ascii="Arial" w:cs="Arial" w:eastAsia="Arial" w:hAnsi="Arial"/>
          <w:sz w:val="20"/>
          <w:szCs w:val="20"/>
          <w:b w:val="1"/>
          <w:bCs w:val="1"/>
          <w:color w:val="auto"/>
        </w:rPr>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both"/>
        <w:ind w:left="380" w:right="380"/>
        <w:spacing w:after="0" w:line="288" w:lineRule="auto"/>
        <w:rPr>
          <w:sz w:val="20"/>
          <w:szCs w:val="20"/>
          <w:color w:val="auto"/>
        </w:rPr>
      </w:pPr>
      <w:r>
        <w:rPr>
          <w:rFonts w:ascii="Arial" w:cs="Arial" w:eastAsia="Arial" w:hAnsi="Arial"/>
          <w:sz w:val="20"/>
          <w:szCs w:val="20"/>
          <w:color w:val="auto"/>
        </w:rPr>
        <w:t>The following discussion should be read in conjunction with the Condensed Consolidated Financial Statements and the accompanying Notes to Condensed Consolidated Financial Statements herein.</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OVERVIEW</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Ashland profile</w:t>
      </w:r>
    </w:p>
    <w:p>
      <w:pPr>
        <w:spacing w:after="0" w:line="127" w:lineRule="exact"/>
        <w:rPr>
          <w:sz w:val="20"/>
          <w:szCs w:val="20"/>
          <w:color w:val="auto"/>
        </w:rPr>
      </w:pPr>
    </w:p>
    <w:p>
      <w:pPr>
        <w:jc w:val="both"/>
        <w:ind w:left="380" w:right="380"/>
        <w:spacing w:after="0" w:line="260" w:lineRule="auto"/>
        <w:rPr>
          <w:sz w:val="20"/>
          <w:szCs w:val="20"/>
          <w:color w:val="auto"/>
        </w:rPr>
      </w:pPr>
      <w:r>
        <w:rPr>
          <w:rFonts w:ascii="Arial" w:cs="Arial" w:eastAsia="Arial" w:hAnsi="Arial"/>
          <w:sz w:val="20"/>
          <w:szCs w:val="20"/>
          <w:color w:val="auto"/>
        </w:rPr>
        <w:t>Ashland is a premier specialty materials company with a conscious and proactive mindset for sustainability. The Company serves customers in a wide range of consumer and industrial markets, including adhesives, architectural coatings, automotive, construction, energy, food and beverage, nutraceuticals, personal care and pharmaceutical. With approximately 4,200 employees worldwide, Ashland serves customers in more than 100 countries.</w:t>
      </w:r>
    </w:p>
    <w:p>
      <w:pPr>
        <w:spacing w:after="0" w:line="83" w:lineRule="exact"/>
        <w:rPr>
          <w:sz w:val="20"/>
          <w:szCs w:val="20"/>
          <w:color w:val="auto"/>
        </w:rPr>
      </w:pPr>
    </w:p>
    <w:p>
      <w:pPr>
        <w:jc w:val="both"/>
        <w:ind w:left="380" w:right="380"/>
        <w:spacing w:after="0" w:line="264" w:lineRule="auto"/>
        <w:rPr>
          <w:sz w:val="20"/>
          <w:szCs w:val="20"/>
          <w:color w:val="auto"/>
        </w:rPr>
      </w:pPr>
      <w:r>
        <w:rPr>
          <w:rFonts w:ascii="Arial" w:cs="Arial" w:eastAsia="Arial" w:hAnsi="Arial"/>
          <w:sz w:val="20"/>
          <w:szCs w:val="20"/>
          <w:color w:val="auto"/>
        </w:rPr>
        <w:t>Ashland’s sales generated outside of North America were 61% for the three and nine months ended June 30, 2021 and 62% and 60% for the three and nine months ended June 30, 2020, respectively. Sales by region expressed as a percentage of total consolidated sales for the three and nine months ended June 30 were as follows:</w:t>
      </w:r>
    </w:p>
    <w:p>
      <w:pPr>
        <w:spacing w:after="0" w:line="75" w:lineRule="exact"/>
        <w:rPr>
          <w:sz w:val="20"/>
          <w:szCs w:val="20"/>
          <w:color w:val="auto"/>
        </w:rPr>
      </w:pPr>
    </w:p>
    <w:tbl>
      <w:tblPr>
        <w:tblLayout w:type="fixed"/>
        <w:tblInd w:w="420" w:type="dxa"/>
        <w:tblCellMar>
          <w:top w:w="0" w:type="dxa"/>
          <w:left w:w="0" w:type="dxa"/>
          <w:bottom w:w="0" w:type="dxa"/>
          <w:right w:w="0" w:type="dxa"/>
        </w:tblCellMar>
      </w:tblPr>
      <w:tr>
        <w:trPr>
          <w:trHeight w:val="244"/>
        </w:trPr>
        <w:tc>
          <w:tcPr>
            <w:tcW w:w="4880" w:type="dxa"/>
            <w:vAlign w:val="bottom"/>
            <w:tcBorders>
              <w:top w:val="single" w:sz="8" w:color="auto"/>
            </w:tcBorders>
          </w:tcPr>
          <w:p>
            <w:pPr>
              <w:spacing w:after="0"/>
              <w:rPr>
                <w:sz w:val="21"/>
                <w:szCs w:val="21"/>
                <w:color w:val="auto"/>
              </w:rPr>
            </w:pPr>
          </w:p>
        </w:tc>
        <w:tc>
          <w:tcPr>
            <w:tcW w:w="2060" w:type="dxa"/>
            <w:vAlign w:val="bottom"/>
            <w:tcBorders>
              <w:top w:val="single" w:sz="8" w:color="auto"/>
            </w:tcBorders>
            <w:gridSpan w:val="3"/>
          </w:tcPr>
          <w:p>
            <w:pPr>
              <w:jc w:val="center"/>
              <w:ind w:left="350"/>
              <w:spacing w:after="0"/>
              <w:rPr>
                <w:sz w:val="20"/>
                <w:szCs w:val="20"/>
                <w:color w:val="auto"/>
              </w:rPr>
            </w:pPr>
            <w:r>
              <w:rPr>
                <w:rFonts w:ascii="Arial" w:cs="Arial" w:eastAsia="Arial" w:hAnsi="Arial"/>
                <w:sz w:val="18"/>
                <w:szCs w:val="18"/>
                <w:color w:val="auto"/>
                <w:w w:val="87"/>
              </w:rPr>
              <w:t>Three months ended</w:t>
            </w:r>
          </w:p>
        </w:tc>
        <w:tc>
          <w:tcPr>
            <w:tcW w:w="6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gridSpan w:val="3"/>
          </w:tcPr>
          <w:p>
            <w:pPr>
              <w:jc w:val="center"/>
              <w:ind w:left="390"/>
              <w:spacing w:after="0"/>
              <w:rPr>
                <w:sz w:val="20"/>
                <w:szCs w:val="20"/>
                <w:color w:val="auto"/>
              </w:rPr>
            </w:pPr>
            <w:r>
              <w:rPr>
                <w:rFonts w:ascii="Arial" w:cs="Arial" w:eastAsia="Arial" w:hAnsi="Arial"/>
                <w:sz w:val="18"/>
                <w:szCs w:val="18"/>
                <w:color w:val="auto"/>
                <w:w w:val="89"/>
              </w:rPr>
              <w:t>Nine months ended</w:t>
            </w:r>
          </w:p>
        </w:tc>
        <w:tc>
          <w:tcPr>
            <w:tcW w:w="660" w:type="dxa"/>
            <w:vAlign w:val="bottom"/>
            <w:tcBorders>
              <w:top w:val="single" w:sz="8" w:color="auto"/>
            </w:tcBorders>
          </w:tcPr>
          <w:p>
            <w:pPr>
              <w:spacing w:after="0"/>
              <w:rPr>
                <w:sz w:val="21"/>
                <w:szCs w:val="21"/>
                <w:color w:val="auto"/>
              </w:rPr>
            </w:pPr>
          </w:p>
        </w:tc>
      </w:tr>
      <w:tr>
        <w:trPr>
          <w:trHeight w:val="276"/>
        </w:trPr>
        <w:tc>
          <w:tcPr>
            <w:tcW w:w="4880" w:type="dxa"/>
            <w:vAlign w:val="bottom"/>
          </w:tcPr>
          <w:p>
            <w:pPr>
              <w:spacing w:after="0"/>
              <w:rPr>
                <w:sz w:val="24"/>
                <w:szCs w:val="24"/>
                <w:color w:val="auto"/>
              </w:rPr>
            </w:pPr>
          </w:p>
        </w:tc>
        <w:tc>
          <w:tcPr>
            <w:tcW w:w="2060" w:type="dxa"/>
            <w:vAlign w:val="bottom"/>
            <w:tcBorders>
              <w:bottom w:val="single" w:sz="8" w:color="auto"/>
            </w:tcBorders>
            <w:gridSpan w:val="3"/>
          </w:tcPr>
          <w:p>
            <w:pPr>
              <w:jc w:val="center"/>
              <w:ind w:left="350"/>
              <w:spacing w:after="0"/>
              <w:rPr>
                <w:sz w:val="20"/>
                <w:szCs w:val="20"/>
                <w:color w:val="auto"/>
              </w:rPr>
            </w:pPr>
            <w:r>
              <w:rPr>
                <w:rFonts w:ascii="Arial" w:cs="Arial" w:eastAsia="Arial" w:hAnsi="Arial"/>
                <w:sz w:val="18"/>
                <w:szCs w:val="18"/>
                <w:color w:val="auto"/>
                <w:w w:val="84"/>
              </w:rPr>
              <w:t>June 30</w:t>
            </w:r>
          </w:p>
        </w:tc>
        <w:tc>
          <w:tcPr>
            <w:tcW w:w="6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tcBorders>
              <w:bottom w:val="single" w:sz="8" w:color="auto"/>
            </w:tcBorders>
            <w:gridSpan w:val="3"/>
          </w:tcPr>
          <w:p>
            <w:pPr>
              <w:jc w:val="center"/>
              <w:ind w:left="370"/>
              <w:spacing w:after="0"/>
              <w:rPr>
                <w:sz w:val="20"/>
                <w:szCs w:val="20"/>
                <w:color w:val="auto"/>
              </w:rPr>
            </w:pPr>
            <w:r>
              <w:rPr>
                <w:rFonts w:ascii="Arial" w:cs="Arial" w:eastAsia="Arial" w:hAnsi="Arial"/>
                <w:sz w:val="18"/>
                <w:szCs w:val="18"/>
                <w:color w:val="auto"/>
                <w:w w:val="84"/>
              </w:rPr>
              <w:t>June 30</w:t>
            </w:r>
          </w:p>
        </w:tc>
        <w:tc>
          <w:tcPr>
            <w:tcW w:w="660" w:type="dxa"/>
            <w:vAlign w:val="bottom"/>
            <w:tcBorders>
              <w:bottom w:val="single" w:sz="8" w:color="auto"/>
            </w:tcBorders>
          </w:tcPr>
          <w:p>
            <w:pPr>
              <w:spacing w:after="0"/>
              <w:rPr>
                <w:sz w:val="24"/>
                <w:szCs w:val="24"/>
                <w:color w:val="auto"/>
              </w:rPr>
            </w:pPr>
          </w:p>
        </w:tc>
      </w:tr>
      <w:tr>
        <w:trPr>
          <w:trHeight w:val="250"/>
        </w:trPr>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Sales by Geography</w:t>
            </w: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2020</w:t>
            </w:r>
          </w:p>
        </w:tc>
        <w:tc>
          <w:tcPr>
            <w:tcW w:w="14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2020</w:t>
            </w:r>
          </w:p>
        </w:tc>
      </w:tr>
      <w:tr>
        <w:trPr>
          <w:trHeight w:val="256"/>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North America </w:t>
            </w:r>
            <w:r>
              <w:rPr>
                <w:rFonts w:ascii="Arial" w:cs="Arial" w:eastAsia="Arial" w:hAnsi="Arial"/>
                <w:sz w:val="14"/>
                <w:szCs w:val="14"/>
                <w:color w:val="auto"/>
              </w:rPr>
              <w:t>(a)</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39 %</w:t>
            </w:r>
          </w:p>
        </w:tc>
        <w:tc>
          <w:tcPr>
            <w:tcW w:w="14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38 %</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39 %</w:t>
            </w:r>
          </w:p>
        </w:tc>
        <w:tc>
          <w:tcPr>
            <w:tcW w:w="16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40 %</w:t>
            </w:r>
          </w:p>
        </w:tc>
      </w:tr>
      <w:tr>
        <w:trPr>
          <w:trHeight w:val="250"/>
        </w:trPr>
        <w:tc>
          <w:tcPr>
            <w:tcW w:w="4880" w:type="dxa"/>
            <w:vAlign w:val="bottom"/>
          </w:tcPr>
          <w:p>
            <w:pPr>
              <w:spacing w:after="0"/>
              <w:rPr>
                <w:sz w:val="20"/>
                <w:szCs w:val="20"/>
                <w:color w:val="auto"/>
              </w:rPr>
            </w:pPr>
            <w:r>
              <w:rPr>
                <w:rFonts w:ascii="Arial" w:cs="Arial" w:eastAsia="Arial" w:hAnsi="Arial"/>
                <w:sz w:val="18"/>
                <w:szCs w:val="18"/>
                <w:color w:val="auto"/>
              </w:rPr>
              <w:t>Europe</w:t>
            </w:r>
          </w:p>
        </w:tc>
        <w:tc>
          <w:tcPr>
            <w:tcW w:w="1300" w:type="dxa"/>
            <w:vAlign w:val="bottom"/>
          </w:tcPr>
          <w:p>
            <w:pPr>
              <w:jc w:val="right"/>
              <w:spacing w:after="0"/>
              <w:rPr>
                <w:sz w:val="20"/>
                <w:szCs w:val="20"/>
                <w:color w:val="auto"/>
              </w:rPr>
            </w:pPr>
            <w:r>
              <w:rPr>
                <w:rFonts w:ascii="Arial" w:cs="Arial" w:eastAsia="Arial" w:hAnsi="Arial"/>
                <w:sz w:val="18"/>
                <w:szCs w:val="18"/>
                <w:color w:val="auto"/>
              </w:rPr>
              <w:t>33 %</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33 %</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32 %</w:t>
            </w: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33 %</w:t>
            </w:r>
          </w:p>
        </w:tc>
      </w:tr>
      <w:tr>
        <w:trPr>
          <w:trHeight w:val="263"/>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21 %</w:t>
            </w:r>
          </w:p>
        </w:tc>
        <w:tc>
          <w:tcPr>
            <w:tcW w:w="14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20 %</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21 %</w:t>
            </w:r>
          </w:p>
        </w:tc>
        <w:tc>
          <w:tcPr>
            <w:tcW w:w="16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19 %</w:t>
            </w:r>
          </w:p>
        </w:tc>
      </w:tr>
      <w:tr>
        <w:trPr>
          <w:trHeight w:val="257"/>
        </w:trPr>
        <w:tc>
          <w:tcPr>
            <w:tcW w:w="4880" w:type="dxa"/>
            <w:vAlign w:val="bottom"/>
          </w:tcPr>
          <w:p>
            <w:pPr>
              <w:spacing w:after="0"/>
              <w:rPr>
                <w:sz w:val="20"/>
                <w:szCs w:val="20"/>
                <w:color w:val="auto"/>
              </w:rPr>
            </w:pPr>
            <w:r>
              <w:rPr>
                <w:rFonts w:ascii="Arial" w:cs="Arial" w:eastAsia="Arial" w:hAnsi="Arial"/>
                <w:sz w:val="18"/>
                <w:szCs w:val="18"/>
                <w:color w:val="auto"/>
              </w:rPr>
              <w:t>Latin America &amp; other</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14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16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16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r>
      <w:tr>
        <w:trPr>
          <w:trHeight w:val="283"/>
        </w:trPr>
        <w:tc>
          <w:tcPr>
            <w:tcW w:w="4880" w:type="dxa"/>
            <w:vAlign w:val="bottom"/>
            <w:shd w:val="clear" w:color="auto" w:fill="CFF0FC"/>
          </w:tcPr>
          <w:p>
            <w:pPr>
              <w:spacing w:after="0"/>
              <w:rPr>
                <w:sz w:val="24"/>
                <w:szCs w:val="2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100 %</w:t>
            </w:r>
          </w:p>
        </w:tc>
        <w:tc>
          <w:tcPr>
            <w:tcW w:w="140" w:type="dxa"/>
            <w:vAlign w:val="bottom"/>
            <w:shd w:val="clear" w:color="auto" w:fill="CFF0FC"/>
          </w:tcPr>
          <w:p>
            <w:pPr>
              <w:spacing w:after="0"/>
              <w:rPr>
                <w:sz w:val="24"/>
                <w:szCs w:val="24"/>
                <w:color w:val="auto"/>
              </w:rPr>
            </w:pPr>
          </w:p>
        </w:tc>
        <w:tc>
          <w:tcPr>
            <w:tcW w:w="620" w:type="dxa"/>
            <w:vAlign w:val="bottom"/>
            <w:shd w:val="clear" w:color="auto" w:fill="CFF0FC"/>
          </w:tcPr>
          <w:p>
            <w:pPr>
              <w:spacing w:after="0"/>
              <w:rPr>
                <w:sz w:val="24"/>
                <w:szCs w:val="2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100 %</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100 %</w:t>
            </w:r>
          </w:p>
        </w:tc>
        <w:tc>
          <w:tcPr>
            <w:tcW w:w="160" w:type="dxa"/>
            <w:vAlign w:val="bottom"/>
            <w:shd w:val="clear" w:color="auto" w:fill="CFF0FC"/>
          </w:tcPr>
          <w:p>
            <w:pPr>
              <w:spacing w:after="0"/>
              <w:rPr>
                <w:sz w:val="24"/>
                <w:szCs w:val="24"/>
                <w:color w:val="auto"/>
              </w:rPr>
            </w:pPr>
          </w:p>
        </w:tc>
        <w:tc>
          <w:tcPr>
            <w:tcW w:w="580" w:type="dxa"/>
            <w:vAlign w:val="bottom"/>
            <w:shd w:val="clear" w:color="auto" w:fill="CFF0FC"/>
          </w:tcPr>
          <w:p>
            <w:pPr>
              <w:spacing w:after="0"/>
              <w:rPr>
                <w:sz w:val="24"/>
                <w:szCs w:val="2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100 %</w:t>
            </w:r>
          </w:p>
        </w:tc>
      </w:tr>
      <w:tr>
        <w:trPr>
          <w:trHeight w:val="149"/>
        </w:trPr>
        <w:tc>
          <w:tcPr>
            <w:tcW w:w="4880" w:type="dxa"/>
            <w:vAlign w:val="bottom"/>
            <w:tcBorders>
              <w:top w:val="single" w:sz="8" w:color="CFF0FC"/>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CFF0FC"/>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CFF0FC"/>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CFF0FC"/>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-136525</wp:posOffset>
            </wp:positionV>
            <wp:extent cx="8572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-119380</wp:posOffset>
            </wp:positionV>
            <wp:extent cx="8572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-136525</wp:posOffset>
            </wp:positionV>
            <wp:extent cx="10287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-119380</wp:posOffset>
            </wp:positionV>
            <wp:extent cx="10287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-136525</wp:posOffset>
            </wp:positionV>
            <wp:extent cx="9398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-119380</wp:posOffset>
            </wp:positionV>
            <wp:extent cx="939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83" w:lineRule="exact"/>
        <w:rPr>
          <w:sz w:val="20"/>
          <w:szCs w:val="20"/>
          <w:color w:val="auto"/>
        </w:rPr>
      </w:pPr>
    </w:p>
    <w:p>
      <w:pPr>
        <w:ind w:left="380"/>
        <w:spacing w:after="0"/>
        <w:tabs>
          <w:tab w:leader="none" w:pos="680" w:val="left"/>
        </w:tabs>
        <w:rPr>
          <w:sz w:val="20"/>
          <w:szCs w:val="20"/>
          <w:color w:val="auto"/>
        </w:rPr>
      </w:pPr>
      <w:r>
        <w:rPr>
          <w:rFonts w:ascii="Arial" w:cs="Arial" w:eastAsia="Arial" w:hAnsi="Arial"/>
          <w:sz w:val="14"/>
          <w:szCs w:val="14"/>
          <w:color w:val="auto"/>
        </w:rPr>
        <w:t>(a)</w:t>
        <w:tab/>
        <w:t>Ashland includes only U.S. and Canada in its North America designation.</w:t>
      </w:r>
    </w:p>
    <w:p>
      <w:pPr>
        <w:spacing w:after="0" w:line="226"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Reportable segments</w:t>
      </w:r>
    </w:p>
    <w:p>
      <w:pPr>
        <w:spacing w:after="0" w:line="141" w:lineRule="exact"/>
        <w:rPr>
          <w:sz w:val="20"/>
          <w:szCs w:val="20"/>
          <w:color w:val="auto"/>
        </w:rPr>
      </w:pPr>
    </w:p>
    <w:p>
      <w:pPr>
        <w:jc w:val="both"/>
        <w:ind w:left="380" w:right="380"/>
        <w:spacing w:after="0" w:line="272" w:lineRule="auto"/>
        <w:rPr>
          <w:sz w:val="20"/>
          <w:szCs w:val="20"/>
          <w:color w:val="auto"/>
        </w:rPr>
      </w:pPr>
      <w:r>
        <w:rPr>
          <w:rFonts w:ascii="Arial" w:cs="Arial" w:eastAsia="Arial" w:hAnsi="Arial"/>
          <w:sz w:val="20"/>
          <w:szCs w:val="20"/>
          <w:color w:val="auto"/>
        </w:rPr>
        <w:t>Ashland’s reportable segments include Life Sciences, Personal Care &amp; Household, Specialty Additives, Performance Adhesives and Intermediates and Solvents. Unallocated and Other includes corporate governance activities and certain legacy matters. Ashland has also provided subtotals by its consumer and industrial businesses to reflect the end markets served by each reportable segment. The contribution to sales by each reportable segment expressed as a percentage of total consolidated sales for the three and nine months ended June 30 were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20" w:type="dxa"/>
            <w:vAlign w:val="bottom"/>
          </w:tcPr>
          <w:p>
            <w:pPr>
              <w:spacing w:after="0"/>
              <w:rPr>
                <w:sz w:val="21"/>
                <w:szCs w:val="21"/>
                <w:color w:val="auto"/>
              </w:rPr>
            </w:pPr>
          </w:p>
        </w:tc>
        <w:tc>
          <w:tcPr>
            <w:tcW w:w="4880" w:type="dxa"/>
            <w:vAlign w:val="bottom"/>
            <w:tcBorders>
              <w:top w:val="single" w:sz="8" w:color="auto"/>
            </w:tcBorders>
          </w:tcPr>
          <w:p>
            <w:pPr>
              <w:spacing w:after="0"/>
              <w:rPr>
                <w:sz w:val="21"/>
                <w:szCs w:val="21"/>
                <w:color w:val="auto"/>
              </w:rPr>
            </w:pPr>
          </w:p>
        </w:tc>
        <w:tc>
          <w:tcPr>
            <w:tcW w:w="2060" w:type="dxa"/>
            <w:vAlign w:val="bottom"/>
            <w:tcBorders>
              <w:top w:val="single" w:sz="8" w:color="auto"/>
            </w:tcBorders>
            <w:gridSpan w:val="3"/>
          </w:tcPr>
          <w:p>
            <w:pPr>
              <w:jc w:val="center"/>
              <w:ind w:left="350"/>
              <w:spacing w:after="0"/>
              <w:rPr>
                <w:sz w:val="20"/>
                <w:szCs w:val="20"/>
                <w:color w:val="auto"/>
              </w:rPr>
            </w:pPr>
            <w:r>
              <w:rPr>
                <w:rFonts w:ascii="Arial" w:cs="Arial" w:eastAsia="Arial" w:hAnsi="Arial"/>
                <w:sz w:val="18"/>
                <w:szCs w:val="18"/>
                <w:color w:val="auto"/>
                <w:w w:val="87"/>
              </w:rPr>
              <w:t>Three months ended</w:t>
            </w:r>
          </w:p>
        </w:tc>
        <w:tc>
          <w:tcPr>
            <w:tcW w:w="6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gridSpan w:val="3"/>
          </w:tcPr>
          <w:p>
            <w:pPr>
              <w:jc w:val="center"/>
              <w:ind w:left="390"/>
              <w:spacing w:after="0"/>
              <w:rPr>
                <w:sz w:val="20"/>
                <w:szCs w:val="20"/>
                <w:color w:val="auto"/>
              </w:rPr>
            </w:pPr>
            <w:r>
              <w:rPr>
                <w:rFonts w:ascii="Arial" w:cs="Arial" w:eastAsia="Arial" w:hAnsi="Arial"/>
                <w:sz w:val="18"/>
                <w:szCs w:val="18"/>
                <w:color w:val="auto"/>
                <w:w w:val="89"/>
              </w:rPr>
              <w:t>Nine months ended</w:t>
            </w:r>
          </w:p>
        </w:tc>
        <w:tc>
          <w:tcPr>
            <w:tcW w:w="66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r>
      <w:tr>
        <w:trPr>
          <w:trHeight w:val="276"/>
        </w:trPr>
        <w:tc>
          <w:tcPr>
            <w:tcW w:w="4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060" w:type="dxa"/>
            <w:vAlign w:val="bottom"/>
            <w:tcBorders>
              <w:bottom w:val="single" w:sz="8" w:color="auto"/>
            </w:tcBorders>
            <w:gridSpan w:val="3"/>
          </w:tcPr>
          <w:p>
            <w:pPr>
              <w:jc w:val="center"/>
              <w:ind w:left="350"/>
              <w:spacing w:after="0"/>
              <w:rPr>
                <w:sz w:val="20"/>
                <w:szCs w:val="20"/>
                <w:color w:val="auto"/>
              </w:rPr>
            </w:pPr>
            <w:r>
              <w:rPr>
                <w:rFonts w:ascii="Arial" w:cs="Arial" w:eastAsia="Arial" w:hAnsi="Arial"/>
                <w:sz w:val="18"/>
                <w:szCs w:val="18"/>
                <w:color w:val="auto"/>
                <w:w w:val="84"/>
              </w:rPr>
              <w:t>June 30</w:t>
            </w:r>
          </w:p>
        </w:tc>
        <w:tc>
          <w:tcPr>
            <w:tcW w:w="6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tcBorders>
              <w:bottom w:val="single" w:sz="8" w:color="auto"/>
            </w:tcBorders>
            <w:gridSpan w:val="3"/>
          </w:tcPr>
          <w:p>
            <w:pPr>
              <w:jc w:val="center"/>
              <w:ind w:left="370"/>
              <w:spacing w:after="0"/>
              <w:rPr>
                <w:sz w:val="20"/>
                <w:szCs w:val="20"/>
                <w:color w:val="auto"/>
              </w:rPr>
            </w:pPr>
            <w:r>
              <w:rPr>
                <w:rFonts w:ascii="Arial" w:cs="Arial" w:eastAsia="Arial" w:hAnsi="Arial"/>
                <w:sz w:val="18"/>
                <w:szCs w:val="18"/>
                <w:color w:val="auto"/>
                <w:w w:val="84"/>
              </w:rPr>
              <w:t>June 30</w:t>
            </w:r>
          </w:p>
        </w:tc>
        <w:tc>
          <w:tcPr>
            <w:tcW w:w="6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r>
      <w:tr>
        <w:trPr>
          <w:trHeight w:val="250"/>
        </w:trPr>
        <w:tc>
          <w:tcPr>
            <w:tcW w:w="420" w:type="dxa"/>
            <w:vAlign w:val="bottom"/>
          </w:tcPr>
          <w:p>
            <w:pPr>
              <w:spacing w:after="0"/>
              <w:rPr>
                <w:sz w:val="21"/>
                <w:szCs w:val="21"/>
                <w:color w:val="auto"/>
              </w:rPr>
            </w:pP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Sales by Reportable Segment</w:t>
            </w: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2020</w:t>
            </w:r>
          </w:p>
        </w:tc>
        <w:tc>
          <w:tcPr>
            <w:tcW w:w="14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2020</w:t>
            </w:r>
          </w:p>
        </w:tc>
        <w:tc>
          <w:tcPr>
            <w:tcW w:w="400" w:type="dxa"/>
            <w:vAlign w:val="bottom"/>
          </w:tcPr>
          <w:p>
            <w:pPr>
              <w:spacing w:after="0"/>
              <w:rPr>
                <w:sz w:val="21"/>
                <w:szCs w:val="21"/>
                <w:color w:val="auto"/>
              </w:rPr>
            </w:pPr>
          </w:p>
        </w:tc>
      </w:tr>
      <w:tr>
        <w:trPr>
          <w:trHeight w:val="257"/>
        </w:trPr>
        <w:tc>
          <w:tcPr>
            <w:tcW w:w="420" w:type="dxa"/>
            <w:vAlign w:val="bottom"/>
          </w:tcPr>
          <w:p>
            <w:pPr>
              <w:spacing w:after="0"/>
              <w:rPr>
                <w:sz w:val="22"/>
                <w:szCs w:val="22"/>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Life Sciences</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31 %</w:t>
            </w:r>
          </w:p>
        </w:tc>
        <w:tc>
          <w:tcPr>
            <w:tcW w:w="14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33 %</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31 %</w:t>
            </w:r>
          </w:p>
        </w:tc>
        <w:tc>
          <w:tcPr>
            <w:tcW w:w="16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31 %</w:t>
            </w:r>
          </w:p>
        </w:tc>
        <w:tc>
          <w:tcPr>
            <w:tcW w:w="400" w:type="dxa"/>
            <w:vAlign w:val="bottom"/>
          </w:tcPr>
          <w:p>
            <w:pPr>
              <w:spacing w:after="0"/>
              <w:rPr>
                <w:sz w:val="22"/>
                <w:szCs w:val="22"/>
                <w:color w:val="auto"/>
              </w:rPr>
            </w:pPr>
          </w:p>
        </w:tc>
      </w:tr>
      <w:tr>
        <w:trPr>
          <w:trHeight w:val="257"/>
        </w:trPr>
        <w:tc>
          <w:tcPr>
            <w:tcW w:w="420" w:type="dxa"/>
            <w:vAlign w:val="bottom"/>
          </w:tcPr>
          <w:p>
            <w:pPr>
              <w:spacing w:after="0"/>
              <w:rPr>
                <w:sz w:val="22"/>
                <w:szCs w:val="22"/>
                <w:color w:val="auto"/>
              </w:rPr>
            </w:pPr>
          </w:p>
        </w:tc>
        <w:tc>
          <w:tcPr>
            <w:tcW w:w="4880" w:type="dxa"/>
            <w:vAlign w:val="bottom"/>
          </w:tcPr>
          <w:p>
            <w:pPr>
              <w:spacing w:after="0"/>
              <w:rPr>
                <w:sz w:val="20"/>
                <w:szCs w:val="20"/>
                <w:color w:val="auto"/>
              </w:rPr>
            </w:pPr>
            <w:r>
              <w:rPr>
                <w:rFonts w:ascii="Arial" w:cs="Arial" w:eastAsia="Arial" w:hAnsi="Arial"/>
                <w:sz w:val="18"/>
                <w:szCs w:val="18"/>
                <w:i w:val="1"/>
                <w:iCs w:val="1"/>
                <w:color w:val="auto"/>
              </w:rPr>
              <w:t>Personal Care &amp; Household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23 %</w:t>
            </w:r>
          </w:p>
        </w:tc>
        <w:tc>
          <w:tcPr>
            <w:tcW w:w="14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27 %</w:t>
            </w:r>
          </w:p>
        </w:tc>
        <w:tc>
          <w:tcPr>
            <w:tcW w:w="16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23 %</w:t>
            </w:r>
          </w:p>
        </w:tc>
        <w:tc>
          <w:tcPr>
            <w:tcW w:w="16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26 %</w:t>
            </w:r>
          </w:p>
        </w:tc>
        <w:tc>
          <w:tcPr>
            <w:tcW w:w="400" w:type="dxa"/>
            <w:vAlign w:val="bottom"/>
          </w:tcPr>
          <w:p>
            <w:pPr>
              <w:spacing w:after="0"/>
              <w:rPr>
                <w:sz w:val="22"/>
                <w:szCs w:val="22"/>
                <w:color w:val="auto"/>
              </w:rPr>
            </w:pPr>
          </w:p>
        </w:tc>
      </w:tr>
      <w:tr>
        <w:trPr>
          <w:trHeight w:val="250"/>
        </w:trPr>
        <w:tc>
          <w:tcPr>
            <w:tcW w:w="420" w:type="dxa"/>
            <w:vAlign w:val="bottom"/>
          </w:tcPr>
          <w:p>
            <w:pPr>
              <w:spacing w:after="0"/>
              <w:rPr>
                <w:sz w:val="21"/>
                <w:szCs w:val="21"/>
                <w:color w:val="auto"/>
              </w:rPr>
            </w:pPr>
          </w:p>
        </w:tc>
        <w:tc>
          <w:tcPr>
            <w:tcW w:w="4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Consumer Specialties</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54 %</w:t>
            </w:r>
          </w:p>
        </w:tc>
        <w:tc>
          <w:tcPr>
            <w:tcW w:w="14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60 %</w:t>
            </w:r>
          </w:p>
        </w:tc>
        <w:tc>
          <w:tcPr>
            <w:tcW w:w="16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54 %</w:t>
            </w:r>
          </w:p>
        </w:tc>
        <w:tc>
          <w:tcPr>
            <w:tcW w:w="16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57 %</w:t>
            </w:r>
          </w:p>
        </w:tc>
        <w:tc>
          <w:tcPr>
            <w:tcW w:w="400" w:type="dxa"/>
            <w:vAlign w:val="bottom"/>
          </w:tcPr>
          <w:p>
            <w:pPr>
              <w:spacing w:after="0"/>
              <w:rPr>
                <w:sz w:val="21"/>
                <w:szCs w:val="21"/>
                <w:color w:val="auto"/>
              </w:rPr>
            </w:pPr>
          </w:p>
        </w:tc>
      </w:tr>
      <w:tr>
        <w:trPr>
          <w:trHeight w:val="243"/>
        </w:trPr>
        <w:tc>
          <w:tcPr>
            <w:tcW w:w="420" w:type="dxa"/>
            <w:vAlign w:val="bottom"/>
          </w:tcPr>
          <w:p>
            <w:pPr>
              <w:spacing w:after="0"/>
              <w:rPr>
                <w:sz w:val="21"/>
                <w:szCs w:val="21"/>
                <w:color w:val="auto"/>
              </w:rPr>
            </w:pPr>
          </w:p>
        </w:tc>
        <w:tc>
          <w:tcPr>
            <w:tcW w:w="4880" w:type="dxa"/>
            <w:vAlign w:val="bottom"/>
          </w:tcPr>
          <w:p>
            <w:pPr>
              <w:spacing w:after="0"/>
              <w:rPr>
                <w:sz w:val="20"/>
                <w:szCs w:val="20"/>
                <w:color w:val="auto"/>
              </w:rPr>
            </w:pPr>
            <w:r>
              <w:rPr>
                <w:rFonts w:ascii="Arial" w:cs="Arial" w:eastAsia="Arial" w:hAnsi="Arial"/>
                <w:sz w:val="18"/>
                <w:szCs w:val="18"/>
                <w:i w:val="1"/>
                <w:iCs w:val="1"/>
                <w:color w:val="auto"/>
              </w:rPr>
              <w:t>Specialty Additives</w:t>
            </w:r>
          </w:p>
        </w:tc>
        <w:tc>
          <w:tcPr>
            <w:tcW w:w="1300" w:type="dxa"/>
            <w:vAlign w:val="bottom"/>
          </w:tcPr>
          <w:p>
            <w:pPr>
              <w:jc w:val="right"/>
              <w:spacing w:after="0"/>
              <w:rPr>
                <w:sz w:val="20"/>
                <w:szCs w:val="20"/>
                <w:color w:val="auto"/>
              </w:rPr>
            </w:pPr>
            <w:r>
              <w:rPr>
                <w:rFonts w:ascii="Arial" w:cs="Arial" w:eastAsia="Arial" w:hAnsi="Arial"/>
                <w:sz w:val="18"/>
                <w:szCs w:val="18"/>
                <w:color w:val="auto"/>
              </w:rPr>
              <w:t>27 %</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24 %</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27 %</w:t>
            </w: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25 %</w:t>
            </w:r>
          </w:p>
        </w:tc>
        <w:tc>
          <w:tcPr>
            <w:tcW w:w="400" w:type="dxa"/>
            <w:vAlign w:val="bottom"/>
          </w:tcPr>
          <w:p>
            <w:pPr>
              <w:spacing w:after="0"/>
              <w:rPr>
                <w:sz w:val="21"/>
                <w:szCs w:val="21"/>
                <w:color w:val="auto"/>
              </w:rPr>
            </w:pPr>
          </w:p>
        </w:tc>
      </w:tr>
      <w:tr>
        <w:trPr>
          <w:trHeight w:val="263"/>
        </w:trPr>
        <w:tc>
          <w:tcPr>
            <w:tcW w:w="420" w:type="dxa"/>
            <w:vAlign w:val="bottom"/>
          </w:tcPr>
          <w:p>
            <w:pPr>
              <w:spacing w:after="0"/>
              <w:rPr>
                <w:sz w:val="22"/>
                <w:szCs w:val="22"/>
                <w:color w:val="auto"/>
              </w:rPr>
            </w:pPr>
          </w:p>
        </w:tc>
        <w:tc>
          <w:tcPr>
            <w:tcW w:w="4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Performance Adhesives</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15 %</w:t>
            </w:r>
          </w:p>
        </w:tc>
        <w:tc>
          <w:tcPr>
            <w:tcW w:w="140" w:type="dxa"/>
            <w:vAlign w:val="bottom"/>
            <w:tcBorders>
              <w:bottom w:val="single" w:sz="8" w:color="CFF0FC"/>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12 %</w:t>
            </w:r>
          </w:p>
        </w:tc>
        <w:tc>
          <w:tcPr>
            <w:tcW w:w="16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15 %</w:t>
            </w:r>
          </w:p>
        </w:tc>
        <w:tc>
          <w:tcPr>
            <w:tcW w:w="160" w:type="dxa"/>
            <w:vAlign w:val="bottom"/>
            <w:tcBorders>
              <w:bottom w:val="single" w:sz="8" w:color="CFF0FC"/>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14 %</w:t>
            </w:r>
          </w:p>
        </w:tc>
        <w:tc>
          <w:tcPr>
            <w:tcW w:w="400" w:type="dxa"/>
            <w:vAlign w:val="bottom"/>
          </w:tcPr>
          <w:p>
            <w:pPr>
              <w:spacing w:after="0"/>
              <w:rPr>
                <w:sz w:val="22"/>
                <w:szCs w:val="22"/>
                <w:color w:val="auto"/>
              </w:rPr>
            </w:pPr>
          </w:p>
        </w:tc>
      </w:tr>
      <w:tr>
        <w:trPr>
          <w:trHeight w:val="250"/>
        </w:trPr>
        <w:tc>
          <w:tcPr>
            <w:tcW w:w="420" w:type="dxa"/>
            <w:vAlign w:val="bottom"/>
          </w:tcPr>
          <w:p>
            <w:pPr>
              <w:spacing w:after="0"/>
              <w:rPr>
                <w:sz w:val="21"/>
                <w:szCs w:val="21"/>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Industrial Specialties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42 %</w:t>
            </w:r>
          </w:p>
        </w:tc>
        <w:tc>
          <w:tcPr>
            <w:tcW w:w="14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36 %</w:t>
            </w:r>
          </w:p>
        </w:tc>
        <w:tc>
          <w:tcPr>
            <w:tcW w:w="160" w:type="dxa"/>
            <w:vAlign w:val="bottom"/>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42 %</w:t>
            </w:r>
          </w:p>
        </w:tc>
        <w:tc>
          <w:tcPr>
            <w:tcW w:w="16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39 %</w:t>
            </w:r>
          </w:p>
        </w:tc>
        <w:tc>
          <w:tcPr>
            <w:tcW w:w="40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4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Intermediates and Solvents</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14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16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16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400" w:type="dxa"/>
            <w:vAlign w:val="bottom"/>
          </w:tcPr>
          <w:p>
            <w:pPr>
              <w:spacing w:after="0"/>
              <w:rPr>
                <w:sz w:val="21"/>
                <w:szCs w:val="21"/>
                <w:color w:val="auto"/>
              </w:rPr>
            </w:pPr>
          </w:p>
        </w:tc>
      </w:tr>
      <w:tr>
        <w:trPr>
          <w:trHeight w:val="244"/>
        </w:trPr>
        <w:tc>
          <w:tcPr>
            <w:tcW w:w="42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100 %</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100 %</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100 %</w:t>
            </w:r>
          </w:p>
        </w:tc>
        <w:tc>
          <w:tcPr>
            <w:tcW w:w="400" w:type="dxa"/>
            <w:vAlign w:val="bottom"/>
          </w:tcPr>
          <w:p>
            <w:pPr>
              <w:spacing w:after="0"/>
              <w:rPr>
                <w:sz w:val="21"/>
                <w:szCs w:val="21"/>
                <w:color w:val="auto"/>
              </w:rPr>
            </w:pPr>
          </w:p>
        </w:tc>
      </w:tr>
      <w:tr>
        <w:trPr>
          <w:trHeight w:val="20"/>
        </w:trPr>
        <w:tc>
          <w:tcPr>
            <w:tcW w:w="4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716"/>
        </w:trPr>
        <w:tc>
          <w:tcPr>
            <w:tcW w:w="4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300" w:type="dxa"/>
            <w:vAlign w:val="bottom"/>
          </w:tcPr>
          <w:p>
            <w:pPr>
              <w:jc w:val="right"/>
              <w:ind w:right="79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48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-1419225</wp:posOffset>
            </wp:positionV>
            <wp:extent cx="85725" cy="57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-1419225</wp:posOffset>
            </wp:positionV>
            <wp:extent cx="102870" cy="57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-1419225</wp:posOffset>
            </wp:positionV>
            <wp:extent cx="93980" cy="571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-1085215</wp:posOffset>
            </wp:positionV>
            <wp:extent cx="85725" cy="57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-1085215</wp:posOffset>
            </wp:positionV>
            <wp:extent cx="102870" cy="57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-1085215</wp:posOffset>
            </wp:positionV>
            <wp:extent cx="93980" cy="57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-742315</wp:posOffset>
            </wp:positionV>
            <wp:extent cx="85725" cy="57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-742315</wp:posOffset>
            </wp:positionV>
            <wp:extent cx="102870" cy="57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-742315</wp:posOffset>
            </wp:positionV>
            <wp:extent cx="93980" cy="57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6" w:name="page37"/>
    <w:bookmarkEnd w:id="36"/>
    <w:p>
      <w:pPr>
        <w:spacing w:after="0"/>
        <w:rPr>
          <w:sz w:val="20"/>
          <w:szCs w:val="20"/>
          <w:color w:val="auto"/>
        </w:rPr>
      </w:pPr>
      <w:r>
        <w:rPr>
          <w:rFonts w:ascii="Arial" w:cs="Arial" w:eastAsia="Arial" w:hAnsi="Arial"/>
          <w:sz w:val="20"/>
          <w:szCs w:val="20"/>
          <w:b w:val="1"/>
          <w:bCs w:val="1"/>
          <w:color w:val="auto"/>
        </w:rPr>
        <w:t>KEY DEVELOPMENTS</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Business results current quarter</w:t>
      </w:r>
    </w:p>
    <w:p>
      <w:pPr>
        <w:spacing w:after="0" w:line="141" w:lineRule="exact"/>
        <w:rPr>
          <w:sz w:val="20"/>
          <w:szCs w:val="20"/>
          <w:color w:val="auto"/>
        </w:rPr>
      </w:pPr>
    </w:p>
    <w:p>
      <w:pPr>
        <w:jc w:val="both"/>
        <w:ind w:left="380"/>
        <w:spacing w:after="0" w:line="351" w:lineRule="auto"/>
        <w:rPr>
          <w:sz w:val="20"/>
          <w:szCs w:val="20"/>
          <w:color w:val="auto"/>
        </w:rPr>
      </w:pPr>
      <w:r>
        <w:rPr>
          <w:rFonts w:ascii="Arial" w:cs="Arial" w:eastAsia="Arial" w:hAnsi="Arial"/>
          <w:sz w:val="16"/>
          <w:szCs w:val="16"/>
          <w:color w:val="auto"/>
        </w:rPr>
        <w:t>Ashland recorded net income of $80 million (income of $87 million in continuing operations and loss of $7 million in discontinued operations) and net income of $37 million (income of $50 million in continuing operations and loss of $13 million in discontinued operations) in the current and prior year quarters, respectively. Ashland’s EBITDA of $122 million increased by $25 million, while Ashland’s Adjusted EBITDA was $148 million for the current quarter compared to $143 million in the prior year quarter (see U.S. GAAP reconciliation below under consolidated review). These increases were primarily driven by improved industrial volumes and favorable foreign currency, partially offset by weaker personal care volumes and increased plant, manufacturing, and shipping costs.</w:t>
      </w:r>
    </w:p>
    <w:p>
      <w:pPr>
        <w:spacing w:after="0" w:line="27"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Uncertainty relating to the COVID-19 pandemic</w:t>
      </w:r>
    </w:p>
    <w:p>
      <w:pPr>
        <w:spacing w:after="0" w:line="141" w:lineRule="exact"/>
        <w:rPr>
          <w:sz w:val="20"/>
          <w:szCs w:val="20"/>
          <w:color w:val="auto"/>
        </w:rPr>
      </w:pPr>
    </w:p>
    <w:p>
      <w:pPr>
        <w:jc w:val="both"/>
        <w:ind w:left="380"/>
        <w:spacing w:after="0" w:line="302" w:lineRule="auto"/>
        <w:rPr>
          <w:sz w:val="20"/>
          <w:szCs w:val="20"/>
          <w:color w:val="auto"/>
        </w:rPr>
      </w:pPr>
      <w:r>
        <w:rPr>
          <w:rFonts w:ascii="Arial" w:cs="Arial" w:eastAsia="Arial" w:hAnsi="Arial"/>
          <w:sz w:val="18"/>
          <w:szCs w:val="18"/>
          <w:color w:val="auto"/>
        </w:rPr>
        <w:t>Ashland continues to closely monitor the impact of the COVID-19 pandemic on all aspects of its business and geographies, including how it will impact customers, employees, suppliers, vendors, business partners and distribution channels. Ashland is unable to predict the impact that the COVID-19 pandemic will have on its future financial position and operating results due to numerous uncertainties. These uncertainties include the severity of the virus, the duration of the outbreak, governmental, business or other actions, impacts on Ashland’s supply chain, the effect on customer demand, or changes to Ashland’s operations. The health of Ashland’s workforce and its ability to meet staffing needs throughout the critical functions cannot be predicted and is vital to operations. Further, the impacts of a potential worsening of global economic conditions and the continued disruptions to, and volatility in, the credit and financial markets, consumer spending as well as other unanticipated consequences remain unknown. In addition, Ashland cannot predict the impact that the COVID-19 pandemic will have on its customers, vendors, suppliers and other business partners; however, any material effect on these parties could adversely impact Ashland.</w:t>
      </w:r>
    </w:p>
    <w:p>
      <w:pPr>
        <w:spacing w:after="0" w:line="68" w:lineRule="exact"/>
        <w:rPr>
          <w:sz w:val="20"/>
          <w:szCs w:val="20"/>
          <w:color w:val="auto"/>
        </w:rPr>
      </w:pPr>
    </w:p>
    <w:p>
      <w:pPr>
        <w:jc w:val="both"/>
        <w:ind w:left="380"/>
        <w:spacing w:after="0" w:line="302" w:lineRule="auto"/>
        <w:rPr>
          <w:sz w:val="20"/>
          <w:szCs w:val="20"/>
          <w:color w:val="auto"/>
        </w:rPr>
      </w:pPr>
      <w:r>
        <w:rPr>
          <w:rFonts w:ascii="Arial" w:cs="Arial" w:eastAsia="Arial" w:hAnsi="Arial"/>
          <w:sz w:val="18"/>
          <w:szCs w:val="18"/>
          <w:color w:val="auto"/>
        </w:rPr>
        <w:t>Ashland continues to successfully navigate the uncertain environment associated with the COVID-19 pandemic. This includes the execution of shelter in place, social distancing and deep cleaning process requirements. Through the third quarter of fiscal year 2021, Ashland has not experienced any additional major operating surprises related to the COVID-19 pandemic, continues to maintain a robust supply chain in a challenging environment, had strong safety performance in the face of unprecedented pressures and improved operating discipline across each of its businesses. The consumer specialties businesses continued to show resiliency in the face of difficult economic circumstances. The industrial specialties businesses and the Intermediates and Solvents business experienced downward pressure on demand as a result of the COVID-19 pandemic’s impact on those businesses’ end markets in 2020, with improved conditions through the third quarter of 2021. Ashland’s overall liquidity remains strong and Ashland is able to meet its operating cash needs and other investing and financing cash requirements at this time, including those necessary to grow the business as economic conditions continue to improve.</w:t>
      </w:r>
    </w:p>
    <w:p>
      <w:pPr>
        <w:spacing w:after="0" w:line="68" w:lineRule="exact"/>
        <w:rPr>
          <w:sz w:val="20"/>
          <w:szCs w:val="20"/>
          <w:color w:val="auto"/>
        </w:rPr>
      </w:pPr>
    </w:p>
    <w:p>
      <w:pPr>
        <w:jc w:val="both"/>
        <w:ind w:left="380"/>
        <w:spacing w:after="0" w:line="322" w:lineRule="auto"/>
        <w:rPr>
          <w:sz w:val="20"/>
          <w:szCs w:val="20"/>
          <w:color w:val="auto"/>
        </w:rPr>
      </w:pPr>
      <w:r>
        <w:rPr>
          <w:rFonts w:ascii="Arial" w:cs="Arial" w:eastAsia="Arial" w:hAnsi="Arial"/>
          <w:sz w:val="18"/>
          <w:szCs w:val="18"/>
          <w:color w:val="auto"/>
        </w:rPr>
        <w:t>The situation surrounding the COVID-19 pandemic remains fluid, and Ashland is actively managing its response in collaboration with customers, government officials, team members and business partners. For further information regarding the impact of the COVID-19 pandemic on the Company, please see Item 1A, Risk Factors in Ashland’s most recent Form 10-K filed with the SEC.</w:t>
      </w:r>
    </w:p>
    <w:p>
      <w:pPr>
        <w:spacing w:after="0" w:line="38"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Other items</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Operational business model changes and restructurings</w:t>
      </w:r>
    </w:p>
    <w:p>
      <w:pPr>
        <w:spacing w:after="0" w:line="135" w:lineRule="exact"/>
        <w:rPr>
          <w:sz w:val="20"/>
          <w:szCs w:val="20"/>
          <w:color w:val="auto"/>
        </w:rPr>
      </w:pPr>
    </w:p>
    <w:p>
      <w:pPr>
        <w:jc w:val="both"/>
        <w:ind w:left="380"/>
        <w:spacing w:after="0" w:line="290" w:lineRule="auto"/>
        <w:rPr>
          <w:sz w:val="20"/>
          <w:szCs w:val="20"/>
          <w:color w:val="auto"/>
        </w:rPr>
      </w:pPr>
      <w:r>
        <w:rPr>
          <w:rFonts w:ascii="Arial" w:cs="Arial" w:eastAsia="Arial" w:hAnsi="Arial"/>
          <w:sz w:val="19"/>
          <w:szCs w:val="19"/>
          <w:color w:val="auto"/>
        </w:rPr>
        <w:t>During the second quarter of fiscal year 2020, Ashland changed the manner in which it manages the business moving from a functionally led to a business led organization. This new business-centric operational redesign of core operating systems and processes lead to a realignment in both the selling, general and administrative and research and development costs (SARD) associated with each business. In addition to the realignment of SARD, a productivity review with a focus on cost of goods sold (COGS) was also initiated. Based on these initiatives, Ashland is currently targeting the following savings: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$50 million of incremental SARD cost savings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$50 million of incremental COGS productivity savings</w:t>
      </w:r>
    </w:p>
    <w:p>
      <w:pPr>
        <w:spacing w:after="0" w:line="13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360" w:right="719" w:bottom="1440" w:gutter="0" w:footer="0" w:header="0"/>
        </w:sectPr>
      </w:pPr>
    </w:p>
    <w:bookmarkStart w:id="37" w:name="page38"/>
    <w:bookmarkEnd w:id="37"/>
    <w:p>
      <w:pPr>
        <w:jc w:val="both"/>
        <w:ind w:left="380"/>
        <w:spacing w:after="0" w:line="278" w:lineRule="auto"/>
        <w:rPr>
          <w:sz w:val="20"/>
          <w:szCs w:val="20"/>
          <w:color w:val="auto"/>
        </w:rPr>
      </w:pPr>
      <w:r>
        <w:rPr>
          <w:rFonts w:ascii="Arial" w:cs="Arial" w:eastAsia="Arial" w:hAnsi="Arial"/>
          <w:sz w:val="20"/>
          <w:szCs w:val="20"/>
          <w:color w:val="auto"/>
        </w:rPr>
        <w:t>As of June 30, 2021, Ashland achieved greater than 91% of its target run-rate cost savings, representing $93 million in annualized run-rate savings under these initiatives. Ashland expects to be substantially complete with these initiatives by the end of the calendar year 2021.</w:t>
      </w:r>
    </w:p>
    <w:p>
      <w:pPr>
        <w:spacing w:after="0" w:line="78"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Personal Care &amp; Household acquisition</w:t>
      </w:r>
    </w:p>
    <w:p>
      <w:pPr>
        <w:spacing w:after="0" w:line="135" w:lineRule="exact"/>
        <w:rPr>
          <w:sz w:val="20"/>
          <w:szCs w:val="20"/>
          <w:color w:val="auto"/>
        </w:rPr>
      </w:pPr>
    </w:p>
    <w:p>
      <w:pPr>
        <w:jc w:val="both"/>
        <w:ind w:left="380"/>
        <w:spacing w:after="0" w:line="278" w:lineRule="auto"/>
        <w:rPr>
          <w:sz w:val="20"/>
          <w:szCs w:val="20"/>
          <w:color w:val="auto"/>
        </w:rPr>
      </w:pPr>
      <w:r>
        <w:rPr>
          <w:rFonts w:ascii="Arial" w:cs="Arial" w:eastAsia="Arial" w:hAnsi="Arial"/>
          <w:sz w:val="20"/>
          <w:szCs w:val="20"/>
          <w:color w:val="auto"/>
        </w:rPr>
        <w:t>On April 30, 2021, Ashland completed its acquisition of the personal care business of Schülke &amp; Mayr GmbH (Schülke), a portfolio company of the global investment organization EQT. Ashland has included the purchase of this business within the Personal Care and Household reporting segment.</w:t>
      </w:r>
    </w:p>
    <w:p>
      <w:pPr>
        <w:spacing w:after="0" w:line="78" w:lineRule="exact"/>
        <w:rPr>
          <w:sz w:val="20"/>
          <w:szCs w:val="20"/>
          <w:color w:val="auto"/>
        </w:rPr>
      </w:pPr>
    </w:p>
    <w:p>
      <w:pPr>
        <w:jc w:val="both"/>
        <w:ind w:left="380"/>
        <w:spacing w:after="0" w:line="347" w:lineRule="auto"/>
        <w:rPr>
          <w:sz w:val="20"/>
          <w:szCs w:val="20"/>
          <w:color w:val="auto"/>
        </w:rPr>
      </w:pPr>
      <w:r>
        <w:rPr>
          <w:rFonts w:ascii="Arial" w:cs="Arial" w:eastAsia="Arial" w:hAnsi="Arial"/>
          <w:sz w:val="18"/>
          <w:szCs w:val="18"/>
          <w:color w:val="auto"/>
        </w:rPr>
        <w:t>The acquisition was recorded by Ashland using the purchase method of accounting in accordance with applicable U.S. GAAP whereby the total purchase price was allocated to tangible assets and liabilities acquired based on respective fair values.</w:t>
      </w:r>
    </w:p>
    <w:p>
      <w:pPr>
        <w:spacing w:after="0" w:line="22" w:lineRule="exact"/>
        <w:rPr>
          <w:sz w:val="20"/>
          <w:szCs w:val="20"/>
          <w:color w:val="auto"/>
        </w:rPr>
      </w:pPr>
    </w:p>
    <w:p>
      <w:pPr>
        <w:jc w:val="both"/>
        <w:ind w:left="380"/>
        <w:spacing w:after="0" w:line="271" w:lineRule="auto"/>
        <w:rPr>
          <w:sz w:val="20"/>
          <w:szCs w:val="20"/>
          <w:color w:val="auto"/>
        </w:rPr>
      </w:pPr>
      <w:r>
        <w:rPr>
          <w:rFonts w:ascii="Arial" w:cs="Arial" w:eastAsia="Arial" w:hAnsi="Arial"/>
          <w:sz w:val="20"/>
          <w:szCs w:val="20"/>
          <w:color w:val="auto"/>
        </w:rPr>
        <w:t>The all-cash purchase price of Schülke was $311 million. Ashland incurred acquisition related transaction cost of $2 million and $4 million during the three and nine months ended June 2021, respectively, which are recorded within the net income on acquisitions and divestitures caption within the Statement of Consolidated Comprehensive Income (Loss). Within this same caption, Ashland recognized income of $4 million and $1 million during the three and nine months ended June 30, 2021, respectively, associated with foreign currency derivative and gains on foreign exchange contracts entered into to mitigate the exposure of the Euro denominated purchase price.</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Strategic review of Performance Adhesives business</w:t>
      </w:r>
    </w:p>
    <w:p>
      <w:pPr>
        <w:spacing w:after="0" w:line="135" w:lineRule="exact"/>
        <w:rPr>
          <w:sz w:val="20"/>
          <w:szCs w:val="20"/>
          <w:color w:val="auto"/>
        </w:rPr>
      </w:pPr>
    </w:p>
    <w:p>
      <w:pPr>
        <w:jc w:val="both"/>
        <w:ind w:left="380"/>
        <w:spacing w:after="0" w:line="278" w:lineRule="auto"/>
        <w:rPr>
          <w:sz w:val="20"/>
          <w:szCs w:val="20"/>
          <w:color w:val="auto"/>
        </w:rPr>
      </w:pPr>
      <w:r>
        <w:rPr>
          <w:rFonts w:ascii="Arial" w:cs="Arial" w:eastAsia="Arial" w:hAnsi="Arial"/>
          <w:sz w:val="20"/>
          <w:szCs w:val="20"/>
          <w:color w:val="auto"/>
        </w:rPr>
        <w:t>On May 25, 2021, Ashland announced a strategic review of its Performance Adhesives business unit. Ashland intends to evaluate all options with respect to the business unit, including a potential sale. Ashland anticipates completing the strategic review by the end of calendar year 2021.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 – CONSOLIDATED REVIEW</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20"/>
          <w:szCs w:val="20"/>
          <w:b w:val="1"/>
          <w:bCs w:val="1"/>
          <w:i w:val="1"/>
          <w:iCs w:val="1"/>
          <w:color w:val="auto"/>
        </w:rPr>
        <w:t>Consolidated review</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Net income</w:t>
      </w:r>
    </w:p>
    <w:p>
      <w:pPr>
        <w:spacing w:after="0" w:line="135" w:lineRule="exact"/>
        <w:rPr>
          <w:sz w:val="20"/>
          <w:szCs w:val="20"/>
          <w:color w:val="auto"/>
        </w:rPr>
      </w:pPr>
    </w:p>
    <w:p>
      <w:pPr>
        <w:jc w:val="both"/>
        <w:ind w:left="380"/>
        <w:spacing w:after="0" w:line="288" w:lineRule="auto"/>
        <w:rPr>
          <w:sz w:val="20"/>
          <w:szCs w:val="20"/>
          <w:color w:val="auto"/>
        </w:rPr>
      </w:pPr>
      <w:r>
        <w:rPr>
          <w:rFonts w:ascii="Arial" w:cs="Arial" w:eastAsia="Arial" w:hAnsi="Arial"/>
          <w:sz w:val="20"/>
          <w:szCs w:val="20"/>
          <w:color w:val="auto"/>
        </w:rPr>
        <w:t>Ashland’s net income is primarily affected by results within operating income, net interest and other expense, income taxes, discontinued operations and other significant events or transactions that are unusual or nonrecurring.</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Key financial results for the three months ended June 30, 2021 and 2020 included the following:</w:t>
      </w:r>
    </w:p>
    <w:p>
      <w:pPr>
        <w:spacing w:after="0" w:line="135" w:lineRule="exact"/>
        <w:rPr>
          <w:sz w:val="20"/>
          <w:szCs w:val="20"/>
          <w:color w:val="auto"/>
        </w:rPr>
      </w:pPr>
    </w:p>
    <w:p>
      <w:pPr>
        <w:ind w:left="700" w:right="280"/>
        <w:spacing w:after="0" w:line="288" w:lineRule="auto"/>
        <w:rPr>
          <w:sz w:val="20"/>
          <w:szCs w:val="20"/>
          <w:color w:val="auto"/>
        </w:rPr>
      </w:pPr>
      <w:r>
        <w:rPr>
          <w:rFonts w:ascii="Arial" w:cs="Arial" w:eastAsia="Arial" w:hAnsi="Arial"/>
          <w:sz w:val="20"/>
          <w:szCs w:val="20"/>
          <w:color w:val="auto"/>
        </w:rPr>
        <w:t>Ashland’s net income amounted to $80 million compared to $37 million for the three months ended June 30, 2021 and 2020, respectively, or income of $1.29 and $0.61 diluted earnings per share, respectively.</w:t>
      </w:r>
    </w:p>
    <w:p>
      <w:pPr>
        <w:spacing w:after="0" w:line="69" w:lineRule="exact"/>
        <w:rPr>
          <w:sz w:val="20"/>
          <w:szCs w:val="20"/>
          <w:color w:val="auto"/>
        </w:rPr>
      </w:pPr>
    </w:p>
    <w:p>
      <w:pPr>
        <w:ind w:left="700" w:right="540"/>
        <w:spacing w:after="0" w:line="288" w:lineRule="auto"/>
        <w:rPr>
          <w:sz w:val="20"/>
          <w:szCs w:val="20"/>
          <w:color w:val="auto"/>
        </w:rPr>
      </w:pPr>
      <w:r>
        <w:rPr>
          <w:rFonts w:ascii="Arial" w:cs="Arial" w:eastAsia="Arial" w:hAnsi="Arial"/>
          <w:sz w:val="20"/>
          <w:szCs w:val="20"/>
          <w:color w:val="auto"/>
        </w:rPr>
        <w:t>Discontinued operations, which are reported net of taxes, resulted in losses of $7 million and $13 million during the three months ended June 30, 2021 and 2020, respectively.</w:t>
      </w:r>
    </w:p>
    <w:p>
      <w:pPr>
        <w:spacing w:after="0" w:line="69" w:lineRule="exact"/>
        <w:rPr>
          <w:sz w:val="20"/>
          <w:szCs w:val="20"/>
          <w:color w:val="auto"/>
        </w:rPr>
      </w:pPr>
    </w:p>
    <w:p>
      <w:pPr>
        <w:ind w:left="700" w:right="200"/>
        <w:spacing w:after="0" w:line="288" w:lineRule="auto"/>
        <w:rPr>
          <w:sz w:val="20"/>
          <w:szCs w:val="20"/>
          <w:color w:val="auto"/>
        </w:rPr>
      </w:pPr>
      <w:r>
        <w:rPr>
          <w:rFonts w:ascii="Arial" w:cs="Arial" w:eastAsia="Arial" w:hAnsi="Arial"/>
          <w:sz w:val="20"/>
          <w:szCs w:val="20"/>
          <w:color w:val="auto"/>
        </w:rPr>
        <w:t>Income from continuing operations, which excludes results from discontinued operations, amounted to income of $87 million and $50 million for the three months ended June 30, 2021 and 2020, respectively.</w:t>
      </w:r>
    </w:p>
    <w:p>
      <w:pPr>
        <w:spacing w:after="0" w:line="69" w:lineRule="exact"/>
        <w:rPr>
          <w:sz w:val="20"/>
          <w:szCs w:val="20"/>
          <w:color w:val="auto"/>
        </w:rPr>
      </w:pPr>
    </w:p>
    <w:p>
      <w:pPr>
        <w:jc w:val="both"/>
        <w:ind w:left="700" w:right="420"/>
        <w:spacing w:after="0" w:line="405" w:lineRule="auto"/>
        <w:rPr>
          <w:sz w:val="20"/>
          <w:szCs w:val="20"/>
          <w:color w:val="auto"/>
        </w:rPr>
      </w:pPr>
      <w:r>
        <w:rPr>
          <w:rFonts w:ascii="Arial" w:cs="Arial" w:eastAsia="Arial" w:hAnsi="Arial"/>
          <w:sz w:val="16"/>
          <w:szCs w:val="16"/>
          <w:color w:val="auto"/>
        </w:rPr>
        <w:t>The effective income tax rates were a benefit of 38% and an expense of 19% for the three months ended June 30, 2021 and 2020, respectively, and were significantly impacted by certain tax discrete items in both the current and prior year quarters.</w:t>
      </w:r>
    </w:p>
    <w:p>
      <w:pPr>
        <w:ind w:left="700" w:right="20"/>
        <w:spacing w:after="0" w:line="278" w:lineRule="auto"/>
        <w:rPr>
          <w:sz w:val="20"/>
          <w:szCs w:val="20"/>
          <w:color w:val="auto"/>
        </w:rPr>
      </w:pPr>
      <w:r>
        <w:rPr>
          <w:rFonts w:ascii="Arial" w:cs="Arial" w:eastAsia="Arial" w:hAnsi="Arial"/>
          <w:sz w:val="20"/>
          <w:szCs w:val="20"/>
          <w:color w:val="auto"/>
        </w:rPr>
        <w:t>Ashland incurred pretax net interest and other expense of $1 million and income of $14 million for the three months ended June 30, 2021 and 2020, respectively. This includes gains of $15 million and $31 million on restricted investments, respectively, for the current and prior year quarters.</w:t>
      </w:r>
    </w:p>
    <w:p>
      <w:pPr>
        <w:spacing w:after="0" w:line="78" w:lineRule="exact"/>
        <w:rPr>
          <w:sz w:val="20"/>
          <w:szCs w:val="20"/>
          <w:color w:val="auto"/>
        </w:rPr>
      </w:pPr>
    </w:p>
    <w:p>
      <w:pPr>
        <w:ind w:left="700"/>
        <w:spacing w:after="0"/>
        <w:rPr>
          <w:sz w:val="20"/>
          <w:szCs w:val="20"/>
          <w:color w:val="auto"/>
        </w:rPr>
      </w:pPr>
      <w:r>
        <w:rPr>
          <w:rFonts w:ascii="Arial" w:cs="Arial" w:eastAsia="Arial" w:hAnsi="Arial"/>
          <w:sz w:val="20"/>
          <w:szCs w:val="20"/>
          <w:color w:val="auto"/>
        </w:rPr>
        <w:t>Net income on divestitures totaled income of $2 million for the three months ended June 30, 2021.</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9"/>
          <w:szCs w:val="19"/>
          <w:color w:val="auto"/>
        </w:rPr>
        <w:t>Operating income was $62 million and $48 million for the three months ended June 30, 2021 and 2020, respectively.</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Key financial results for the nine months ended June 30, 2021 and 2020 included the following:</w:t>
      </w:r>
    </w:p>
    <w:p>
      <w:pPr>
        <w:spacing w:after="0" w:line="13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474" w:right="719" w:bottom="1440" w:gutter="0" w:footer="0" w:header="0"/>
        </w:sectPr>
      </w:pPr>
    </w:p>
    <w:bookmarkStart w:id="38" w:name="page39"/>
    <w:bookmarkEnd w:id="38"/>
    <w:p>
      <w:pPr>
        <w:ind w:left="320" w:right="200"/>
        <w:spacing w:after="0" w:line="347" w:lineRule="auto"/>
        <w:rPr>
          <w:sz w:val="20"/>
          <w:szCs w:val="20"/>
          <w:color w:val="auto"/>
        </w:rPr>
      </w:pPr>
      <w:r>
        <w:rPr>
          <w:rFonts w:ascii="Arial" w:cs="Arial" w:eastAsia="Arial" w:hAnsi="Arial"/>
          <w:sz w:val="18"/>
          <w:szCs w:val="18"/>
          <w:color w:val="auto"/>
        </w:rPr>
        <w:t>Ashland’s net income/loss amounted to income of $176 million compared to a loss of $513 million for the nine months ended June 30, 2021 and 2020, respectively, or income of $2.87 and loss of $8.47 diluted earnings per share, respectively.</w:t>
      </w:r>
    </w:p>
    <w:p>
      <w:pPr>
        <w:spacing w:after="0" w:line="22" w:lineRule="exact"/>
        <w:rPr>
          <w:sz w:val="20"/>
          <w:szCs w:val="20"/>
          <w:color w:val="auto"/>
        </w:rPr>
      </w:pPr>
    </w:p>
    <w:p>
      <w:pPr>
        <w:ind w:left="320" w:right="520"/>
        <w:spacing w:after="0" w:line="288" w:lineRule="auto"/>
        <w:rPr>
          <w:sz w:val="20"/>
          <w:szCs w:val="20"/>
          <w:color w:val="auto"/>
        </w:rPr>
      </w:pPr>
      <w:r>
        <w:rPr>
          <w:rFonts w:ascii="Arial" w:cs="Arial" w:eastAsia="Arial" w:hAnsi="Arial"/>
          <w:sz w:val="20"/>
          <w:szCs w:val="20"/>
          <w:color w:val="auto"/>
        </w:rPr>
        <w:t>Discontinued operations, which are reported net of taxes, resulted in a loss of $14 million and $22 million during the nine months ended June 30, 2021 and 2020, respectively.</w:t>
      </w:r>
    </w:p>
    <w:p>
      <w:pPr>
        <w:spacing w:after="0" w:line="69" w:lineRule="exact"/>
        <w:rPr>
          <w:sz w:val="20"/>
          <w:szCs w:val="20"/>
          <w:color w:val="auto"/>
        </w:rPr>
      </w:pPr>
    </w:p>
    <w:p>
      <w:pPr>
        <w:ind w:left="320" w:right="800"/>
        <w:spacing w:after="0" w:line="347" w:lineRule="auto"/>
        <w:rPr>
          <w:sz w:val="20"/>
          <w:szCs w:val="20"/>
          <w:color w:val="auto"/>
        </w:rPr>
      </w:pPr>
      <w:r>
        <w:rPr>
          <w:rFonts w:ascii="Arial" w:cs="Arial" w:eastAsia="Arial" w:hAnsi="Arial"/>
          <w:sz w:val="18"/>
          <w:szCs w:val="18"/>
          <w:color w:val="auto"/>
        </w:rPr>
        <w:t>Income/loss from continuing operations, which excludes results from discontinued operations, amounted to income of $190 million and a loss of $491 million for the nine months ended June 30, 2021 and 2020, respectively.</w:t>
      </w:r>
    </w:p>
    <w:p>
      <w:pPr>
        <w:spacing w:after="0" w:line="22" w:lineRule="exact"/>
        <w:rPr>
          <w:sz w:val="20"/>
          <w:szCs w:val="20"/>
          <w:color w:val="auto"/>
        </w:rPr>
      </w:pPr>
    </w:p>
    <w:p>
      <w:pPr>
        <w:ind w:left="320"/>
        <w:spacing w:after="0" w:line="288" w:lineRule="auto"/>
        <w:rPr>
          <w:sz w:val="20"/>
          <w:szCs w:val="20"/>
          <w:color w:val="auto"/>
        </w:rPr>
      </w:pPr>
      <w:r>
        <w:rPr>
          <w:rFonts w:ascii="Arial" w:cs="Arial" w:eastAsia="Arial" w:hAnsi="Arial"/>
          <w:sz w:val="20"/>
          <w:szCs w:val="20"/>
          <w:color w:val="auto"/>
        </w:rPr>
        <w:t>Results from continuing operations include a goodwill impairment charge of $530 million during the prior year period related to the Personal Care &amp; Household and the Specialty Additives segments.</w:t>
      </w:r>
    </w:p>
    <w:p>
      <w:pPr>
        <w:spacing w:after="0" w:line="69" w:lineRule="exact"/>
        <w:rPr>
          <w:sz w:val="20"/>
          <w:szCs w:val="20"/>
          <w:color w:val="auto"/>
        </w:rPr>
      </w:pPr>
    </w:p>
    <w:p>
      <w:pPr>
        <w:ind w:left="320" w:right="640"/>
        <w:spacing w:after="0" w:line="405" w:lineRule="auto"/>
        <w:rPr>
          <w:sz w:val="20"/>
          <w:szCs w:val="20"/>
          <w:color w:val="auto"/>
        </w:rPr>
      </w:pPr>
      <w:r>
        <w:rPr>
          <w:rFonts w:ascii="Arial" w:cs="Arial" w:eastAsia="Arial" w:hAnsi="Arial"/>
          <w:sz w:val="16"/>
          <w:szCs w:val="16"/>
          <w:color w:val="auto"/>
        </w:rPr>
        <w:t>The effective income tax rates were benefits of 13% percent and 4% for the nine months ended June 30, 2021 and 2020, respectively, and were significantly impacted by certain tax discrete items in both the current and prior year periods.</w:t>
      </w:r>
    </w:p>
    <w:p>
      <w:pPr>
        <w:ind w:left="320"/>
        <w:spacing w:after="0" w:line="274" w:lineRule="auto"/>
        <w:rPr>
          <w:sz w:val="20"/>
          <w:szCs w:val="20"/>
          <w:color w:val="auto"/>
        </w:rPr>
      </w:pPr>
      <w:r>
        <w:rPr>
          <w:rFonts w:ascii="Arial" w:cs="Arial" w:eastAsia="Arial" w:hAnsi="Arial"/>
          <w:sz w:val="20"/>
          <w:szCs w:val="20"/>
          <w:color w:val="auto"/>
        </w:rPr>
        <w:t>Ashland incurred pretax net interest and other expense of $18 million and $113 million for the nine months ended June 30, 2021 and 2020, respectively. This includes gains of $26 million and $9 million on restricted investments, respectively, for the current and prior year periods, as well as charges for $59 million and $9 million for debt refinancing costs and accelerated debt issuance costs, respectively, for the prior year period.</w:t>
      </w:r>
    </w:p>
    <w:p>
      <w:pPr>
        <w:spacing w:after="0" w:line="84" w:lineRule="exact"/>
        <w:rPr>
          <w:sz w:val="20"/>
          <w:szCs w:val="20"/>
          <w:color w:val="auto"/>
        </w:rPr>
      </w:pPr>
    </w:p>
    <w:p>
      <w:pPr>
        <w:ind w:left="320" w:right="340"/>
        <w:spacing w:after="0" w:line="288" w:lineRule="auto"/>
        <w:rPr>
          <w:sz w:val="20"/>
          <w:szCs w:val="20"/>
          <w:color w:val="auto"/>
        </w:rPr>
      </w:pPr>
      <w:r>
        <w:rPr>
          <w:rFonts w:ascii="Arial" w:cs="Arial" w:eastAsia="Arial" w:hAnsi="Arial"/>
          <w:sz w:val="20"/>
          <w:szCs w:val="20"/>
          <w:color w:val="auto"/>
        </w:rPr>
        <w:t>Net income on divestitures totaled income of $11 million and $3 million for the nine months ended June 30, 2021 and 2020, respectively.</w:t>
      </w:r>
    </w:p>
    <w:p>
      <w:pPr>
        <w:spacing w:after="0" w:line="69" w:lineRule="exact"/>
        <w:rPr>
          <w:sz w:val="20"/>
          <w:szCs w:val="20"/>
          <w:color w:val="auto"/>
        </w:rPr>
      </w:pPr>
    </w:p>
    <w:p>
      <w:pPr>
        <w:ind w:left="320" w:right="380"/>
        <w:spacing w:after="0" w:line="288" w:lineRule="auto"/>
        <w:rPr>
          <w:sz w:val="20"/>
          <w:szCs w:val="20"/>
          <w:color w:val="auto"/>
        </w:rPr>
      </w:pPr>
      <w:r>
        <w:rPr>
          <w:rFonts w:ascii="Arial" w:cs="Arial" w:eastAsia="Arial" w:hAnsi="Arial"/>
          <w:sz w:val="20"/>
          <w:szCs w:val="20"/>
          <w:color w:val="auto"/>
        </w:rPr>
        <w:t>Operating income/loss was income of $174 million and a loss of $403 million for the nine months ended June 30, 2021 and 2020, respectively.</w:t>
      </w:r>
    </w:p>
    <w:p>
      <w:pPr>
        <w:spacing w:after="0" w:line="69"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For further information on the items reported above, see the discussion in the comparative Statements of Consolidated Comprehensive Income (Loss) caption review analysis.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income</w:t>
      </w:r>
    </w:p>
    <w:p>
      <w:pPr>
        <w:spacing w:after="0" w:line="135" w:lineRule="exact"/>
        <w:rPr>
          <w:sz w:val="20"/>
          <w:szCs w:val="20"/>
          <w:color w:val="auto"/>
        </w:rPr>
      </w:pPr>
    </w:p>
    <w:p>
      <w:pPr>
        <w:jc w:val="both"/>
        <w:spacing w:after="0" w:line="274" w:lineRule="auto"/>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Operating income/loss amounted to income of $62 million and $48 million for the three months ended June 30, 2021 and 2020, respectively. The current and prior year quarters’ operating income included certain key items that were excluded to arrive at Adjusted EBITDA and are quantified in the table below in the “EBITDA and Adjusted EBITDA” section. These operating key items for the applicable periods are summarized as follows:</w:t>
      </w:r>
    </w:p>
    <w:p>
      <w:pPr>
        <w:spacing w:after="0" w:line="84" w:lineRule="exact"/>
        <w:rPr>
          <w:sz w:val="20"/>
          <w:szCs w:val="20"/>
          <w:color w:val="auto"/>
        </w:rPr>
      </w:pPr>
    </w:p>
    <w:p>
      <w:pPr>
        <w:ind w:left="320" w:right="20"/>
        <w:spacing w:after="0" w:line="272" w:lineRule="auto"/>
        <w:rPr>
          <w:sz w:val="20"/>
          <w:szCs w:val="20"/>
          <w:color w:val="auto"/>
        </w:rPr>
      </w:pPr>
      <w:r>
        <w:rPr>
          <w:rFonts w:ascii="Arial" w:cs="Arial" w:eastAsia="Arial" w:hAnsi="Arial"/>
          <w:sz w:val="20"/>
          <w:szCs w:val="20"/>
          <w:color w:val="auto"/>
        </w:rPr>
        <w:t>Restructuring, separation and other costs – Ashland periodically implements company-wide cost reduction programs related to acquisitions, divestitures and other cost reduction programs in order to enhance profitability through streamlined operations and an improved overall cost structure. Ashland often incurs severance, facility and integration costs associated with these programs. See Note D in the Notes to Condensed Consolidated Financial Statements for further information on the restructuring activities.</w:t>
      </w:r>
    </w:p>
    <w:p>
      <w:pPr>
        <w:spacing w:after="0" w:line="87" w:lineRule="exact"/>
        <w:rPr>
          <w:sz w:val="20"/>
          <w:szCs w:val="20"/>
          <w:color w:val="auto"/>
        </w:rPr>
      </w:pPr>
    </w:p>
    <w:p>
      <w:pPr>
        <w:ind w:left="320" w:right="500"/>
        <w:spacing w:after="0" w:line="288" w:lineRule="auto"/>
        <w:rPr>
          <w:sz w:val="20"/>
          <w:szCs w:val="20"/>
          <w:color w:val="auto"/>
        </w:rPr>
      </w:pPr>
      <w:r>
        <w:rPr>
          <w:rFonts w:ascii="Arial" w:cs="Arial" w:eastAsia="Arial" w:hAnsi="Arial"/>
          <w:sz w:val="20"/>
          <w:szCs w:val="20"/>
          <w:color w:val="auto"/>
        </w:rPr>
        <w:t>Inventory adjustment - Ashland recorded non-cash charges related to the fair value adjustment of inventory acquired from Schülke at the date of acquisition during the current quarter.</w:t>
      </w:r>
    </w:p>
    <w:p>
      <w:pPr>
        <w:spacing w:after="0" w:line="69" w:lineRule="exact"/>
        <w:rPr>
          <w:sz w:val="20"/>
          <w:szCs w:val="20"/>
          <w:color w:val="auto"/>
        </w:rPr>
      </w:pPr>
    </w:p>
    <w:p>
      <w:pPr>
        <w:ind w:left="320" w:right="80"/>
        <w:spacing w:after="0" w:line="309" w:lineRule="auto"/>
        <w:rPr>
          <w:sz w:val="20"/>
          <w:szCs w:val="20"/>
          <w:color w:val="auto"/>
        </w:rPr>
      </w:pPr>
      <w:r>
        <w:rPr>
          <w:rFonts w:ascii="Arial" w:cs="Arial" w:eastAsia="Arial" w:hAnsi="Arial"/>
          <w:sz w:val="18"/>
          <w:szCs w:val="18"/>
          <w:color w:val="auto"/>
        </w:rPr>
        <w:t>Environmental reserve adjustments – Ashland is subject to various federal, state and local environmental laws and regulations that require environmental assessment or remediation efforts (collectively environmental remediation) at multiple locations. As a result of these activities, Ashland recorded adjustments during the current and prior year quarters to its environmental liabilities and receivables related to operating facilities and previously divested businesses or non-operational sites. See Note L of the Notes to Condensed Consolidated Financial Statements for more information.</w:t>
      </w:r>
    </w:p>
    <w:p>
      <w:pPr>
        <w:spacing w:after="0" w:line="58" w:lineRule="exact"/>
        <w:rPr>
          <w:sz w:val="20"/>
          <w:szCs w:val="20"/>
          <w:color w:val="auto"/>
        </w:rPr>
      </w:pPr>
    </w:p>
    <w:p>
      <w:pPr>
        <w:spacing w:after="0" w:line="288" w:lineRule="auto"/>
        <w:rPr>
          <w:sz w:val="20"/>
          <w:szCs w:val="20"/>
          <w:color w:val="auto"/>
        </w:rPr>
      </w:pPr>
      <w:r>
        <w:rPr>
          <w:rFonts w:ascii="Arial" w:cs="Arial" w:eastAsia="Arial" w:hAnsi="Arial"/>
          <w:sz w:val="20"/>
          <w:szCs w:val="20"/>
          <w:color w:val="auto"/>
        </w:rPr>
        <w:t>Operating income/loss for both the three months ended June 30, 2021 and 2020 included depreciation and amortization of $65 million and $62 million, respectively.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74" w:right="719" w:bottom="1440" w:gutter="0" w:footer="0" w:header="0"/>
        </w:sectPr>
      </w:pPr>
    </w:p>
    <w:bookmarkStart w:id="39" w:name="page40"/>
    <w:bookmarkEnd w:id="39"/>
    <w:p>
      <w:pPr>
        <w:jc w:val="both"/>
        <w:ind w:left="380" w:right="380"/>
        <w:spacing w:after="0" w:line="274" w:lineRule="auto"/>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Operating income/loss amounted to income of $174 million and loss of $403 million for the nine months ended June 30, 2021 and 2020, respectively. The current and prior year periods’ operating income included certain key items that were excluded to arrive at Adjusted EBITDA and are quantified in the table below in the “EBITDA and Adjusted EBITDA” section. These operating key items for the applicable periods are summarized as follows:</w:t>
      </w:r>
    </w:p>
    <w:p>
      <w:pPr>
        <w:spacing w:after="0" w:line="84" w:lineRule="exact"/>
        <w:rPr>
          <w:sz w:val="20"/>
          <w:szCs w:val="20"/>
          <w:color w:val="auto"/>
        </w:rPr>
      </w:pPr>
    </w:p>
    <w:p>
      <w:pPr>
        <w:ind w:left="700" w:right="400"/>
        <w:spacing w:after="0" w:line="272" w:lineRule="auto"/>
        <w:rPr>
          <w:sz w:val="20"/>
          <w:szCs w:val="20"/>
          <w:color w:val="auto"/>
        </w:rPr>
      </w:pPr>
      <w:r>
        <w:rPr>
          <w:rFonts w:ascii="Arial" w:cs="Arial" w:eastAsia="Arial" w:hAnsi="Arial"/>
          <w:sz w:val="20"/>
          <w:szCs w:val="20"/>
          <w:color w:val="auto"/>
        </w:rPr>
        <w:t>Restructuring, separation and other costs – Ashland periodically implements company-wide cost reduction programs related to acquisitions, divestitures and other cost reduction programs in order to enhance profitability through streamlined operations and an improved overall cost structure. Ashland often incurs severance, facility and integration costs associated with these programs. See Note D in the Notes to Condensed Consolidated Financial Statements for further information on the restructuring activities.</w:t>
      </w:r>
    </w:p>
    <w:p>
      <w:pPr>
        <w:spacing w:after="0" w:line="87" w:lineRule="exact"/>
        <w:rPr>
          <w:sz w:val="20"/>
          <w:szCs w:val="20"/>
          <w:color w:val="auto"/>
        </w:rPr>
      </w:pPr>
    </w:p>
    <w:p>
      <w:pPr>
        <w:ind w:left="700" w:right="580"/>
        <w:spacing w:after="0" w:line="314" w:lineRule="auto"/>
        <w:rPr>
          <w:sz w:val="20"/>
          <w:szCs w:val="20"/>
          <w:color w:val="auto"/>
        </w:rPr>
      </w:pPr>
      <w:r>
        <w:rPr>
          <w:rFonts w:ascii="Arial" w:cs="Arial" w:eastAsia="Arial" w:hAnsi="Arial"/>
          <w:sz w:val="18"/>
          <w:szCs w:val="18"/>
          <w:color w:val="auto"/>
        </w:rPr>
        <w:t>Goodwill impairment – During the prior year period, Ashland realigned its operations into five reportable segments which resulted in a reassessment of the Company’s reporting units used to evaluate goodwill impairment. The impairment test under the new reporting unit structure concluded that the carrying value of the Personal Care &amp; Household and the Specialty Additives reporting units exceeded their fair value, resulting in a non-cash goodwill impairment charge.</w:t>
      </w:r>
    </w:p>
    <w:p>
      <w:pPr>
        <w:spacing w:after="0" w:line="51" w:lineRule="exact"/>
        <w:rPr>
          <w:sz w:val="20"/>
          <w:szCs w:val="20"/>
          <w:color w:val="auto"/>
        </w:rPr>
      </w:pPr>
    </w:p>
    <w:p>
      <w:pPr>
        <w:ind w:left="700" w:right="540"/>
        <w:spacing w:after="0" w:line="272" w:lineRule="auto"/>
        <w:rPr>
          <w:sz w:val="20"/>
          <w:szCs w:val="20"/>
          <w:color w:val="auto"/>
        </w:rPr>
      </w:pPr>
      <w:r>
        <w:rPr>
          <w:rFonts w:ascii="Arial" w:cs="Arial" w:eastAsia="Arial" w:hAnsi="Arial"/>
          <w:sz w:val="20"/>
          <w:szCs w:val="20"/>
          <w:color w:val="auto"/>
        </w:rPr>
        <w:t>Inventory adjustment - Ashland recorded non-cash charges related to the fair value adjustment of inventory acquired from Schülke at the date of acquisition during the current year period. In the prior year period a lower of cost or net realizable value inventory adjustment was recorded. Inventories are carried at the lower of cost or net realizable value. When comparing the stated value of its inventory to its net realizable value, Ashland determined that an adjustment was required for the prior year period.</w:t>
      </w:r>
    </w:p>
    <w:p>
      <w:pPr>
        <w:spacing w:after="0" w:line="87" w:lineRule="exact"/>
        <w:rPr>
          <w:sz w:val="20"/>
          <w:szCs w:val="20"/>
          <w:color w:val="auto"/>
        </w:rPr>
      </w:pPr>
    </w:p>
    <w:p>
      <w:pPr>
        <w:ind w:left="700" w:right="720"/>
        <w:spacing w:after="0" w:line="288" w:lineRule="auto"/>
        <w:rPr>
          <w:sz w:val="20"/>
          <w:szCs w:val="20"/>
          <w:color w:val="auto"/>
        </w:rPr>
      </w:pPr>
      <w:r>
        <w:rPr>
          <w:rFonts w:ascii="Arial" w:cs="Arial" w:eastAsia="Arial" w:hAnsi="Arial"/>
          <w:sz w:val="20"/>
          <w:szCs w:val="20"/>
          <w:color w:val="auto"/>
        </w:rPr>
        <w:t>Capital project impairment - During the current year period, Ashland incurred an impairment charge associated with a long-term capital project plan change at a plant facility.</w:t>
      </w:r>
    </w:p>
    <w:p>
      <w:pPr>
        <w:spacing w:after="0" w:line="69" w:lineRule="exact"/>
        <w:rPr>
          <w:sz w:val="20"/>
          <w:szCs w:val="20"/>
          <w:color w:val="auto"/>
        </w:rPr>
      </w:pPr>
    </w:p>
    <w:p>
      <w:pPr>
        <w:ind w:left="700" w:right="460"/>
        <w:spacing w:after="0" w:line="309" w:lineRule="auto"/>
        <w:rPr>
          <w:sz w:val="20"/>
          <w:szCs w:val="20"/>
          <w:color w:val="auto"/>
        </w:rPr>
      </w:pPr>
      <w:r>
        <w:rPr>
          <w:rFonts w:ascii="Arial" w:cs="Arial" w:eastAsia="Arial" w:hAnsi="Arial"/>
          <w:sz w:val="18"/>
          <w:szCs w:val="18"/>
          <w:color w:val="auto"/>
        </w:rPr>
        <w:t>Environmental reserve adjustments – Ashland is subject to various federal, state and local environmental laws and regulations that require environmental assessment or remediation efforts (collectively environmental remediation) at multiple locations. As a result of these activities, Ashland recorded adjustments during the current and prior year periods to its environmental liabilities and receivables related to operating facilities and previously divested businesses or non-operational sites. See Note L of the Notes to Condensed Consolidated Financial Statements for more information.</w:t>
      </w:r>
    </w:p>
    <w:p>
      <w:pPr>
        <w:spacing w:after="0" w:line="58" w:lineRule="exact"/>
        <w:rPr>
          <w:sz w:val="20"/>
          <w:szCs w:val="20"/>
          <w:color w:val="auto"/>
        </w:rPr>
      </w:pPr>
    </w:p>
    <w:p>
      <w:pPr>
        <w:ind w:left="380" w:right="380"/>
        <w:spacing w:after="0" w:line="288" w:lineRule="auto"/>
        <w:rPr>
          <w:sz w:val="20"/>
          <w:szCs w:val="20"/>
          <w:color w:val="auto"/>
        </w:rPr>
      </w:pPr>
      <w:r>
        <w:rPr>
          <w:rFonts w:ascii="Arial" w:cs="Arial" w:eastAsia="Arial" w:hAnsi="Arial"/>
          <w:sz w:val="20"/>
          <w:szCs w:val="20"/>
          <w:color w:val="auto"/>
        </w:rPr>
        <w:t>Operating income/loss for the nine months ended June 30, 2021 and 2020 included depreciation and amortization of $189 million and $183 million, respectively.</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Non-operating key items affecting EBITDA</w:t>
      </w:r>
    </w:p>
    <w:p>
      <w:pPr>
        <w:spacing w:after="0" w:line="135" w:lineRule="exact"/>
        <w:rPr>
          <w:sz w:val="20"/>
          <w:szCs w:val="20"/>
          <w:color w:val="auto"/>
        </w:rPr>
      </w:pPr>
    </w:p>
    <w:p>
      <w:pPr>
        <w:ind w:left="700" w:right="680"/>
        <w:spacing w:after="0" w:line="293" w:lineRule="auto"/>
        <w:rPr>
          <w:sz w:val="20"/>
          <w:szCs w:val="20"/>
          <w:color w:val="auto"/>
        </w:rPr>
      </w:pPr>
      <w:r>
        <w:rPr>
          <w:rFonts w:ascii="Arial" w:cs="Arial" w:eastAsia="Arial" w:hAnsi="Arial"/>
          <w:sz w:val="19"/>
          <w:szCs w:val="19"/>
          <w:color w:val="auto"/>
        </w:rPr>
        <w:t>Net income (loss) on acquisitions and divestitures – Ashland recorded income of $2 million and $11 million during the three and nine months ended June 30, 2021, respectively. This includes a $2 million gain and $3 million of expense relating to transaction costs associated with acquisitions during the three and nine months ended June 30, 2021 and a $14 million gain related to the sale of a Specialty Additives facility during the nine months ended June 30, 2021.</w:t>
      </w:r>
    </w:p>
    <w:p>
      <w:pPr>
        <w:spacing w:after="0" w:line="67"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Statements of Consolidated Comprehensive Income (Loss) – caption review</w:t>
      </w:r>
    </w:p>
    <w:p>
      <w:pPr>
        <w:spacing w:after="0" w:line="135" w:lineRule="exact"/>
        <w:rPr>
          <w:sz w:val="20"/>
          <w:szCs w:val="20"/>
          <w:color w:val="auto"/>
        </w:rPr>
      </w:pPr>
    </w:p>
    <w:p>
      <w:pPr>
        <w:ind w:left="380" w:right="380"/>
        <w:spacing w:after="0" w:line="288" w:lineRule="auto"/>
        <w:rPr>
          <w:sz w:val="20"/>
          <w:szCs w:val="20"/>
          <w:color w:val="auto"/>
        </w:rPr>
      </w:pPr>
      <w:r>
        <w:rPr>
          <w:rFonts w:ascii="Arial" w:cs="Arial" w:eastAsia="Arial" w:hAnsi="Arial"/>
          <w:sz w:val="20"/>
          <w:szCs w:val="20"/>
          <w:color w:val="auto"/>
        </w:rPr>
        <w:t>A comparative analysis of the Statements of Consolidated Comprehensive Income (Loss) by caption is provided as follows for the three and nine months ended June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62865</wp:posOffset>
            </wp:positionV>
            <wp:extent cx="662622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Three months ended June 30</w:t>
            </w:r>
          </w:p>
        </w:tc>
        <w:tc>
          <w:tcPr>
            <w:tcW w:w="7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Nine months ended June 30</w:t>
            </w:r>
          </w:p>
        </w:tc>
        <w:tc>
          <w:tcPr>
            <w:tcW w:w="74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r>
      <w:tr>
        <w:trPr>
          <w:trHeight w:val="244"/>
        </w:trPr>
        <w:tc>
          <w:tcPr>
            <w:tcW w:w="420" w:type="dxa"/>
            <w:vAlign w:val="bottom"/>
          </w:tcPr>
          <w:p>
            <w:pPr>
              <w:spacing w:after="0"/>
              <w:rPr>
                <w:sz w:val="21"/>
                <w:szCs w:val="21"/>
                <w:color w:val="auto"/>
              </w:rPr>
            </w:pPr>
          </w:p>
        </w:tc>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5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5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c>
          <w:tcPr>
            <w:tcW w:w="1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4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Change</w:t>
            </w:r>
          </w:p>
        </w:tc>
        <w:tc>
          <w:tcPr>
            <w:tcW w:w="400" w:type="dxa"/>
            <w:vAlign w:val="bottom"/>
          </w:tcPr>
          <w:p>
            <w:pPr>
              <w:spacing w:after="0"/>
              <w:rPr>
                <w:sz w:val="21"/>
                <w:szCs w:val="21"/>
                <w:color w:val="auto"/>
              </w:rPr>
            </w:pPr>
          </w:p>
        </w:tc>
      </w:tr>
      <w:tr>
        <w:trPr>
          <w:trHeight w:val="256"/>
        </w:trPr>
        <w:tc>
          <w:tcPr>
            <w:tcW w:w="420" w:type="dxa"/>
            <w:vAlign w:val="bottom"/>
          </w:tcPr>
          <w:p>
            <w:pPr>
              <w:spacing w:after="0"/>
              <w:rPr>
                <w:sz w:val="22"/>
                <w:szCs w:val="22"/>
                <w:color w:val="auto"/>
              </w:rPr>
            </w:pPr>
          </w:p>
        </w:tc>
        <w:tc>
          <w:tcPr>
            <w:tcW w:w="3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Sales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637</w:t>
            </w:r>
          </w:p>
        </w:tc>
        <w:tc>
          <w:tcPr>
            <w:tcW w:w="5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574</w:t>
            </w:r>
          </w:p>
        </w:tc>
        <w:tc>
          <w:tcPr>
            <w:tcW w:w="5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w:t>
            </w:r>
          </w:p>
        </w:tc>
        <w:tc>
          <w:tcPr>
            <w:tcW w:w="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1,786</w:t>
            </w:r>
          </w:p>
        </w:tc>
        <w:tc>
          <w:tcPr>
            <w:tcW w:w="4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1,717</w:t>
            </w:r>
          </w:p>
        </w:tc>
        <w:tc>
          <w:tcPr>
            <w:tcW w:w="4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69</w:t>
            </w:r>
          </w:p>
        </w:tc>
        <w:tc>
          <w:tcPr>
            <w:tcW w:w="400" w:type="dxa"/>
            <w:vAlign w:val="bottom"/>
          </w:tcPr>
          <w:p>
            <w:pPr>
              <w:spacing w:after="0"/>
              <w:rPr>
                <w:sz w:val="22"/>
                <w:szCs w:val="22"/>
                <w:color w:val="auto"/>
              </w:rPr>
            </w:pPr>
          </w:p>
        </w:tc>
      </w:tr>
      <w:tr>
        <w:trPr>
          <w:trHeight w:val="567"/>
        </w:trPr>
        <w:tc>
          <w:tcPr>
            <w:tcW w:w="4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40</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The following table provides a reconciliation of the change in sales for the three and nine months ended June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119380</wp:posOffset>
            </wp:positionV>
            <wp:extent cx="662622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w w:val="98"/>
              </w:rPr>
              <w:t>Three months ended</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ind w:right="230"/>
              <w:spacing w:after="0"/>
              <w:rPr>
                <w:sz w:val="20"/>
                <w:szCs w:val="20"/>
                <w:color w:val="auto"/>
              </w:rPr>
            </w:pPr>
            <w:r>
              <w:rPr>
                <w:rFonts w:ascii="Arial" w:cs="Arial" w:eastAsia="Arial" w:hAnsi="Arial"/>
                <w:sz w:val="18"/>
                <w:szCs w:val="18"/>
                <w:color w:val="auto"/>
                <w:w w:val="90"/>
              </w:rPr>
              <w:t>Nine months ended</w:t>
            </w:r>
          </w:p>
        </w:tc>
      </w:tr>
      <w:tr>
        <w:trPr>
          <w:trHeight w:val="263"/>
        </w:trPr>
        <w:tc>
          <w:tcPr>
            <w:tcW w:w="6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66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color w:val="auto"/>
              </w:rPr>
              <w:t>June 30, 2021</w:t>
            </w:r>
          </w:p>
        </w:tc>
        <w:tc>
          <w:tcPr>
            <w:tcW w:w="2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June 30, 2021</w:t>
            </w:r>
          </w:p>
        </w:tc>
      </w:tr>
      <w:tr>
        <w:trPr>
          <w:trHeight w:val="257"/>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Volume</w:t>
            </w:r>
          </w:p>
        </w:tc>
        <w:tc>
          <w:tcPr>
            <w:tcW w:w="1660" w:type="dxa"/>
            <w:vAlign w:val="bottom"/>
            <w:shd w:val="clear" w:color="auto" w:fill="CFF0FC"/>
          </w:tcPr>
          <w:p>
            <w:pPr>
              <w:jc w:val="right"/>
              <w:ind w:right="1498"/>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31</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17</w:t>
            </w:r>
          </w:p>
        </w:tc>
      </w:tr>
      <w:tr>
        <w:trPr>
          <w:trHeight w:val="250"/>
        </w:trPr>
        <w:tc>
          <w:tcPr>
            <w:tcW w:w="6360" w:type="dxa"/>
            <w:vAlign w:val="bottom"/>
          </w:tcPr>
          <w:p>
            <w:pPr>
              <w:spacing w:after="0"/>
              <w:rPr>
                <w:sz w:val="20"/>
                <w:szCs w:val="20"/>
                <w:color w:val="auto"/>
              </w:rPr>
            </w:pPr>
            <w:r>
              <w:rPr>
                <w:rFonts w:ascii="Arial" w:cs="Arial" w:eastAsia="Arial" w:hAnsi="Arial"/>
                <w:sz w:val="18"/>
                <w:szCs w:val="18"/>
                <w:color w:val="auto"/>
              </w:rPr>
              <w:t>Pricing</w:t>
            </w:r>
          </w:p>
        </w:tc>
        <w:tc>
          <w:tcPr>
            <w:tcW w:w="1660" w:type="dxa"/>
            <w:vAlign w:val="bottom"/>
          </w:tcPr>
          <w:p>
            <w:pPr>
              <w:spacing w:after="0"/>
              <w:rPr>
                <w:sz w:val="21"/>
                <w:szCs w:val="21"/>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79"/>
              </w:rPr>
              <w:t>13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63"/>
        </w:trPr>
        <w:tc>
          <w:tcPr>
            <w:tcW w:w="6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Currency exchange</w:t>
            </w:r>
          </w:p>
        </w:tc>
        <w:tc>
          <w:tcPr>
            <w:tcW w:w="1660" w:type="dxa"/>
            <w:vAlign w:val="bottom"/>
            <w:tcBorders>
              <w:bottom w:val="single" w:sz="8" w:color="auto"/>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19</w:t>
            </w:r>
          </w:p>
        </w:tc>
        <w:tc>
          <w:tcPr>
            <w:tcW w:w="2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7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46</w:t>
            </w:r>
          </w:p>
        </w:tc>
      </w:tr>
      <w:tr>
        <w:trPr>
          <w:trHeight w:val="250"/>
        </w:trPr>
        <w:tc>
          <w:tcPr>
            <w:tcW w:w="6360" w:type="dxa"/>
            <w:vAlign w:val="bottom"/>
          </w:tcPr>
          <w:p>
            <w:pPr>
              <w:spacing w:after="0"/>
              <w:rPr>
                <w:sz w:val="20"/>
                <w:szCs w:val="20"/>
                <w:color w:val="auto"/>
              </w:rPr>
            </w:pPr>
            <w:r>
              <w:rPr>
                <w:rFonts w:ascii="Arial" w:cs="Arial" w:eastAsia="Arial" w:hAnsi="Arial"/>
                <w:sz w:val="18"/>
                <w:szCs w:val="18"/>
                <w:color w:val="auto"/>
              </w:rPr>
              <w:t>Change in sales</w:t>
            </w:r>
          </w:p>
        </w:tc>
        <w:tc>
          <w:tcPr>
            <w:tcW w:w="1660" w:type="dxa"/>
            <w:vAlign w:val="bottom"/>
          </w:tcPr>
          <w:p>
            <w:pPr>
              <w:jc w:val="right"/>
              <w:ind w:right="1498"/>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79"/>
              </w:rPr>
              <w:t>63</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20"/>
        </w:trPr>
        <w:tc>
          <w:tcPr>
            <w:tcW w:w="636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5301615</wp:posOffset>
            </wp:positionH>
            <wp:positionV relativeFrom="paragraph">
              <wp:posOffset>-193675</wp:posOffset>
            </wp:positionV>
            <wp:extent cx="120015" cy="571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0015" cy="5715"/>
                    </a:xfrm>
                    <a:prstGeom prst="rect">
                      <a:avLst/>
                    </a:prstGeom>
                    <a:noFill/>
                  </pic:spPr>
                </pic:pic>
              </a:graphicData>
            </a:graphic>
          </wp:anchor>
        </w:drawing>
      </w:r>
    </w:p>
    <w:p>
      <w:pPr>
        <w:spacing w:after="0" w:line="139" w:lineRule="exact"/>
        <w:rPr>
          <w:sz w:val="20"/>
          <w:szCs w:val="20"/>
          <w:color w:val="auto"/>
        </w:rPr>
      </w:pPr>
    </w:p>
    <w:p>
      <w:pPr>
        <w:jc w:val="both"/>
        <w:spacing w:after="0" w:line="278" w:lineRule="auto"/>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Sales for the current quarter increased $63 million compared to the prior year quarter. Favorable volume, including the acquisition of Schülke within the Personal Care and Household reportable segment, product pricing and foreign currency exchange increased sales by $31 million, $13 million and $19 million, respectively.</w:t>
      </w:r>
    </w:p>
    <w:p>
      <w:pPr>
        <w:spacing w:after="0" w:line="227" w:lineRule="exact"/>
        <w:rPr>
          <w:sz w:val="20"/>
          <w:szCs w:val="20"/>
          <w:color w:val="auto"/>
        </w:rPr>
      </w:pPr>
    </w:p>
    <w:p>
      <w:pPr>
        <w:jc w:val="both"/>
        <w:spacing w:after="0" w:line="278" w:lineRule="auto"/>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Sales for the current year increased $69 million compared to the prior year period. Favorable volume, including the acquisition of Schülke within the Personal Care and Household reportable segment, product pricing and foreign currency exchange increased sales by $17 million, $6 million and $46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69215</wp:posOffset>
            </wp:positionV>
            <wp:extent cx="662622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jc w:val="right"/>
              <w:ind w:right="490"/>
              <w:spacing w:after="0"/>
              <w:rPr>
                <w:sz w:val="20"/>
                <w:szCs w:val="20"/>
                <w:color w:val="auto"/>
              </w:rPr>
            </w:pPr>
            <w:r>
              <w:rPr>
                <w:rFonts w:ascii="Arial" w:cs="Arial" w:eastAsia="Arial" w:hAnsi="Arial"/>
                <w:sz w:val="18"/>
                <w:szCs w:val="18"/>
                <w:color w:val="auto"/>
                <w:w w:val="96"/>
              </w:rPr>
              <w:t>Three months ended June 30</w:t>
            </w:r>
          </w:p>
        </w:tc>
        <w:tc>
          <w:tcPr>
            <w:tcW w:w="80" w:type="dxa"/>
            <w:vAlign w:val="bottom"/>
          </w:tcPr>
          <w:p>
            <w:pPr>
              <w:spacing w:after="0"/>
              <w:rPr>
                <w:sz w:val="20"/>
                <w:szCs w:val="20"/>
                <w:color w:val="auto"/>
              </w:rPr>
            </w:pPr>
          </w:p>
        </w:tc>
        <w:tc>
          <w:tcPr>
            <w:tcW w:w="294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color w:val="auto"/>
              </w:rPr>
              <w:t>Nine months ended June 30</w:t>
            </w:r>
          </w:p>
        </w:tc>
      </w:tr>
      <w:tr>
        <w:trPr>
          <w:trHeight w:val="243"/>
        </w:trPr>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8"/>
              </w:rPr>
              <w:t>Change</w:t>
            </w:r>
          </w:p>
        </w:tc>
        <w:tc>
          <w:tcPr>
            <w:tcW w:w="10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2021</w:t>
            </w: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8"/>
              </w:rPr>
              <w:t>Change</w:t>
            </w:r>
          </w:p>
        </w:tc>
      </w:tr>
      <w:tr>
        <w:trPr>
          <w:trHeight w:val="257"/>
        </w:trPr>
        <w:tc>
          <w:tcPr>
            <w:tcW w:w="4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 of sales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439</w:t>
            </w: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378</w:t>
            </w:r>
          </w:p>
        </w:tc>
        <w:tc>
          <w:tcPr>
            <w:tcW w:w="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61</w:t>
            </w:r>
          </w:p>
        </w:tc>
        <w:tc>
          <w:tcPr>
            <w:tcW w:w="10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  1,220</w:t>
            </w:r>
          </w:p>
        </w:tc>
        <w:tc>
          <w:tcPr>
            <w:tcW w:w="10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  1,171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49</w:t>
            </w:r>
          </w:p>
        </w:tc>
      </w:tr>
      <w:tr>
        <w:trPr>
          <w:trHeight w:val="270"/>
        </w:trPr>
        <w:tc>
          <w:tcPr>
            <w:tcW w:w="4300" w:type="dxa"/>
            <w:vAlign w:val="bottom"/>
          </w:tcPr>
          <w:p>
            <w:pPr>
              <w:spacing w:after="0"/>
              <w:rPr>
                <w:sz w:val="20"/>
                <w:szCs w:val="20"/>
                <w:color w:val="auto"/>
              </w:rPr>
            </w:pPr>
            <w:r>
              <w:rPr>
                <w:rFonts w:ascii="Arial" w:cs="Arial" w:eastAsia="Arial" w:hAnsi="Arial"/>
                <w:sz w:val="18"/>
                <w:szCs w:val="18"/>
                <w:b w:val="1"/>
                <w:bCs w:val="1"/>
                <w:color w:val="auto"/>
              </w:rPr>
              <w:t>Gross profit as a percent of sales</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31.1 %</w:t>
            </w:r>
          </w:p>
        </w:tc>
        <w:tc>
          <w:tcPr>
            <w:tcW w:w="32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34.1 %</w:t>
            </w: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31.7 %</w:t>
            </w:r>
          </w:p>
        </w:tc>
        <w:tc>
          <w:tcPr>
            <w:tcW w:w="1000" w:type="dxa"/>
            <w:vAlign w:val="bottom"/>
          </w:tcPr>
          <w:p>
            <w:pPr>
              <w:jc w:val="right"/>
              <w:spacing w:after="0"/>
              <w:rPr>
                <w:sz w:val="20"/>
                <w:szCs w:val="20"/>
                <w:color w:val="auto"/>
              </w:rPr>
            </w:pPr>
            <w:r>
              <w:rPr>
                <w:rFonts w:ascii="Arial" w:cs="Arial" w:eastAsia="Arial" w:hAnsi="Arial"/>
                <w:sz w:val="18"/>
                <w:szCs w:val="18"/>
                <w:color w:val="auto"/>
              </w:rPr>
              <w:t>31.8 %</w:t>
            </w: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r>
    </w:tbl>
    <w:p>
      <w:pPr>
        <w:spacing w:after="0" w:line="267"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The following table provides a reconciliation of the change in cost of sales between the three and nine months ended June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62865</wp:posOffset>
            </wp:positionV>
            <wp:extent cx="662622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w w:val="98"/>
              </w:rPr>
              <w:t>Three months ended</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ind w:right="230"/>
              <w:spacing w:after="0"/>
              <w:rPr>
                <w:sz w:val="20"/>
                <w:szCs w:val="20"/>
                <w:color w:val="auto"/>
              </w:rPr>
            </w:pPr>
            <w:r>
              <w:rPr>
                <w:rFonts w:ascii="Arial" w:cs="Arial" w:eastAsia="Arial" w:hAnsi="Arial"/>
                <w:sz w:val="18"/>
                <w:szCs w:val="18"/>
                <w:color w:val="auto"/>
                <w:w w:val="90"/>
              </w:rPr>
              <w:t>Nine months ended</w:t>
            </w:r>
          </w:p>
        </w:tc>
      </w:tr>
      <w:tr>
        <w:trPr>
          <w:trHeight w:val="263"/>
        </w:trPr>
        <w:tc>
          <w:tcPr>
            <w:tcW w:w="6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66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color w:val="auto"/>
              </w:rPr>
              <w:t>June 30, 2021</w:t>
            </w:r>
          </w:p>
        </w:tc>
        <w:tc>
          <w:tcPr>
            <w:tcW w:w="2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June 30, 2021</w:t>
            </w:r>
          </w:p>
        </w:tc>
      </w:tr>
      <w:tr>
        <w:trPr>
          <w:trHeight w:val="256"/>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Changes in:</w:t>
            </w:r>
          </w:p>
        </w:tc>
        <w:tc>
          <w:tcPr>
            <w:tcW w:w="16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760" w:type="dxa"/>
            <w:vAlign w:val="bottom"/>
            <w:shd w:val="clear" w:color="auto" w:fill="CFF0FC"/>
          </w:tcPr>
          <w:p>
            <w:pPr>
              <w:spacing w:after="0"/>
              <w:rPr>
                <w:sz w:val="22"/>
                <w:szCs w:val="22"/>
                <w:color w:val="auto"/>
              </w:rPr>
            </w:pPr>
          </w:p>
        </w:tc>
      </w:tr>
      <w:tr>
        <w:trPr>
          <w:trHeight w:val="250"/>
        </w:trPr>
        <w:tc>
          <w:tcPr>
            <w:tcW w:w="6360" w:type="dxa"/>
            <w:vAlign w:val="bottom"/>
          </w:tcPr>
          <w:p>
            <w:pPr>
              <w:ind w:left="260"/>
              <w:spacing w:after="0"/>
              <w:rPr>
                <w:sz w:val="20"/>
                <w:szCs w:val="20"/>
                <w:color w:val="auto"/>
              </w:rPr>
            </w:pPr>
            <w:r>
              <w:rPr>
                <w:rFonts w:ascii="Arial" w:cs="Arial" w:eastAsia="Arial" w:hAnsi="Arial"/>
                <w:sz w:val="18"/>
                <w:szCs w:val="18"/>
                <w:color w:val="auto"/>
              </w:rPr>
              <w:t>Volume</w:t>
            </w:r>
          </w:p>
        </w:tc>
        <w:tc>
          <w:tcPr>
            <w:tcW w:w="1660" w:type="dxa"/>
            <w:vAlign w:val="bottom"/>
          </w:tcPr>
          <w:p>
            <w:pPr>
              <w:jc w:val="right"/>
              <w:ind w:right="1498"/>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79"/>
              </w:rPr>
              <w:t>26</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63"/>
        </w:trPr>
        <w:tc>
          <w:tcPr>
            <w:tcW w:w="6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Price/mix</w:t>
            </w:r>
          </w:p>
        </w:tc>
        <w:tc>
          <w:tcPr>
            <w:tcW w:w="166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13</w:t>
            </w: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(17 )</w:t>
            </w:r>
          </w:p>
        </w:tc>
      </w:tr>
      <w:tr>
        <w:trPr>
          <w:trHeight w:val="250"/>
        </w:trPr>
        <w:tc>
          <w:tcPr>
            <w:tcW w:w="6360" w:type="dxa"/>
            <w:vAlign w:val="bottom"/>
          </w:tcPr>
          <w:p>
            <w:pPr>
              <w:ind w:left="260"/>
              <w:spacing w:after="0"/>
              <w:rPr>
                <w:sz w:val="20"/>
                <w:szCs w:val="20"/>
                <w:color w:val="auto"/>
              </w:rPr>
            </w:pPr>
            <w:r>
              <w:rPr>
                <w:rFonts w:ascii="Arial" w:cs="Arial" w:eastAsia="Arial" w:hAnsi="Arial"/>
                <w:sz w:val="18"/>
                <w:szCs w:val="18"/>
                <w:color w:val="auto"/>
              </w:rPr>
              <w:t>Currency exchange</w:t>
            </w:r>
          </w:p>
        </w:tc>
        <w:tc>
          <w:tcPr>
            <w:tcW w:w="1660" w:type="dxa"/>
            <w:vAlign w:val="bottom"/>
          </w:tcPr>
          <w:p>
            <w:pPr>
              <w:spacing w:after="0"/>
              <w:rPr>
                <w:sz w:val="21"/>
                <w:szCs w:val="21"/>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57"/>
        </w:trPr>
        <w:tc>
          <w:tcPr>
            <w:tcW w:w="63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Operating costs</w:t>
            </w:r>
          </w:p>
        </w:tc>
        <w:tc>
          <w:tcPr>
            <w:tcW w:w="1660" w:type="dxa"/>
            <w:vAlign w:val="bottom"/>
            <w:tcBorders>
              <w:bottom w:val="single" w:sz="8" w:color="auto"/>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13</w:t>
            </w:r>
          </w:p>
        </w:tc>
        <w:tc>
          <w:tcPr>
            <w:tcW w:w="2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7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22</w:t>
            </w:r>
          </w:p>
        </w:tc>
      </w:tr>
      <w:tr>
        <w:trPr>
          <w:trHeight w:val="256"/>
        </w:trPr>
        <w:tc>
          <w:tcPr>
            <w:tcW w:w="6360" w:type="dxa"/>
            <w:vAlign w:val="bottom"/>
          </w:tcPr>
          <w:p>
            <w:pPr>
              <w:spacing w:after="0"/>
              <w:rPr>
                <w:sz w:val="20"/>
                <w:szCs w:val="20"/>
                <w:color w:val="auto"/>
              </w:rPr>
            </w:pPr>
            <w:r>
              <w:rPr>
                <w:rFonts w:ascii="Arial" w:cs="Arial" w:eastAsia="Arial" w:hAnsi="Arial"/>
                <w:sz w:val="18"/>
                <w:szCs w:val="18"/>
                <w:color w:val="auto"/>
              </w:rPr>
              <w:t>Change in cost of sales</w:t>
            </w:r>
          </w:p>
        </w:tc>
        <w:tc>
          <w:tcPr>
            <w:tcW w:w="1660" w:type="dxa"/>
            <w:vAlign w:val="bottom"/>
          </w:tcPr>
          <w:p>
            <w:pPr>
              <w:jc w:val="right"/>
              <w:ind w:right="1498"/>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79"/>
              </w:rPr>
              <w:t>61</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0"/>
        </w:trPr>
        <w:tc>
          <w:tcPr>
            <w:tcW w:w="636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5301615</wp:posOffset>
            </wp:positionH>
            <wp:positionV relativeFrom="paragraph">
              <wp:posOffset>-193675</wp:posOffset>
            </wp:positionV>
            <wp:extent cx="120015" cy="57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0015" cy="5715"/>
                    </a:xfrm>
                    <a:prstGeom prst="rect">
                      <a:avLst/>
                    </a:prstGeom>
                    <a:noFill/>
                  </pic:spPr>
                </pic:pic>
              </a:graphicData>
            </a:graphic>
          </wp:anchor>
        </w:drawing>
      </w:r>
    </w:p>
    <w:p>
      <w:pPr>
        <w:spacing w:after="0" w:line="301" w:lineRule="exact"/>
        <w:rPr>
          <w:sz w:val="20"/>
          <w:szCs w:val="20"/>
          <w:color w:val="auto"/>
        </w:rPr>
      </w:pPr>
    </w:p>
    <w:p>
      <w:pPr>
        <w:jc w:val="both"/>
        <w:spacing w:after="0" w:line="322" w:lineRule="auto"/>
        <w:rPr>
          <w:sz w:val="20"/>
          <w:szCs w:val="20"/>
          <w:color w:val="auto"/>
        </w:rPr>
      </w:pPr>
      <w:r>
        <w:rPr>
          <w:rFonts w:ascii="Arial" w:cs="Arial" w:eastAsia="Arial" w:hAnsi="Arial"/>
          <w:sz w:val="18"/>
          <w:szCs w:val="18"/>
          <w:u w:val="single" w:color="auto"/>
          <w:color w:val="auto"/>
        </w:rPr>
        <w:t>Current Quarter</w:t>
      </w:r>
      <w:r>
        <w:rPr>
          <w:rFonts w:ascii="Arial" w:cs="Arial" w:eastAsia="Arial" w:hAnsi="Arial"/>
          <w:sz w:val="18"/>
          <w:szCs w:val="18"/>
          <w:color w:val="auto"/>
        </w:rPr>
        <w:t xml:space="preserve"> – Cost of sales for the current quarter increased $61 million compared to the prior year quarter. Foreign currency exchange, price/mix, higher volume, including Schülke, and higher operating costs, principally related to current global supply-chain and logistics disruptions, increased cost of sales by $9 million, $13 million, $26 million and $13 million, respectively.</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9"/>
          <w:szCs w:val="19"/>
          <w:u w:val="single" w:color="auto"/>
          <w:color w:val="auto"/>
        </w:rPr>
        <w:t>Year-to-date</w:t>
      </w:r>
      <w:r>
        <w:rPr>
          <w:rFonts w:ascii="Arial" w:cs="Arial" w:eastAsia="Arial" w:hAnsi="Arial"/>
          <w:sz w:val="19"/>
          <w:szCs w:val="19"/>
          <w:color w:val="auto"/>
        </w:rPr>
        <w:t xml:space="preserve"> – Cost of sales for the current year increased $49 million compared to the prior year period. Foreign currency exchange, higher volume, including Schülke, and higher operating costs, including the winter storm impact of $11 million and current global supply-chain and logistics disruptions, increased cost of sales by $22 million, $22 million and $22 million, respectively. These increases were offset by the impact of lower price/mix, which decreased cost of sales by $17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139065</wp:posOffset>
            </wp:positionV>
            <wp:extent cx="662622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jc w:val="right"/>
              <w:ind w:right="490"/>
              <w:spacing w:after="0"/>
              <w:rPr>
                <w:sz w:val="20"/>
                <w:szCs w:val="20"/>
                <w:color w:val="auto"/>
              </w:rPr>
            </w:pPr>
            <w:r>
              <w:rPr>
                <w:rFonts w:ascii="Arial" w:cs="Arial" w:eastAsia="Arial" w:hAnsi="Arial"/>
                <w:sz w:val="18"/>
                <w:szCs w:val="18"/>
                <w:color w:val="auto"/>
                <w:w w:val="96"/>
              </w:rPr>
              <w:t>Three months ended June 30</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5"/>
          </w:tcPr>
          <w:p>
            <w:pPr>
              <w:jc w:val="right"/>
              <w:ind w:right="430"/>
              <w:spacing w:after="0"/>
              <w:rPr>
                <w:sz w:val="20"/>
                <w:szCs w:val="20"/>
                <w:color w:val="auto"/>
              </w:rPr>
            </w:pPr>
            <w:r>
              <w:rPr>
                <w:rFonts w:ascii="Arial" w:cs="Arial" w:eastAsia="Arial" w:hAnsi="Arial"/>
                <w:sz w:val="18"/>
                <w:szCs w:val="18"/>
                <w:color w:val="auto"/>
                <w:w w:val="96"/>
              </w:rPr>
              <w:t>Nine months ended June 30</w:t>
            </w:r>
          </w:p>
        </w:tc>
      </w:tr>
      <w:tr>
        <w:trPr>
          <w:trHeight w:val="243"/>
        </w:trPr>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8"/>
                <w:szCs w:val="18"/>
                <w:color w:val="auto"/>
                <w:w w:val="98"/>
              </w:rPr>
              <w:t>Change</w:t>
            </w: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8"/>
              </w:rPr>
              <w:t>Change</w:t>
            </w:r>
          </w:p>
        </w:tc>
      </w:tr>
      <w:tr>
        <w:trPr>
          <w:trHeight w:val="256"/>
        </w:trPr>
        <w:tc>
          <w:tcPr>
            <w:tcW w:w="4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Selling, general and administrative expense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98</w:t>
            </w: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113</w:t>
            </w:r>
          </w:p>
        </w:tc>
        <w:tc>
          <w:tcPr>
            <w:tcW w:w="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(15 )  $</w:t>
            </w:r>
          </w:p>
        </w:tc>
        <w:tc>
          <w:tcPr>
            <w:tcW w:w="7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289</w:t>
            </w: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315</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(26 )</w:t>
            </w:r>
          </w:p>
        </w:tc>
      </w:tr>
      <w:tr>
        <w:trPr>
          <w:trHeight w:val="270"/>
        </w:trPr>
        <w:tc>
          <w:tcPr>
            <w:tcW w:w="4300" w:type="dxa"/>
            <w:vAlign w:val="bottom"/>
          </w:tcPr>
          <w:p>
            <w:pPr>
              <w:spacing w:after="0"/>
              <w:rPr>
                <w:sz w:val="20"/>
                <w:szCs w:val="20"/>
                <w:color w:val="auto"/>
              </w:rPr>
            </w:pPr>
            <w:r>
              <w:rPr>
                <w:rFonts w:ascii="Arial" w:cs="Arial" w:eastAsia="Arial" w:hAnsi="Arial"/>
                <w:sz w:val="18"/>
                <w:szCs w:val="18"/>
                <w:b w:val="1"/>
                <w:bCs w:val="1"/>
                <w:color w:val="auto"/>
              </w:rPr>
              <w:t>As a percent of sales</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15.4 %</w:t>
            </w:r>
          </w:p>
        </w:tc>
        <w:tc>
          <w:tcPr>
            <w:tcW w:w="32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19.7 %</w:t>
            </w: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16.2 %</w:t>
            </w: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18.3 %</w:t>
            </w: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r>
    </w:tbl>
    <w:p>
      <w:pPr>
        <w:spacing w:after="0" w:line="334" w:lineRule="exact"/>
        <w:rPr>
          <w:sz w:val="20"/>
          <w:szCs w:val="20"/>
          <w:color w:val="auto"/>
        </w:rPr>
      </w:pPr>
    </w:p>
    <w:p>
      <w:pPr>
        <w:jc w:val="both"/>
        <w:spacing w:after="0" w:line="278" w:lineRule="auto"/>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Selling, general and administrative expense for the current quarter decreased $15 million compared to the prior year quarter with expenses as a percent of sales decreasing 4.3 percentage points. Key drivers of the fluctuation in selling, general and administrative expense compared to the prior year quarter were:</w:t>
      </w:r>
    </w:p>
    <w:p>
      <w:pPr>
        <w:spacing w:after="0" w:line="78" w:lineRule="exact"/>
        <w:rPr>
          <w:sz w:val="20"/>
          <w:szCs w:val="20"/>
          <w:color w:val="auto"/>
        </w:rPr>
      </w:pPr>
    </w:p>
    <w:p>
      <w:pPr>
        <w:ind w:left="320" w:right="1020"/>
        <w:spacing w:after="0" w:line="316" w:lineRule="auto"/>
        <w:rPr>
          <w:sz w:val="20"/>
          <w:szCs w:val="20"/>
          <w:color w:val="auto"/>
        </w:rPr>
      </w:pPr>
      <w:r>
        <w:rPr>
          <w:rFonts w:ascii="Arial" w:cs="Arial" w:eastAsia="Arial" w:hAnsi="Arial"/>
          <w:sz w:val="19"/>
          <w:szCs w:val="19"/>
          <w:color w:val="auto"/>
        </w:rPr>
        <w:t>Income of $3 million and losses of $14 million comprised of key items for severance, lease abandonment and other restructuring costs during the three months ended June 30, 2021 and 2020, respectively;</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366" w:right="719" w:bottom="1440" w:gutter="0" w:footer="0" w:header="0"/>
        </w:sectPr>
      </w:pPr>
    </w:p>
    <w:bookmarkStart w:id="41" w:name="page42"/>
    <w:bookmarkEnd w:id="41"/>
    <w:p>
      <w:pPr>
        <w:ind w:left="320" w:right="280"/>
        <w:spacing w:after="0" w:line="288" w:lineRule="auto"/>
        <w:rPr>
          <w:sz w:val="20"/>
          <w:szCs w:val="20"/>
          <w:color w:val="auto"/>
        </w:rPr>
      </w:pPr>
      <w:r>
        <w:rPr>
          <w:rFonts w:ascii="Arial" w:cs="Arial" w:eastAsia="Arial" w:hAnsi="Arial"/>
          <w:sz w:val="20"/>
          <w:szCs w:val="20"/>
          <w:color w:val="auto"/>
        </w:rPr>
        <w:t>$22 million and $23 million in net environmental-related expenses during the current and prior year period, respectively (see Note L for more information);</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20"/>
          <w:szCs w:val="20"/>
          <w:color w:val="auto"/>
        </w:rPr>
        <w:t>Unfavorable currency exchange of $1 million during the three months ended June 30, 2021.</w:t>
      </w:r>
    </w:p>
    <w:p>
      <w:pPr>
        <w:spacing w:after="0" w:line="135"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The remaining decrease was mainly due to achieved cost savings during the three months ended June 30, 2021 from restructuring programs initiated in fiscal year 2020 offset by higher incentive compensation.</w:t>
      </w:r>
    </w:p>
    <w:p>
      <w:pPr>
        <w:spacing w:after="0" w:line="218" w:lineRule="exact"/>
        <w:rPr>
          <w:sz w:val="20"/>
          <w:szCs w:val="20"/>
          <w:color w:val="auto"/>
        </w:rPr>
      </w:pPr>
    </w:p>
    <w:p>
      <w:pPr>
        <w:jc w:val="both"/>
        <w:spacing w:after="0" w:line="278" w:lineRule="auto"/>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Selling, general and administrative expense for the current year decreased $26 million compared to the prior year period with expenses as a percent of sales decreasing 2.1 percentage points. Key drivers of the fluctuation in selling, general and administrative expense compared to the prior year period were:</w:t>
      </w:r>
    </w:p>
    <w:p>
      <w:pPr>
        <w:spacing w:after="0" w:line="78" w:lineRule="exact"/>
        <w:rPr>
          <w:sz w:val="20"/>
          <w:szCs w:val="20"/>
          <w:color w:val="auto"/>
        </w:rPr>
      </w:pPr>
    </w:p>
    <w:p>
      <w:pPr>
        <w:ind w:left="320" w:right="20"/>
        <w:spacing w:after="0" w:line="288" w:lineRule="auto"/>
        <w:rPr>
          <w:sz w:val="20"/>
          <w:szCs w:val="20"/>
          <w:color w:val="auto"/>
        </w:rPr>
      </w:pPr>
      <w:r>
        <w:rPr>
          <w:rFonts w:ascii="Arial" w:cs="Arial" w:eastAsia="Arial" w:hAnsi="Arial"/>
          <w:sz w:val="20"/>
          <w:szCs w:val="20"/>
          <w:color w:val="auto"/>
        </w:rPr>
        <w:t>$10 million and $36 million of key items for severance, lease abandonment and other restructuring costs during the nine months ended June 30, 2021 and 2020, respectively;</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20"/>
          <w:szCs w:val="20"/>
          <w:color w:val="auto"/>
        </w:rPr>
        <w:t>$9 million related to a capital project impairment during the nine months ended June 30, 2021;</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20"/>
          <w:szCs w:val="20"/>
          <w:color w:val="auto"/>
        </w:rPr>
        <w:t>Unfavorable environmental expense of $3 million; and</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20"/>
          <w:szCs w:val="20"/>
          <w:color w:val="auto"/>
        </w:rPr>
        <w:t>Unfavorable currency exchange of $7 million during the nine months ended June 30, 2021.</w:t>
      </w:r>
    </w:p>
    <w:p>
      <w:pPr>
        <w:spacing w:after="0" w:line="135" w:lineRule="exact"/>
        <w:rPr>
          <w:sz w:val="20"/>
          <w:szCs w:val="20"/>
          <w:color w:val="auto"/>
        </w:rPr>
      </w:pPr>
    </w:p>
    <w:p>
      <w:pPr>
        <w:spacing w:after="0" w:line="288" w:lineRule="auto"/>
        <w:rPr>
          <w:sz w:val="20"/>
          <w:szCs w:val="20"/>
          <w:color w:val="auto"/>
        </w:rPr>
      </w:pPr>
      <w:r>
        <w:rPr>
          <w:rFonts w:ascii="Arial" w:cs="Arial" w:eastAsia="Arial" w:hAnsi="Arial"/>
          <w:sz w:val="20"/>
          <w:szCs w:val="20"/>
          <w:color w:val="auto"/>
        </w:rPr>
        <w:t>The remaining decrease was mainly due to achieved cost savings during the nine months ended June 30, 2021 from restructuring programs initiated in fiscal year 2020 offset by higher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140335</wp:posOffset>
            </wp:positionV>
            <wp:extent cx="662622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5"/>
          </w:tcPr>
          <w:p>
            <w:pPr>
              <w:jc w:val="right"/>
              <w:ind w:right="470"/>
              <w:spacing w:after="0"/>
              <w:rPr>
                <w:sz w:val="20"/>
                <w:szCs w:val="20"/>
                <w:color w:val="auto"/>
              </w:rPr>
            </w:pPr>
            <w:r>
              <w:rPr>
                <w:rFonts w:ascii="Arial" w:cs="Arial" w:eastAsia="Arial" w:hAnsi="Arial"/>
                <w:sz w:val="18"/>
                <w:szCs w:val="18"/>
                <w:color w:val="auto"/>
                <w:w w:val="95"/>
              </w:rPr>
              <w:t>Three months ended June 30</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5"/>
          </w:tcPr>
          <w:p>
            <w:pPr>
              <w:jc w:val="right"/>
              <w:ind w:right="470"/>
              <w:spacing w:after="0"/>
              <w:rPr>
                <w:sz w:val="20"/>
                <w:szCs w:val="20"/>
                <w:color w:val="auto"/>
              </w:rPr>
            </w:pPr>
            <w:r>
              <w:rPr>
                <w:rFonts w:ascii="Arial" w:cs="Arial" w:eastAsia="Arial" w:hAnsi="Arial"/>
                <w:sz w:val="18"/>
                <w:szCs w:val="18"/>
                <w:color w:val="auto"/>
                <w:w w:val="95"/>
              </w:rPr>
              <w:t>Nine months ended June 30</w:t>
            </w:r>
          </w:p>
        </w:tc>
      </w:tr>
      <w:tr>
        <w:trPr>
          <w:trHeight w:val="244"/>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2021</w:t>
            </w:r>
          </w:p>
        </w:tc>
        <w:tc>
          <w:tcPr>
            <w:tcW w:w="4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Change</w:t>
            </w: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c>
          <w:tcPr>
            <w:tcW w:w="4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Change</w:t>
            </w:r>
          </w:p>
        </w:tc>
      </w:tr>
      <w:tr>
        <w:trPr>
          <w:trHeight w:val="256"/>
        </w:trPr>
        <w:tc>
          <w:tcPr>
            <w:tcW w:w="4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Research and development expense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44</w:t>
            </w:r>
          </w:p>
        </w:tc>
        <w:tc>
          <w:tcPr>
            <w:tcW w:w="4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(4 )</w:t>
            </w:r>
          </w:p>
        </w:tc>
      </w:tr>
    </w:tbl>
    <w:p>
      <w:pPr>
        <w:spacing w:after="0" w:line="10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Research and development expense is relatively consistent with the prior year quarter.</w:t>
      </w:r>
    </w:p>
    <w:p>
      <w:pPr>
        <w:spacing w:after="0" w:line="135" w:lineRule="exact"/>
        <w:rPr>
          <w:sz w:val="20"/>
          <w:szCs w:val="20"/>
          <w:color w:val="auto"/>
        </w:rPr>
      </w:pPr>
    </w:p>
    <w:p>
      <w:pPr>
        <w:jc w:val="both"/>
        <w:spacing w:after="0" w:line="288" w:lineRule="auto"/>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The decrease is due to $2 million of one-time research and development credit charges in the prior year period and achieved cost savings from the restructuring programs initiated in fiscal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140335</wp:posOffset>
            </wp:positionV>
            <wp:extent cx="662622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5"/>
          </w:tcPr>
          <w:p>
            <w:pPr>
              <w:jc w:val="right"/>
              <w:ind w:right="570"/>
              <w:spacing w:after="0"/>
              <w:rPr>
                <w:sz w:val="20"/>
                <w:szCs w:val="20"/>
                <w:color w:val="auto"/>
              </w:rPr>
            </w:pPr>
            <w:r>
              <w:rPr>
                <w:rFonts w:ascii="Arial" w:cs="Arial" w:eastAsia="Arial" w:hAnsi="Arial"/>
                <w:sz w:val="18"/>
                <w:szCs w:val="18"/>
                <w:color w:val="auto"/>
                <w:w w:val="96"/>
              </w:rPr>
              <w:t>Three months ended June 30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8"/>
                <w:szCs w:val="18"/>
                <w:color w:val="auto"/>
                <w:w w:val="91"/>
              </w:rPr>
              <w:t>Nine months ended June 30</w:t>
            </w:r>
          </w:p>
        </w:tc>
      </w:tr>
      <w:tr>
        <w:trPr>
          <w:trHeight w:val="243"/>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4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Change</w:t>
            </w:r>
          </w:p>
        </w:tc>
      </w:tr>
      <w:tr>
        <w:trPr>
          <w:trHeight w:val="257"/>
        </w:trPr>
        <w:tc>
          <w:tcPr>
            <w:tcW w:w="4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Intangibles amortization expense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w:t>
            </w:r>
          </w:p>
        </w:tc>
        <w:tc>
          <w:tcPr>
            <w:tcW w:w="4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66</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r>
    </w:tbl>
    <w:p>
      <w:pPr>
        <w:spacing w:after="0" w:line="105" w:lineRule="exact"/>
        <w:rPr>
          <w:sz w:val="20"/>
          <w:szCs w:val="20"/>
          <w:color w:val="auto"/>
        </w:rPr>
      </w:pPr>
    </w:p>
    <w:p>
      <w:pPr>
        <w:jc w:val="both"/>
        <w:spacing w:after="0" w:line="288" w:lineRule="auto"/>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The increase in amortization expense in the current quarter is due to the amortization of intangible assets associated with the Schülke acquisition.</w:t>
      </w:r>
    </w:p>
    <w:p>
      <w:pPr>
        <w:spacing w:after="0" w:line="69" w:lineRule="exact"/>
        <w:rPr>
          <w:sz w:val="20"/>
          <w:szCs w:val="20"/>
          <w:color w:val="auto"/>
        </w:rPr>
      </w:pPr>
    </w:p>
    <w:p>
      <w:pPr>
        <w:jc w:val="both"/>
        <w:spacing w:after="0" w:line="288" w:lineRule="auto"/>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The increase in amortization expense in the current year period is due to the amortization of intangible assets associated with the Schülke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196215</wp:posOffset>
            </wp:positionV>
            <wp:extent cx="6638925" cy="19685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638925" cy="196850"/>
                    </a:xfrm>
                    <a:prstGeom prst="rect">
                      <a:avLst/>
                    </a:prstGeom>
                    <a:noFill/>
                  </pic:spPr>
                </pic:pic>
              </a:graphicData>
            </a:graphic>
          </wp:anchor>
        </w:drawing>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9"/>
          </w:tcPr>
          <w:p>
            <w:pPr>
              <w:jc w:val="right"/>
              <w:ind w:right="390"/>
              <w:spacing w:after="0"/>
              <w:rPr>
                <w:sz w:val="20"/>
                <w:szCs w:val="20"/>
                <w:color w:val="auto"/>
              </w:rPr>
            </w:pPr>
            <w:r>
              <w:rPr>
                <w:rFonts w:ascii="Arial" w:cs="Arial" w:eastAsia="Arial" w:hAnsi="Arial"/>
                <w:sz w:val="18"/>
                <w:szCs w:val="18"/>
                <w:color w:val="auto"/>
                <w:w w:val="95"/>
              </w:rPr>
              <w:t>Three months ended June 30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9"/>
          </w:tcPr>
          <w:p>
            <w:pPr>
              <w:jc w:val="right"/>
              <w:ind w:right="390"/>
              <w:spacing w:after="0"/>
              <w:rPr>
                <w:sz w:val="20"/>
                <w:szCs w:val="20"/>
                <w:color w:val="auto"/>
              </w:rPr>
            </w:pPr>
            <w:r>
              <w:rPr>
                <w:rFonts w:ascii="Arial" w:cs="Arial" w:eastAsia="Arial" w:hAnsi="Arial"/>
                <w:sz w:val="18"/>
                <w:szCs w:val="18"/>
                <w:color w:val="auto"/>
                <w:w w:val="95"/>
              </w:rPr>
              <w:t>Nine months ended June 30</w:t>
            </w:r>
          </w:p>
        </w:tc>
        <w:tc>
          <w:tcPr>
            <w:tcW w:w="80" w:type="dxa"/>
            <w:vAlign w:val="bottom"/>
          </w:tcPr>
          <w:p>
            <w:pPr>
              <w:spacing w:after="0"/>
              <w:rPr>
                <w:sz w:val="20"/>
                <w:szCs w:val="20"/>
                <w:color w:val="auto"/>
              </w:rPr>
            </w:pPr>
          </w:p>
        </w:tc>
      </w:tr>
      <w:tr>
        <w:trPr>
          <w:trHeight w:val="243"/>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Change</w:t>
            </w: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Change</w:t>
            </w:r>
          </w:p>
        </w:tc>
        <w:tc>
          <w:tcPr>
            <w:tcW w:w="80" w:type="dxa"/>
            <w:vAlign w:val="bottom"/>
          </w:tcPr>
          <w:p>
            <w:pPr>
              <w:spacing w:after="0"/>
              <w:rPr>
                <w:sz w:val="21"/>
                <w:szCs w:val="21"/>
                <w:color w:val="auto"/>
              </w:rPr>
            </w:pPr>
          </w:p>
        </w:tc>
      </w:tr>
      <w:tr>
        <w:trPr>
          <w:trHeight w:val="257"/>
        </w:trPr>
        <w:tc>
          <w:tcPr>
            <w:tcW w:w="4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Equity and other income</w:t>
            </w:r>
          </w:p>
        </w:tc>
        <w:tc>
          <w:tcPr>
            <w:tcW w:w="28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6"/>
        </w:trPr>
        <w:tc>
          <w:tcPr>
            <w:tcW w:w="4200" w:type="dxa"/>
            <w:vAlign w:val="bottom"/>
          </w:tcPr>
          <w:p>
            <w:pPr>
              <w:ind w:left="26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gridSpan w:val="2"/>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gridSpan w:val="2"/>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0" w:type="dxa"/>
            <w:vAlign w:val="bottom"/>
            <w:gridSpan w:val="2"/>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0" w:type="dxa"/>
            <w:vAlign w:val="bottom"/>
            <w:gridSpan w:val="2"/>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r>
      <w:tr>
        <w:trPr>
          <w:trHeight w:val="264"/>
        </w:trPr>
        <w:tc>
          <w:tcPr>
            <w:tcW w:w="420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gridSpan w:val="2"/>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4"/>
            <w:shd w:val="clear" w:color="auto" w:fill="CFF0FC"/>
          </w:tcPr>
          <w:p>
            <w:pPr>
              <w:jc w:val="right"/>
              <w:ind w:right="10"/>
              <w:spacing w:after="0"/>
              <w:rPr>
                <w:sz w:val="20"/>
                <w:szCs w:val="20"/>
                <w:color w:val="auto"/>
              </w:rPr>
            </w:pPr>
            <w:r>
              <w:rPr>
                <w:rFonts w:ascii="Arial" w:cs="Arial" w:eastAsia="Arial" w:hAnsi="Arial"/>
                <w:sz w:val="18"/>
                <w:szCs w:val="18"/>
                <w:color w:val="auto"/>
              </w:rPr>
              <w:t>—   $</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80" w:type="dxa"/>
            <w:vAlign w:val="bottom"/>
            <w:gridSpan w:val="3"/>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480" w:type="dxa"/>
            <w:vAlign w:val="bottom"/>
            <w:gridSpan w:val="3"/>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r>
      <w:tr>
        <w:trPr>
          <w:trHeight w:val="20"/>
        </w:trPr>
        <w:tc>
          <w:tcPr>
            <w:tcW w:w="4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3244215</wp:posOffset>
            </wp:positionH>
            <wp:positionV relativeFrom="paragraph">
              <wp:posOffset>-24765</wp:posOffset>
            </wp:positionV>
            <wp:extent cx="13716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3244215</wp:posOffset>
            </wp:positionH>
            <wp:positionV relativeFrom="paragraph">
              <wp:posOffset>-7620</wp:posOffset>
            </wp:positionV>
            <wp:extent cx="13716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-24765</wp:posOffset>
            </wp:positionV>
            <wp:extent cx="13716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-7620</wp:posOffset>
            </wp:positionV>
            <wp:extent cx="13716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4606925</wp:posOffset>
            </wp:positionH>
            <wp:positionV relativeFrom="paragraph">
              <wp:posOffset>-24765</wp:posOffset>
            </wp:positionV>
            <wp:extent cx="12890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4606925</wp:posOffset>
            </wp:positionH>
            <wp:positionV relativeFrom="paragraph">
              <wp:posOffset>-7620</wp:posOffset>
            </wp:positionV>
            <wp:extent cx="12890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-24765</wp:posOffset>
            </wp:positionV>
            <wp:extent cx="12890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-7620</wp:posOffset>
            </wp:positionV>
            <wp:extent cx="12890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5927090</wp:posOffset>
            </wp:positionH>
            <wp:positionV relativeFrom="paragraph">
              <wp:posOffset>-24765</wp:posOffset>
            </wp:positionV>
            <wp:extent cx="12890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5927090</wp:posOffset>
            </wp:positionH>
            <wp:positionV relativeFrom="paragraph">
              <wp:posOffset>-7620</wp:posOffset>
            </wp:positionV>
            <wp:extent cx="12890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6587490</wp:posOffset>
            </wp:positionH>
            <wp:positionV relativeFrom="paragraph">
              <wp:posOffset>-24765</wp:posOffset>
            </wp:positionV>
            <wp:extent cx="5969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6587490</wp:posOffset>
            </wp:positionH>
            <wp:positionV relativeFrom="paragraph">
              <wp:posOffset>-7620</wp:posOffset>
            </wp:positionV>
            <wp:extent cx="596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Other income is relatively consistent with the prior year quarter.</w:t>
      </w:r>
    </w:p>
    <w:p>
      <w:pPr>
        <w:spacing w:after="0" w:line="135" w:lineRule="exact"/>
        <w:rPr>
          <w:sz w:val="20"/>
          <w:szCs w:val="20"/>
          <w:color w:val="auto"/>
        </w:rPr>
      </w:pPr>
    </w:p>
    <w:p>
      <w:pPr>
        <w:jc w:val="both"/>
        <w:spacing w:after="0" w:line="316" w:lineRule="auto"/>
        <w:rPr>
          <w:sz w:val="20"/>
          <w:szCs w:val="20"/>
          <w:color w:val="auto"/>
        </w:rPr>
      </w:pPr>
      <w:r>
        <w:rPr>
          <w:rFonts w:ascii="Arial" w:cs="Arial" w:eastAsia="Arial" w:hAnsi="Arial"/>
          <w:sz w:val="19"/>
          <w:szCs w:val="19"/>
          <w:u w:val="single" w:color="auto"/>
          <w:color w:val="auto"/>
        </w:rPr>
        <w:t>Year-to-date</w:t>
      </w:r>
      <w:r>
        <w:rPr>
          <w:rFonts w:ascii="Arial" w:cs="Arial" w:eastAsia="Arial" w:hAnsi="Arial"/>
          <w:sz w:val="19"/>
          <w:szCs w:val="19"/>
          <w:color w:val="auto"/>
        </w:rPr>
        <w:t xml:space="preserve"> – Other income was primarily related to a gain on sale of excess corporate property of roughly $4 million in the current year and a liquidation gain of $3 million in the prior year period. Both periods included income from China subsidies.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193675</wp:posOffset>
            </wp:positionV>
            <wp:extent cx="662622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color w:val="auto"/>
              </w:rPr>
              <w:t>Three months ended June 30</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color w:val="auto"/>
              </w:rPr>
              <w:t>Nine months ended June 30</w:t>
            </w:r>
          </w:p>
        </w:tc>
        <w:tc>
          <w:tcPr>
            <w:tcW w:w="800" w:type="dxa"/>
            <w:vAlign w:val="bottom"/>
            <w:tcBorders>
              <w:bottom w:val="single" w:sz="8" w:color="auto"/>
            </w:tcBorders>
          </w:tcPr>
          <w:p>
            <w:pPr>
              <w:spacing w:after="0"/>
              <w:rPr>
                <w:sz w:val="20"/>
                <w:szCs w:val="20"/>
                <w:color w:val="auto"/>
              </w:rPr>
            </w:pPr>
          </w:p>
        </w:tc>
      </w:tr>
      <w:tr>
        <w:trPr>
          <w:trHeight w:val="244"/>
        </w:trPr>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2021</w:t>
            </w:r>
          </w:p>
        </w:tc>
        <w:tc>
          <w:tcPr>
            <w:tcW w:w="5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c>
          <w:tcPr>
            <w:tcW w:w="5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c>
          <w:tcPr>
            <w:tcW w:w="1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5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5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Change</w:t>
            </w:r>
          </w:p>
        </w:tc>
      </w:tr>
      <w:tr>
        <w:trPr>
          <w:trHeight w:val="256"/>
        </w:trPr>
        <w:tc>
          <w:tcPr>
            <w:tcW w:w="2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Goodwill impairment</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530</w:t>
            </w:r>
          </w:p>
        </w:tc>
        <w:tc>
          <w:tcPr>
            <w:tcW w:w="5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(530 )</w:t>
            </w:r>
          </w:p>
        </w:tc>
      </w:tr>
    </w:tbl>
    <w:p>
      <w:pPr>
        <w:spacing w:after="0" w:line="10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Ashland did not record an impairment charge in the current or prior year quarter.</w:t>
      </w:r>
    </w:p>
    <w:p>
      <w:pPr>
        <w:spacing w:after="0" w:line="13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74" w:right="719" w:bottom="1440" w:gutter="0" w:footer="0" w:header="0"/>
        </w:sectPr>
      </w:pPr>
    </w:p>
    <w:bookmarkStart w:id="42" w:name="page43"/>
    <w:bookmarkEnd w:id="42"/>
    <w:p>
      <w:pPr>
        <w:jc w:val="both"/>
        <w:ind w:right="20"/>
        <w:spacing w:after="0" w:line="288" w:lineRule="auto"/>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Ashland recorded an impairment charge of $530 million in the prior year period. See Note G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226060</wp:posOffset>
            </wp:positionV>
            <wp:extent cx="662622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36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7"/>
          </w:tcPr>
          <w:p>
            <w:pPr>
              <w:jc w:val="right"/>
              <w:ind w:right="410"/>
              <w:spacing w:after="0"/>
              <w:rPr>
                <w:sz w:val="20"/>
                <w:szCs w:val="20"/>
                <w:color w:val="auto"/>
              </w:rPr>
            </w:pPr>
            <w:r>
              <w:rPr>
                <w:rFonts w:ascii="Arial" w:cs="Arial" w:eastAsia="Arial" w:hAnsi="Arial"/>
                <w:sz w:val="18"/>
                <w:szCs w:val="18"/>
                <w:color w:val="auto"/>
                <w:w w:val="92"/>
              </w:rPr>
              <w:t>Three months ended June 30</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7"/>
          </w:tcPr>
          <w:p>
            <w:pPr>
              <w:jc w:val="right"/>
              <w:ind w:right="350"/>
              <w:spacing w:after="0"/>
              <w:rPr>
                <w:sz w:val="20"/>
                <w:szCs w:val="20"/>
                <w:color w:val="auto"/>
              </w:rPr>
            </w:pPr>
            <w:r>
              <w:rPr>
                <w:rFonts w:ascii="Arial" w:cs="Arial" w:eastAsia="Arial" w:hAnsi="Arial"/>
                <w:sz w:val="18"/>
                <w:szCs w:val="18"/>
                <w:color w:val="auto"/>
                <w:w w:val="93"/>
              </w:rPr>
              <w:t>Nine months ended June 30</w:t>
            </w:r>
          </w:p>
        </w:tc>
      </w:tr>
      <w:tr>
        <w:trPr>
          <w:trHeight w:val="244"/>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5"/>
              </w:rPr>
              <w:t>Change</w:t>
            </w: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1"/>
              </w:rPr>
              <w:t>Change</w:t>
            </w:r>
          </w:p>
        </w:tc>
      </w:tr>
      <w:tr>
        <w:trPr>
          <w:trHeight w:val="256"/>
        </w:trPr>
        <w:tc>
          <w:tcPr>
            <w:tcW w:w="4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interest and other expense (income)</w:t>
            </w:r>
          </w:p>
        </w:tc>
        <w:tc>
          <w:tcPr>
            <w:tcW w:w="22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6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r>
      <w:tr>
        <w:trPr>
          <w:trHeight w:val="250"/>
        </w:trPr>
        <w:tc>
          <w:tcPr>
            <w:tcW w:w="460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17</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(1 )</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63"/>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FF0FC"/>
          </w:tcPr>
          <w:p>
            <w:pPr>
              <w:spacing w:after="0"/>
              <w:rPr>
                <w:sz w:val="22"/>
                <w:szCs w:val="22"/>
                <w:color w:val="auto"/>
              </w:rPr>
            </w:pP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r>
      <w:tr>
        <w:trPr>
          <w:trHeight w:val="250"/>
        </w:trPr>
        <w:tc>
          <w:tcPr>
            <w:tcW w:w="4600" w:type="dxa"/>
            <w:vAlign w:val="bottom"/>
          </w:tcPr>
          <w:p>
            <w:pPr>
              <w:ind w:left="260"/>
              <w:spacing w:after="0"/>
              <w:rPr>
                <w:sz w:val="20"/>
                <w:szCs w:val="20"/>
                <w:color w:val="auto"/>
              </w:rPr>
            </w:pPr>
            <w:r>
              <w:rPr>
                <w:rFonts w:ascii="Arial" w:cs="Arial" w:eastAsia="Arial" w:hAnsi="Arial"/>
                <w:sz w:val="18"/>
                <w:szCs w:val="18"/>
                <w:color w:val="auto"/>
              </w:rPr>
              <w:t>Loss on early retirement of debt</w:t>
            </w:r>
          </w:p>
        </w:tc>
        <w:tc>
          <w:tcPr>
            <w:tcW w:w="22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(59 )</w:t>
            </w:r>
          </w:p>
        </w:tc>
      </w:tr>
      <w:tr>
        <w:trPr>
          <w:trHeight w:val="263"/>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(income) from restricted investments</w:t>
            </w:r>
          </w:p>
        </w:tc>
        <w:tc>
          <w:tcPr>
            <w:tcW w:w="22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(17 )</w:t>
            </w:r>
          </w:p>
        </w:tc>
        <w:tc>
          <w:tcPr>
            <w:tcW w:w="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(33 )</w:t>
            </w: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(37 )</w:t>
            </w:r>
          </w:p>
        </w:tc>
        <w:tc>
          <w:tcPr>
            <w:tcW w:w="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(17 )</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(20 )</w:t>
            </w:r>
          </w:p>
        </w:tc>
      </w:tr>
      <w:tr>
        <w:trPr>
          <w:trHeight w:val="250"/>
        </w:trPr>
        <w:tc>
          <w:tcPr>
            <w:tcW w:w="4600" w:type="dxa"/>
            <w:vAlign w:val="bottom"/>
          </w:tcPr>
          <w:p>
            <w:pPr>
              <w:ind w:left="260"/>
              <w:spacing w:after="0"/>
              <w:rPr>
                <w:sz w:val="20"/>
                <w:szCs w:val="20"/>
                <w:color w:val="auto"/>
              </w:rPr>
            </w:pPr>
            <w:r>
              <w:rPr>
                <w:rFonts w:ascii="Arial" w:cs="Arial" w:eastAsia="Arial" w:hAnsi="Arial"/>
                <w:sz w:val="18"/>
                <w:szCs w:val="18"/>
                <w:color w:val="auto"/>
              </w:rPr>
              <w:t>Loss on U.S. Accounts Receivable Sales Program</w:t>
            </w:r>
          </w:p>
        </w:tc>
        <w:tc>
          <w:tcPr>
            <w:tcW w:w="22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63"/>
        </w:trPr>
        <w:tc>
          <w:tcPr>
            <w:tcW w:w="46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Other financing costs</w:t>
            </w:r>
          </w:p>
        </w:tc>
        <w:tc>
          <w:tcPr>
            <w:tcW w:w="220" w:type="dxa"/>
            <w:vAlign w:val="bottom"/>
            <w:tcBorders>
              <w:bottom w:val="single" w:sz="8" w:color="auto"/>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46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(14 )</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(95 )</w:t>
            </w:r>
          </w:p>
        </w:tc>
      </w:tr>
      <w:tr>
        <w:trPr>
          <w:trHeight w:val="20"/>
        </w:trPr>
        <w:tc>
          <w:tcPr>
            <w:tcW w:w="4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-193675</wp:posOffset>
            </wp:positionV>
            <wp:extent cx="77470" cy="57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4144010</wp:posOffset>
            </wp:positionH>
            <wp:positionV relativeFrom="paragraph">
              <wp:posOffset>-193675</wp:posOffset>
            </wp:positionV>
            <wp:extent cx="77470" cy="57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4795520</wp:posOffset>
            </wp:positionH>
            <wp:positionV relativeFrom="paragraph">
              <wp:posOffset>-193675</wp:posOffset>
            </wp:positionV>
            <wp:extent cx="77470" cy="571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5412740</wp:posOffset>
            </wp:positionH>
            <wp:positionV relativeFrom="paragraph">
              <wp:posOffset>-193675</wp:posOffset>
            </wp:positionV>
            <wp:extent cx="77470" cy="571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6029960</wp:posOffset>
            </wp:positionH>
            <wp:positionV relativeFrom="paragraph">
              <wp:posOffset>-193675</wp:posOffset>
            </wp:positionV>
            <wp:extent cx="77470" cy="571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7470" cy="5715"/>
                    </a:xfrm>
                    <a:prstGeom prst="rect">
                      <a:avLst/>
                    </a:prstGeom>
                    <a:noFill/>
                  </pic:spPr>
                </pic:pic>
              </a:graphicData>
            </a:graphic>
          </wp:anchor>
        </w:drawing>
      </w:r>
    </w:p>
    <w:p>
      <w:pPr>
        <w:spacing w:after="0" w:line="139" w:lineRule="exact"/>
        <w:rPr>
          <w:sz w:val="20"/>
          <w:szCs w:val="20"/>
          <w:color w:val="auto"/>
        </w:rPr>
      </w:pPr>
    </w:p>
    <w:p>
      <w:pPr>
        <w:jc w:val="both"/>
        <w:spacing w:after="0" w:line="314" w:lineRule="auto"/>
        <w:rPr>
          <w:sz w:val="20"/>
          <w:szCs w:val="20"/>
          <w:color w:val="auto"/>
        </w:rPr>
      </w:pPr>
      <w:r>
        <w:rPr>
          <w:rFonts w:ascii="Arial" w:cs="Arial" w:eastAsia="Arial" w:hAnsi="Arial"/>
          <w:sz w:val="18"/>
          <w:szCs w:val="18"/>
          <w:u w:val="single" w:color="auto"/>
          <w:color w:val="auto"/>
        </w:rPr>
        <w:t>Current Quarter</w:t>
      </w:r>
      <w:r>
        <w:rPr>
          <w:rFonts w:ascii="Arial" w:cs="Arial" w:eastAsia="Arial" w:hAnsi="Arial"/>
          <w:sz w:val="18"/>
          <w:szCs w:val="18"/>
          <w:color w:val="auto"/>
        </w:rPr>
        <w:t xml:space="preserve"> - Net interest and other expense increased by $15 million during the current quarter compared to the prior year quarter. Interest expense decreased $1 million primarily due to lower cost of debt and lower debt levels during the current quarter compared to the prior year quarter. Restricted investments included gains of $15 million compared to $31 million for the three months ended June 30, 2021 and 2020, respectively. See Note E for more information on the restricted investments.</w:t>
      </w:r>
    </w:p>
    <w:p>
      <w:pPr>
        <w:spacing w:after="0" w:line="199" w:lineRule="exact"/>
        <w:rPr>
          <w:sz w:val="20"/>
          <w:szCs w:val="20"/>
          <w:color w:val="auto"/>
        </w:rPr>
      </w:pPr>
    </w:p>
    <w:p>
      <w:pPr>
        <w:jc w:val="both"/>
        <w:spacing w:after="0" w:line="307" w:lineRule="auto"/>
        <w:rPr>
          <w:sz w:val="20"/>
          <w:szCs w:val="20"/>
          <w:color w:val="auto"/>
        </w:rPr>
      </w:pPr>
      <w:r>
        <w:rPr>
          <w:rFonts w:ascii="Arial" w:cs="Arial" w:eastAsia="Arial" w:hAnsi="Arial"/>
          <w:sz w:val="18"/>
          <w:szCs w:val="18"/>
          <w:u w:val="single" w:color="auto"/>
          <w:color w:val="auto"/>
        </w:rPr>
        <w:t>Year-to-date</w:t>
      </w:r>
      <w:r>
        <w:rPr>
          <w:rFonts w:ascii="Arial" w:cs="Arial" w:eastAsia="Arial" w:hAnsi="Arial"/>
          <w:sz w:val="18"/>
          <w:szCs w:val="18"/>
          <w:color w:val="auto"/>
        </w:rPr>
        <w:t xml:space="preserve"> - Net interest and other expense decreased by $95 million during the current year compared to the prior year period. Interest expense decreased $20 million primarily due to lower cost of debt and lower debt levels during the current year compared to the prior year period excluding accelerated debt issuance costs and original issuance discount costs. Ashland incurred $8 million of accelerated debt issuance costs and original issuance discount costs, as well as $59 million of debt refinancing costs during the prior year period. Restricted investments included gains of $26 million compared to $9 million for the nine months ended June 30, 2021 and 2020, respectively. See Note E for more information on the restricted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120650</wp:posOffset>
            </wp:positionV>
            <wp:extent cx="6638925" cy="19685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638925" cy="196850"/>
                    </a:xfrm>
                    <a:prstGeom prst="rect">
                      <a:avLst/>
                    </a:prstGeom>
                    <a:noFill/>
                  </pic:spPr>
                </pic:pic>
              </a:graphicData>
            </a:graphic>
          </wp:anchor>
        </w:drawing>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7"/>
          </w:tcPr>
          <w:p>
            <w:pPr>
              <w:ind w:left="120"/>
              <w:spacing w:after="0"/>
              <w:rPr>
                <w:sz w:val="20"/>
                <w:szCs w:val="20"/>
                <w:color w:val="auto"/>
              </w:rPr>
            </w:pPr>
            <w:r>
              <w:rPr>
                <w:rFonts w:ascii="Arial" w:cs="Arial" w:eastAsia="Arial" w:hAnsi="Arial"/>
                <w:sz w:val="18"/>
                <w:szCs w:val="18"/>
                <w:color w:val="auto"/>
              </w:rPr>
              <w:t>Three months ended June 30</w:t>
            </w:r>
          </w:p>
        </w:tc>
        <w:tc>
          <w:tcPr>
            <w:tcW w:w="200" w:type="dxa"/>
            <w:vAlign w:val="bottom"/>
            <w:gridSpan w:val="2"/>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7"/>
          </w:tcPr>
          <w:p>
            <w:pPr>
              <w:jc w:val="right"/>
              <w:ind w:right="250"/>
              <w:spacing w:after="0"/>
              <w:rPr>
                <w:sz w:val="20"/>
                <w:szCs w:val="20"/>
                <w:color w:val="auto"/>
              </w:rPr>
            </w:pPr>
            <w:r>
              <w:rPr>
                <w:rFonts w:ascii="Arial" w:cs="Arial" w:eastAsia="Arial" w:hAnsi="Arial"/>
                <w:sz w:val="18"/>
                <w:szCs w:val="18"/>
                <w:color w:val="auto"/>
                <w:w w:val="93"/>
              </w:rPr>
              <w:t>Nine months ended June 30</w:t>
            </w:r>
          </w:p>
        </w:tc>
        <w:tc>
          <w:tcPr>
            <w:tcW w:w="80" w:type="dxa"/>
            <w:vAlign w:val="bottom"/>
          </w:tcPr>
          <w:p>
            <w:pPr>
              <w:spacing w:after="0"/>
              <w:rPr>
                <w:sz w:val="20"/>
                <w:szCs w:val="20"/>
                <w:color w:val="auto"/>
              </w:rPr>
            </w:pPr>
          </w:p>
        </w:tc>
      </w:tr>
      <w:tr>
        <w:trPr>
          <w:trHeight w:val="244"/>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8"/>
              </w:rPr>
              <w:t>Change</w:t>
            </w:r>
          </w:p>
        </w:tc>
        <w:tc>
          <w:tcPr>
            <w:tcW w:w="100" w:type="dxa"/>
            <w:vAlign w:val="bottom"/>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Change</w:t>
            </w:r>
          </w:p>
        </w:tc>
        <w:tc>
          <w:tcPr>
            <w:tcW w:w="80" w:type="dxa"/>
            <w:vAlign w:val="bottom"/>
          </w:tcPr>
          <w:p>
            <w:pPr>
              <w:spacing w:after="0"/>
              <w:rPr>
                <w:sz w:val="21"/>
                <w:szCs w:val="21"/>
                <w:color w:val="auto"/>
              </w:rPr>
            </w:pPr>
          </w:p>
        </w:tc>
      </w:tr>
      <w:tr>
        <w:trPr>
          <w:trHeight w:val="256"/>
        </w:trPr>
        <w:tc>
          <w:tcPr>
            <w:tcW w:w="4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net periodic benefit income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FF0FC"/>
          </w:tcPr>
          <w:p>
            <w:pPr>
              <w:ind w:left="420"/>
              <w:spacing w:after="0"/>
              <w:rPr>
                <w:sz w:val="20"/>
                <w:szCs w:val="20"/>
                <w:color w:val="auto"/>
              </w:rPr>
            </w:pPr>
            <w:r>
              <w:rPr>
                <w:rFonts w:ascii="Arial" w:cs="Arial" w:eastAsia="Arial" w:hAnsi="Arial"/>
                <w:sz w:val="18"/>
                <w:szCs w:val="18"/>
                <w:color w:val="auto"/>
              </w:rPr>
              <w:t>—   $</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r>
    </w:tbl>
    <w:p>
      <w:pPr>
        <w:spacing w:after="0" w:line="10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Other net periodic benefit income is consistent with the prior year quarter.</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Other net periodic benefit income is consistent with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181610</wp:posOffset>
            </wp:positionV>
            <wp:extent cx="662622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jc w:val="right"/>
              <w:ind w:right="510"/>
              <w:spacing w:after="0"/>
              <w:rPr>
                <w:sz w:val="20"/>
                <w:szCs w:val="20"/>
                <w:color w:val="auto"/>
              </w:rPr>
            </w:pPr>
            <w:r>
              <w:rPr>
                <w:rFonts w:ascii="Arial" w:cs="Arial" w:eastAsia="Arial" w:hAnsi="Arial"/>
                <w:sz w:val="18"/>
                <w:szCs w:val="18"/>
                <w:color w:val="auto"/>
                <w:w w:val="95"/>
              </w:rPr>
              <w:t>Three months ended June 30</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right"/>
              <w:ind w:right="450"/>
              <w:spacing w:after="0"/>
              <w:rPr>
                <w:sz w:val="20"/>
                <w:szCs w:val="20"/>
                <w:color w:val="auto"/>
              </w:rPr>
            </w:pPr>
            <w:r>
              <w:rPr>
                <w:rFonts w:ascii="Arial" w:cs="Arial" w:eastAsia="Arial" w:hAnsi="Arial"/>
                <w:sz w:val="18"/>
                <w:szCs w:val="18"/>
                <w:color w:val="auto"/>
                <w:w w:val="95"/>
              </w:rPr>
              <w:t>Nine months ended June 30</w:t>
            </w:r>
          </w:p>
        </w:tc>
      </w:tr>
      <w:tr>
        <w:trPr>
          <w:trHeight w:val="243"/>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4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8"/>
              </w:rPr>
              <w:t>Change</w:t>
            </w:r>
          </w:p>
        </w:tc>
        <w:tc>
          <w:tcPr>
            <w:tcW w:w="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Change</w:t>
            </w:r>
          </w:p>
        </w:tc>
      </w:tr>
      <w:tr>
        <w:trPr>
          <w:trHeight w:val="257"/>
        </w:trPr>
        <w:tc>
          <w:tcPr>
            <w:tcW w:w="4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on acquisitions and divestitures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4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w:t>
            </w: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w:t>
            </w:r>
          </w:p>
        </w:tc>
        <w:tc>
          <w:tcPr>
            <w:tcW w:w="3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w:t>
            </w:r>
          </w:p>
        </w:tc>
      </w:tr>
    </w:tbl>
    <w:p>
      <w:pPr>
        <w:spacing w:after="0" w:line="105" w:lineRule="exact"/>
        <w:rPr>
          <w:sz w:val="20"/>
          <w:szCs w:val="20"/>
          <w:color w:val="auto"/>
        </w:rPr>
      </w:pPr>
    </w:p>
    <w:p>
      <w:pPr>
        <w:jc w:val="both"/>
        <w:spacing w:after="0" w:line="278" w:lineRule="auto"/>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The activity in the current quarter relates to a $2 million gain in transaction net costs associated with the personal care acquisition of Schülke, including a gain of $4 million associated with foreign currency derivatives entered into to mitigate the foreign exchange exposure of the purchase price.</w:t>
      </w:r>
    </w:p>
    <w:p>
      <w:pPr>
        <w:spacing w:after="0" w:line="78" w:lineRule="exact"/>
        <w:rPr>
          <w:sz w:val="20"/>
          <w:szCs w:val="20"/>
          <w:color w:val="auto"/>
        </w:rPr>
      </w:pPr>
    </w:p>
    <w:p>
      <w:pPr>
        <w:jc w:val="both"/>
        <w:spacing w:after="0" w:line="314" w:lineRule="auto"/>
        <w:rPr>
          <w:sz w:val="20"/>
          <w:szCs w:val="20"/>
          <w:color w:val="auto"/>
        </w:rPr>
      </w:pPr>
      <w:r>
        <w:rPr>
          <w:rFonts w:ascii="Arial" w:cs="Arial" w:eastAsia="Arial" w:hAnsi="Arial"/>
          <w:sz w:val="18"/>
          <w:szCs w:val="18"/>
          <w:u w:val="single" w:color="auto"/>
          <w:color w:val="auto"/>
        </w:rPr>
        <w:t>Year-to-date</w:t>
      </w:r>
      <w:r>
        <w:rPr>
          <w:rFonts w:ascii="Arial" w:cs="Arial" w:eastAsia="Arial" w:hAnsi="Arial"/>
          <w:sz w:val="18"/>
          <w:szCs w:val="18"/>
          <w:color w:val="auto"/>
        </w:rPr>
        <w:t xml:space="preserve"> – The activity in the current year relates to a $3 million expense in transaction net costs associated with the personal care acquisition of Schülke, including a gain of $1 million associated with foreign currency derivatives entered into to mitigate the foreign exchange exposure of the purchase price. In addition there was also a $14 million gain related to the sale of a Specialty Additives facility within the current period. The activity in the prior year related to post-closing adjustments for certain 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128905</wp:posOffset>
            </wp:positionV>
            <wp:extent cx="662622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color w:val="auto"/>
                <w:w w:val="96"/>
              </w:rPr>
              <w:t>Three months ended June 30</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color w:val="auto"/>
                <w:w w:val="97"/>
              </w:rPr>
              <w:t>Nine months ended June 30</w:t>
            </w:r>
          </w:p>
        </w:tc>
      </w:tr>
      <w:tr>
        <w:trPr>
          <w:trHeight w:val="244"/>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8"/>
                <w:szCs w:val="18"/>
                <w:color w:val="auto"/>
                <w:w w:val="98"/>
              </w:rPr>
              <w:t>Change</w:t>
            </w: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Change</w:t>
            </w:r>
          </w:p>
        </w:tc>
      </w:tr>
      <w:tr>
        <w:trPr>
          <w:trHeight w:val="256"/>
        </w:trPr>
        <w:tc>
          <w:tcPr>
            <w:tcW w:w="4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tax expense (benefit)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(24 )   $</w:t>
            </w:r>
          </w:p>
        </w:tc>
        <w:tc>
          <w:tcPr>
            <w:tcW w:w="7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(36 )  $</w:t>
            </w: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(22 )   $</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(21 )   $</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4220" w:type="dxa"/>
            <w:vAlign w:val="bottom"/>
          </w:tcPr>
          <w:p>
            <w:pPr>
              <w:spacing w:after="0"/>
              <w:rPr>
                <w:sz w:val="20"/>
                <w:szCs w:val="20"/>
                <w:color w:val="auto"/>
              </w:rPr>
            </w:pPr>
            <w:r>
              <w:rPr>
                <w:rFonts w:ascii="Arial" w:cs="Arial" w:eastAsia="Arial" w:hAnsi="Arial"/>
                <w:sz w:val="18"/>
                <w:szCs w:val="18"/>
                <w:b w:val="1"/>
                <w:bCs w:val="1"/>
                <w:color w:val="auto"/>
              </w:rPr>
              <w:t>Effective tax rate</w:t>
            </w:r>
          </w:p>
        </w:tc>
        <w:tc>
          <w:tcPr>
            <w:tcW w:w="240" w:type="dxa"/>
            <w:vAlign w:val="bottom"/>
          </w:tcPr>
          <w:p>
            <w:pPr>
              <w:spacing w:after="0"/>
              <w:rPr>
                <w:sz w:val="21"/>
                <w:szCs w:val="21"/>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-38 %</w:t>
            </w:r>
          </w:p>
        </w:tc>
        <w:tc>
          <w:tcPr>
            <w:tcW w:w="760" w:type="dxa"/>
            <w:vAlign w:val="bottom"/>
          </w:tcPr>
          <w:p>
            <w:pPr>
              <w:jc w:val="right"/>
              <w:spacing w:after="0"/>
              <w:rPr>
                <w:sz w:val="20"/>
                <w:szCs w:val="20"/>
                <w:color w:val="auto"/>
              </w:rPr>
            </w:pPr>
            <w:r>
              <w:rPr>
                <w:rFonts w:ascii="Arial" w:cs="Arial" w:eastAsia="Arial" w:hAnsi="Arial"/>
                <w:sz w:val="18"/>
                <w:szCs w:val="18"/>
                <w:color w:val="auto"/>
              </w:rPr>
              <w:t>19 %</w:t>
            </w: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-13 %</w:t>
            </w: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-4 %</w:t>
            </w:r>
          </w:p>
        </w:tc>
        <w:tc>
          <w:tcPr>
            <w:tcW w:w="740" w:type="dxa"/>
            <w:vAlign w:val="bottom"/>
          </w:tcPr>
          <w:p>
            <w:pPr>
              <w:spacing w:after="0"/>
              <w:rPr>
                <w:sz w:val="21"/>
                <w:szCs w:val="21"/>
                <w:color w:val="auto"/>
              </w:rPr>
            </w:pPr>
          </w:p>
        </w:tc>
      </w:tr>
    </w:tbl>
    <w:p>
      <w:pPr>
        <w:spacing w:after="0" w:line="253" w:lineRule="exact"/>
        <w:rPr>
          <w:sz w:val="20"/>
          <w:szCs w:val="20"/>
          <w:color w:val="auto"/>
        </w:rPr>
      </w:pPr>
    </w:p>
    <w:p>
      <w:pPr>
        <w:jc w:val="both"/>
        <w:spacing w:after="0" w:line="288" w:lineRule="auto"/>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Ashland’s effective tax rate in any interim period is subject to adjustments related to discrete items and the mix of domestic and foreign operating results. The overall effective tax rate was a benefit of 38% for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74" w:right="719" w:bottom="1440" w:gutter="0" w:footer="0" w:header="0"/>
        </w:sectPr>
      </w:pPr>
    </w:p>
    <w:bookmarkStart w:id="43" w:name="page44"/>
    <w:bookmarkEnd w:id="43"/>
    <w:p>
      <w:pPr>
        <w:jc w:val="both"/>
        <w:spacing w:after="0" w:line="288" w:lineRule="auto"/>
        <w:rPr>
          <w:sz w:val="20"/>
          <w:szCs w:val="20"/>
          <w:color w:val="auto"/>
        </w:rPr>
      </w:pPr>
      <w:r>
        <w:rPr>
          <w:rFonts w:ascii="Arial" w:cs="Arial" w:eastAsia="Arial" w:hAnsi="Arial"/>
          <w:sz w:val="20"/>
          <w:szCs w:val="20"/>
          <w:color w:val="auto"/>
        </w:rPr>
        <w:t>the three months ended June 30, 2021. The current quarter tax rate was impacted by jurisdictional income mix, as well as favorable discrete items of $33 million primarily related to uncertain tax positions.</w:t>
      </w:r>
    </w:p>
    <w:p>
      <w:pPr>
        <w:spacing w:after="0" w:line="69"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The overall effective tax rate was an expense of 19% for the three months ended June 30, 2020 and was impacted primarily by income mix and unfavorable discrete items of $4 million.</w:t>
      </w:r>
    </w:p>
    <w:p>
      <w:pPr>
        <w:spacing w:after="0" w:line="69" w:lineRule="exact"/>
        <w:rPr>
          <w:sz w:val="20"/>
          <w:szCs w:val="20"/>
          <w:color w:val="auto"/>
        </w:rPr>
      </w:pPr>
    </w:p>
    <w:p>
      <w:pPr>
        <w:jc w:val="both"/>
        <w:spacing w:after="0" w:line="274" w:lineRule="auto"/>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Ashland’s effective tax rate in any interim period is subject to adjustments related to discrete items and the mix of domestic and foreign operating results. The overall effective tax rate was a benefit 13% for the nine months ended June 30, 2021 and was impacted by jurisdictional income mix, as well as favorable discrete items of $53 million primarily related to the sale of a Specialty Additives facility and uncertain tax positions.</w:t>
      </w:r>
    </w:p>
    <w:p>
      <w:pPr>
        <w:spacing w:after="0" w:line="84"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The overall effective tax rate was a benefit of 4% for the nine months ended June 30, 2020 and was primarily impacted by nondeductible goodwill impairment of $527 million as well as $20 million favorable tax discrete items from the tax benefit related to the Swiss Tax Reform enacted in the first quarter of fiscal 2020.</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74" w:right="719" w:bottom="1440" w:gutter="0" w:footer="0" w:header="0"/>
        </w:sectPr>
      </w:pPr>
    </w:p>
    <w:bookmarkStart w:id="44" w:name="page45"/>
    <w:bookmarkEnd w:id="44"/>
    <w:p>
      <w:pPr>
        <w:spacing w:after="0"/>
        <w:rPr>
          <w:sz w:val="20"/>
          <w:szCs w:val="20"/>
          <w:color w:val="auto"/>
        </w:rPr>
      </w:pPr>
      <w:r>
        <w:rPr>
          <w:rFonts w:ascii="Arial" w:cs="Arial" w:eastAsia="Arial" w:hAnsi="Arial"/>
          <w:sz w:val="20"/>
          <w:szCs w:val="20"/>
          <w:i w:val="1"/>
          <w:iCs w:val="1"/>
          <w:color w:val="auto"/>
        </w:rPr>
        <w:t>Adjusted income tax expense (benefit)</w:t>
      </w:r>
    </w:p>
    <w:p>
      <w:pPr>
        <w:spacing w:after="0" w:line="135"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Key items are defined as the financial effects from significant transactions that may have caused short-term fluctuations in net income and/or operating income which Ashland believes do not accurately reflect Ashland’s underlying business performance and trends. Tax specific key items are defined as the financial effects from tax specific financial transactions, tax law changes or other matters that fall within the definition of key items as previously described. The effective tax rate, excluding key items, which is a non-GAAP measure, has been prepared to illustrate the ongoing tax effects of Ashland’s operations. Management believes investors and analysts use this financial measure in assessing Ashland's business performance and that presenting this non-GAAP measure on a consolidated basis assists investors in better understanding Ashland’s ongoing business performance and enhancing their ability to compare period-to-period financial results.</w:t>
      </w:r>
    </w:p>
    <w:p>
      <w:pPr>
        <w:spacing w:after="0" w:line="77"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The effective tax rate during the three and nine months ended June 30, 2021 and 2020 was significantly impacted by the following tax specific key items:</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Uncertain tax positions – Includes the impact from the settlement of uncertain tax positions with various taxing authorities;</w:t>
      </w:r>
    </w:p>
    <w:p>
      <w:pPr>
        <w:spacing w:after="0" w:line="158" w:lineRule="exact"/>
        <w:rPr>
          <w:sz w:val="20"/>
          <w:szCs w:val="20"/>
          <w:color w:val="auto"/>
        </w:rPr>
      </w:pPr>
    </w:p>
    <w:p>
      <w:pPr>
        <w:ind w:left="320" w:right="100"/>
        <w:spacing w:after="0" w:line="288" w:lineRule="auto"/>
        <w:rPr>
          <w:sz w:val="20"/>
          <w:szCs w:val="20"/>
          <w:color w:val="auto"/>
        </w:rPr>
      </w:pPr>
      <w:r>
        <w:rPr>
          <w:rFonts w:ascii="Arial" w:cs="Arial" w:eastAsia="Arial" w:hAnsi="Arial"/>
          <w:sz w:val="20"/>
          <w:szCs w:val="20"/>
          <w:color w:val="auto"/>
        </w:rPr>
        <w:t>Restructuring and separation activity – Includes the impact from company-wide cost reduction programs, and the impact of the sale of a Specialty Additives facility; and</w:t>
      </w:r>
    </w:p>
    <w:p>
      <w:pPr>
        <w:spacing w:after="0" w:line="69" w:lineRule="exact"/>
        <w:rPr>
          <w:sz w:val="20"/>
          <w:szCs w:val="20"/>
          <w:color w:val="auto"/>
        </w:rPr>
      </w:pPr>
    </w:p>
    <w:p>
      <w:pPr>
        <w:ind w:left="320" w:right="60"/>
        <w:spacing w:after="0" w:line="272" w:lineRule="auto"/>
        <w:rPr>
          <w:sz w:val="20"/>
          <w:szCs w:val="20"/>
          <w:color w:val="auto"/>
        </w:rPr>
      </w:pPr>
      <w:r>
        <w:rPr>
          <w:rFonts w:ascii="Arial" w:cs="Arial" w:eastAsia="Arial" w:hAnsi="Arial"/>
          <w:sz w:val="20"/>
          <w:szCs w:val="20"/>
          <w:color w:val="auto"/>
        </w:rPr>
        <w:t>Other tax reform – Includes the impact from other items related to The Tax Cut and Jobs Act (Tax Act) and other tax law changes including Swiss Tax Reform. The Swiss Tax Reform benefit is an estimate based on ten year income projections and is subject to approval by the Swiss tax authorities. Ashland will monitor this amount and make adjustments as appropriate in future periods. These adjustments also include the impact from the deductibility of compensation items and miscellaneous state tax items.</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calculation of the effective tax rate, excluding these key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104775</wp:posOffset>
            </wp:positionV>
            <wp:extent cx="662622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w w:val="98"/>
              </w:rPr>
              <w:t>Three months ended</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3"/>
          </w:tcPr>
          <w:p>
            <w:pPr>
              <w:jc w:val="right"/>
              <w:ind w:right="40"/>
              <w:spacing w:after="0"/>
              <w:rPr>
                <w:sz w:val="20"/>
                <w:szCs w:val="20"/>
                <w:color w:val="auto"/>
              </w:rPr>
            </w:pPr>
            <w:r>
              <w:rPr>
                <w:rFonts w:ascii="Arial" w:cs="Arial" w:eastAsia="Arial" w:hAnsi="Arial"/>
                <w:sz w:val="18"/>
                <w:szCs w:val="18"/>
                <w:color w:val="auto"/>
              </w:rPr>
              <w:t>Nine months ended</w:t>
            </w:r>
          </w:p>
        </w:tc>
        <w:tc>
          <w:tcPr>
            <w:tcW w:w="620" w:type="dxa"/>
            <w:vAlign w:val="bottom"/>
          </w:tcPr>
          <w:p>
            <w:pPr>
              <w:spacing w:after="0"/>
              <w:rPr>
                <w:sz w:val="20"/>
                <w:szCs w:val="20"/>
                <w:color w:val="auto"/>
              </w:rPr>
            </w:pPr>
          </w:p>
        </w:tc>
      </w:tr>
      <w:tr>
        <w:trPr>
          <w:trHeight w:val="263"/>
        </w:trPr>
        <w:tc>
          <w:tcPr>
            <w:tcW w:w="51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color w:val="auto"/>
              </w:rPr>
              <w:t>June 30</w:t>
            </w:r>
          </w:p>
        </w:tc>
        <w:tc>
          <w:tcPr>
            <w:tcW w:w="64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8"/>
                <w:szCs w:val="18"/>
                <w:color w:val="auto"/>
              </w:rPr>
              <w:t>June 30</w:t>
            </w:r>
          </w:p>
        </w:tc>
        <w:tc>
          <w:tcPr>
            <w:tcW w:w="620" w:type="dxa"/>
            <w:vAlign w:val="bottom"/>
            <w:tcBorders>
              <w:bottom w:val="single" w:sz="8" w:color="auto"/>
            </w:tcBorders>
          </w:tcPr>
          <w:p>
            <w:pPr>
              <w:spacing w:after="0"/>
              <w:rPr>
                <w:sz w:val="22"/>
                <w:szCs w:val="22"/>
                <w:color w:val="auto"/>
              </w:rPr>
            </w:pPr>
          </w:p>
        </w:tc>
      </w:tr>
      <w:tr>
        <w:trPr>
          <w:trHeight w:val="250"/>
        </w:trPr>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2020</w:t>
            </w:r>
          </w:p>
        </w:tc>
        <w:tc>
          <w:tcPr>
            <w:tcW w:w="1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2020</w:t>
            </w:r>
          </w:p>
        </w:tc>
      </w:tr>
      <w:tr>
        <w:trPr>
          <w:trHeight w:val="250"/>
        </w:trPr>
        <w:tc>
          <w:tcPr>
            <w:tcW w:w="5140" w:type="dxa"/>
            <w:vAlign w:val="bottom"/>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63</w:t>
            </w:r>
          </w:p>
        </w:tc>
        <w:tc>
          <w:tcPr>
            <w:tcW w:w="72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62</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168</w:t>
            </w:r>
          </w:p>
        </w:tc>
        <w:tc>
          <w:tcPr>
            <w:tcW w:w="7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(512 )</w:t>
            </w:r>
          </w:p>
        </w:tc>
      </w:tr>
      <w:tr>
        <w:trPr>
          <w:trHeight w:val="257"/>
        </w:trPr>
        <w:tc>
          <w:tcPr>
            <w:tcW w:w="5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Key items (pre-tax) </w:t>
            </w:r>
            <w:r>
              <w:rPr>
                <w:rFonts w:ascii="Arial" w:cs="Arial" w:eastAsia="Arial" w:hAnsi="Arial"/>
                <w:sz w:val="14"/>
                <w:szCs w:val="14"/>
                <w:color w:val="auto"/>
              </w:rPr>
              <w:t>(a)</w:t>
            </w:r>
          </w:p>
        </w:tc>
        <w:tc>
          <w:tcPr>
            <w:tcW w:w="28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FF0FC"/>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FF0FC"/>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647</w:t>
            </w:r>
          </w:p>
        </w:tc>
      </w:tr>
      <w:tr>
        <w:trPr>
          <w:trHeight w:val="250"/>
        </w:trPr>
        <w:tc>
          <w:tcPr>
            <w:tcW w:w="5140" w:type="dxa"/>
            <w:vAlign w:val="bottom"/>
          </w:tcPr>
          <w:p>
            <w:pPr>
              <w:spacing w:after="0"/>
              <w:rPr>
                <w:sz w:val="20"/>
                <w:szCs w:val="20"/>
                <w:color w:val="auto"/>
              </w:rPr>
            </w:pPr>
            <w:r>
              <w:rPr>
                <w:rFonts w:ascii="Arial" w:cs="Arial" w:eastAsia="Arial" w:hAnsi="Arial"/>
                <w:sz w:val="18"/>
                <w:szCs w:val="18"/>
                <w:b w:val="1"/>
                <w:bCs w:val="1"/>
                <w:color w:val="auto"/>
              </w:rPr>
              <w:t>Adjusted income from continuing operations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303"/>
        </w:trPr>
        <w:tc>
          <w:tcPr>
            <w:tcW w:w="514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before income taxes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FF0FC"/>
          </w:tcPr>
          <w:p>
            <w:pPr>
              <w:spacing w:after="0"/>
              <w:rPr>
                <w:sz w:val="24"/>
                <w:szCs w:val="24"/>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64</w:t>
            </w: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173</w:t>
            </w:r>
          </w:p>
        </w:tc>
        <w:tc>
          <w:tcPr>
            <w:tcW w:w="70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135</w:t>
            </w:r>
          </w:p>
        </w:tc>
      </w:tr>
      <w:tr>
        <w:trPr>
          <w:trHeight w:val="237"/>
        </w:trPr>
        <w:tc>
          <w:tcPr>
            <w:tcW w:w="514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r>
      <w:tr>
        <w:trPr>
          <w:trHeight w:val="25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(24 )</w:t>
            </w:r>
          </w:p>
        </w:tc>
        <w:tc>
          <w:tcPr>
            <w:tcW w:w="720" w:type="dxa"/>
            <w:vAlign w:val="bottom"/>
            <w:gridSpan w:val="2"/>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12</w:t>
            </w: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(22 )</w:t>
            </w:r>
          </w:p>
        </w:tc>
        <w:tc>
          <w:tcPr>
            <w:tcW w:w="70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(21 )</w:t>
            </w:r>
          </w:p>
        </w:tc>
      </w:tr>
      <w:tr>
        <w:trPr>
          <w:trHeight w:val="250"/>
        </w:trPr>
        <w:tc>
          <w:tcPr>
            <w:tcW w:w="51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Income tax rate adjustments:</w:t>
            </w:r>
          </w:p>
        </w:tc>
        <w:tc>
          <w:tcPr>
            <w:tcW w:w="2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r>
      <w:tr>
        <w:trPr>
          <w:trHeight w:val="263"/>
        </w:trPr>
        <w:tc>
          <w:tcPr>
            <w:tcW w:w="51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Tax effect of key items</w:t>
            </w:r>
          </w:p>
        </w:tc>
        <w:tc>
          <w:tcPr>
            <w:tcW w:w="280" w:type="dxa"/>
            <w:vAlign w:val="bottom"/>
            <w:shd w:val="clear" w:color="auto" w:fill="CFF0FC"/>
          </w:tcPr>
          <w:p>
            <w:pPr>
              <w:spacing w:after="0"/>
              <w:rPr>
                <w:sz w:val="22"/>
                <w:szCs w:val="22"/>
                <w:color w:val="auto"/>
              </w:rPr>
            </w:pPr>
          </w:p>
        </w:tc>
        <w:tc>
          <w:tcPr>
            <w:tcW w:w="9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6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6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20</w:t>
            </w:r>
          </w:p>
        </w:tc>
      </w:tr>
      <w:tr>
        <w:trPr>
          <w:trHeight w:val="250"/>
        </w:trPr>
        <w:tc>
          <w:tcPr>
            <w:tcW w:w="5140" w:type="dxa"/>
            <w:vAlign w:val="bottom"/>
          </w:tcPr>
          <w:p>
            <w:pPr>
              <w:ind w:left="120"/>
              <w:spacing w:after="0"/>
              <w:rPr>
                <w:sz w:val="20"/>
                <w:szCs w:val="20"/>
                <w:color w:val="auto"/>
              </w:rPr>
            </w:pPr>
            <w:r>
              <w:rPr>
                <w:rFonts w:ascii="Arial" w:cs="Arial" w:eastAsia="Arial" w:hAnsi="Arial"/>
                <w:sz w:val="18"/>
                <w:szCs w:val="18"/>
                <w:color w:val="auto"/>
              </w:rPr>
              <w:t xml:space="preserve">Tax specific key items: </w:t>
            </w:r>
            <w:r>
              <w:rPr>
                <w:rFonts w:ascii="Arial" w:cs="Arial" w:eastAsia="Arial" w:hAnsi="Arial"/>
                <w:sz w:val="14"/>
                <w:szCs w:val="14"/>
                <w:color w:val="auto"/>
              </w:rPr>
              <w:t>(b)</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63"/>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Uncertain tax positions</w:t>
            </w:r>
          </w:p>
        </w:tc>
        <w:tc>
          <w:tcPr>
            <w:tcW w:w="280" w:type="dxa"/>
            <w:vAlign w:val="bottom"/>
            <w:shd w:val="clear" w:color="auto" w:fill="CFF0FC"/>
          </w:tcPr>
          <w:p>
            <w:pPr>
              <w:spacing w:after="0"/>
              <w:rPr>
                <w:sz w:val="22"/>
                <w:szCs w:val="22"/>
                <w:color w:val="auto"/>
              </w:rPr>
            </w:pPr>
          </w:p>
        </w:tc>
        <w:tc>
          <w:tcPr>
            <w:tcW w:w="9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6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6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r>
      <w:tr>
        <w:trPr>
          <w:trHeight w:val="250"/>
        </w:trPr>
        <w:tc>
          <w:tcPr>
            <w:tcW w:w="5140" w:type="dxa"/>
            <w:vAlign w:val="bottom"/>
          </w:tcPr>
          <w:p>
            <w:pPr>
              <w:ind w:left="260"/>
              <w:spacing w:after="0"/>
              <w:rPr>
                <w:sz w:val="20"/>
                <w:szCs w:val="20"/>
                <w:color w:val="auto"/>
              </w:rPr>
            </w:pPr>
            <w:r>
              <w:rPr>
                <w:rFonts w:ascii="Arial" w:cs="Arial" w:eastAsia="Arial" w:hAnsi="Arial"/>
                <w:sz w:val="18"/>
                <w:szCs w:val="18"/>
                <w:color w:val="auto"/>
              </w:rPr>
              <w:t>Restructuring and separation activity</w:t>
            </w:r>
          </w:p>
        </w:tc>
        <w:tc>
          <w:tcPr>
            <w:tcW w:w="28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57"/>
        </w:trPr>
        <w:tc>
          <w:tcPr>
            <w:tcW w:w="51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Other tax reform</w:t>
            </w:r>
          </w:p>
        </w:tc>
        <w:tc>
          <w:tcPr>
            <w:tcW w:w="28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25</w:t>
            </w:r>
          </w:p>
        </w:tc>
      </w:tr>
      <w:tr>
        <w:trPr>
          <w:trHeight w:val="250"/>
        </w:trPr>
        <w:tc>
          <w:tcPr>
            <w:tcW w:w="5140" w:type="dxa"/>
            <w:vAlign w:val="bottom"/>
          </w:tcPr>
          <w:p>
            <w:pPr>
              <w:spacing w:after="0"/>
              <w:rPr>
                <w:sz w:val="20"/>
                <w:szCs w:val="20"/>
                <w:color w:val="auto"/>
              </w:rPr>
            </w:pPr>
            <w:r>
              <w:rPr>
                <w:rFonts w:ascii="Arial" w:cs="Arial" w:eastAsia="Arial" w:hAnsi="Arial"/>
                <w:sz w:val="18"/>
                <w:szCs w:val="18"/>
                <w:color w:val="auto"/>
              </w:rPr>
              <w:t>Total income tax rate adjustments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45</w:t>
            </w:r>
          </w:p>
        </w:tc>
      </w:tr>
      <w:tr>
        <w:trPr>
          <w:trHeight w:val="297"/>
        </w:trPr>
        <w:tc>
          <w:tcPr>
            <w:tcW w:w="5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Adjusted income tax expense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10</w:t>
            </w:r>
          </w:p>
        </w:tc>
        <w:tc>
          <w:tcPr>
            <w:tcW w:w="720" w:type="dxa"/>
            <w:vAlign w:val="bottom"/>
            <w:gridSpan w:val="2"/>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13</w:t>
            </w: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29</w:t>
            </w:r>
          </w:p>
        </w:tc>
        <w:tc>
          <w:tcPr>
            <w:tcW w:w="70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24</w:t>
            </w:r>
          </w:p>
        </w:tc>
      </w:tr>
      <w:tr>
        <w:trPr>
          <w:trHeight w:val="237"/>
        </w:trPr>
        <w:tc>
          <w:tcPr>
            <w:tcW w:w="514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r>
      <w:tr>
        <w:trPr>
          <w:trHeight w:val="256"/>
        </w:trPr>
        <w:tc>
          <w:tcPr>
            <w:tcW w:w="5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 xml:space="preserve">Effective tax rate, excluding key items (Non-GAAP) </w:t>
            </w:r>
            <w:r>
              <w:rPr>
                <w:rFonts w:ascii="Arial" w:cs="Arial" w:eastAsia="Arial" w:hAnsi="Arial"/>
                <w:sz w:val="16"/>
                <w:szCs w:val="16"/>
                <w:b w:val="1"/>
                <w:bCs w:val="1"/>
                <w:color w:val="auto"/>
              </w:rPr>
              <w:t>(c)</w:t>
            </w:r>
          </w:p>
        </w:tc>
        <w:tc>
          <w:tcPr>
            <w:tcW w:w="28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15 %</w:t>
            </w:r>
          </w:p>
        </w:tc>
        <w:tc>
          <w:tcPr>
            <w:tcW w:w="14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20 %</w:t>
            </w: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17 %</w:t>
            </w:r>
          </w:p>
        </w:tc>
        <w:tc>
          <w:tcPr>
            <w:tcW w:w="12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18 %</w:t>
            </w:r>
          </w:p>
        </w:tc>
      </w:tr>
      <w:tr>
        <w:trPr>
          <w:trHeight w:val="162"/>
        </w:trPr>
        <w:tc>
          <w:tcPr>
            <w:tcW w:w="5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4084320</wp:posOffset>
            </wp:positionH>
            <wp:positionV relativeFrom="paragraph">
              <wp:posOffset>-2473960</wp:posOffset>
            </wp:positionV>
            <wp:extent cx="94615" cy="571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4949825</wp:posOffset>
            </wp:positionH>
            <wp:positionV relativeFrom="paragraph">
              <wp:posOffset>-2473960</wp:posOffset>
            </wp:positionV>
            <wp:extent cx="85725" cy="571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5798820</wp:posOffset>
            </wp:positionH>
            <wp:positionV relativeFrom="paragraph">
              <wp:posOffset>-2473960</wp:posOffset>
            </wp:positionV>
            <wp:extent cx="85725" cy="571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4084320</wp:posOffset>
            </wp:positionH>
            <wp:positionV relativeFrom="paragraph">
              <wp:posOffset>-2142490</wp:posOffset>
            </wp:positionV>
            <wp:extent cx="9461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4084320</wp:posOffset>
            </wp:positionH>
            <wp:positionV relativeFrom="paragraph">
              <wp:posOffset>-2125345</wp:posOffset>
            </wp:positionV>
            <wp:extent cx="9461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4949825</wp:posOffset>
            </wp:positionH>
            <wp:positionV relativeFrom="paragraph">
              <wp:posOffset>-2142490</wp:posOffset>
            </wp:positionV>
            <wp:extent cx="8572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4949825</wp:posOffset>
            </wp:positionH>
            <wp:positionV relativeFrom="paragraph">
              <wp:posOffset>-2125345</wp:posOffset>
            </wp:positionV>
            <wp:extent cx="8572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5798820</wp:posOffset>
            </wp:positionH>
            <wp:positionV relativeFrom="paragraph">
              <wp:posOffset>-2142490</wp:posOffset>
            </wp:positionV>
            <wp:extent cx="8572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5798820</wp:posOffset>
            </wp:positionH>
            <wp:positionV relativeFrom="paragraph">
              <wp:posOffset>-2125345</wp:posOffset>
            </wp:positionV>
            <wp:extent cx="8572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4084320</wp:posOffset>
            </wp:positionH>
            <wp:positionV relativeFrom="paragraph">
              <wp:posOffset>-1788160</wp:posOffset>
            </wp:positionV>
            <wp:extent cx="94615" cy="57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4949825</wp:posOffset>
            </wp:positionH>
            <wp:positionV relativeFrom="paragraph">
              <wp:posOffset>-1788160</wp:posOffset>
            </wp:positionV>
            <wp:extent cx="85725" cy="57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5798820</wp:posOffset>
            </wp:positionH>
            <wp:positionV relativeFrom="paragraph">
              <wp:posOffset>-1788160</wp:posOffset>
            </wp:positionV>
            <wp:extent cx="85725" cy="571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4084320</wp:posOffset>
            </wp:positionH>
            <wp:positionV relativeFrom="paragraph">
              <wp:posOffset>-802005</wp:posOffset>
            </wp:positionV>
            <wp:extent cx="94615" cy="571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4949825</wp:posOffset>
            </wp:positionH>
            <wp:positionV relativeFrom="paragraph">
              <wp:posOffset>-802005</wp:posOffset>
            </wp:positionV>
            <wp:extent cx="85725" cy="571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5798820</wp:posOffset>
            </wp:positionH>
            <wp:positionV relativeFrom="paragraph">
              <wp:posOffset>-802005</wp:posOffset>
            </wp:positionV>
            <wp:extent cx="85725" cy="571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4084320</wp:posOffset>
            </wp:positionH>
            <wp:positionV relativeFrom="paragraph">
              <wp:posOffset>-462280</wp:posOffset>
            </wp:positionV>
            <wp:extent cx="9461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4084320</wp:posOffset>
            </wp:positionH>
            <wp:positionV relativeFrom="paragraph">
              <wp:posOffset>-445135</wp:posOffset>
            </wp:positionV>
            <wp:extent cx="9461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4949825</wp:posOffset>
            </wp:positionH>
            <wp:positionV relativeFrom="paragraph">
              <wp:posOffset>-462280</wp:posOffset>
            </wp:positionV>
            <wp:extent cx="8572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4949825</wp:posOffset>
            </wp:positionH>
            <wp:positionV relativeFrom="paragraph">
              <wp:posOffset>-445135</wp:posOffset>
            </wp:positionV>
            <wp:extent cx="8572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5798820</wp:posOffset>
            </wp:positionH>
            <wp:positionV relativeFrom="paragraph">
              <wp:posOffset>-462280</wp:posOffset>
            </wp:positionV>
            <wp:extent cx="8572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5798820</wp:posOffset>
            </wp:positionH>
            <wp:positionV relativeFrom="paragraph">
              <wp:posOffset>-445135</wp:posOffset>
            </wp:positionV>
            <wp:extent cx="8572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83" w:lineRule="exact"/>
        <w:rPr>
          <w:sz w:val="20"/>
          <w:szCs w:val="20"/>
          <w:color w:val="auto"/>
        </w:rPr>
      </w:pPr>
    </w:p>
    <w:p>
      <w:pPr>
        <w:ind w:left="320" w:hanging="318"/>
        <w:spacing w:after="0"/>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See Adjusted EBITDA reconciliation table disclosed in this MD&amp;A for a summary of the key items, before tax.</w:t>
      </w:r>
    </w:p>
    <w:p>
      <w:pPr>
        <w:spacing w:after="0" w:line="21" w:lineRule="exact"/>
        <w:rPr>
          <w:rFonts w:ascii="Arial" w:cs="Arial" w:eastAsia="Arial" w:hAnsi="Arial"/>
          <w:sz w:val="14"/>
          <w:szCs w:val="14"/>
          <w:color w:val="auto"/>
        </w:rPr>
      </w:pPr>
    </w:p>
    <w:p>
      <w:pPr>
        <w:ind w:left="320" w:hanging="318"/>
        <w:spacing w:after="0"/>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For additional information on the effect that these tax specific key items had on EPS, see the Adjusted Diluted EPS table disclosed in this MD&amp;A.</w:t>
      </w:r>
    </w:p>
    <w:p>
      <w:pPr>
        <w:spacing w:after="0" w:line="14" w:lineRule="exact"/>
        <w:rPr>
          <w:rFonts w:ascii="Arial" w:cs="Arial" w:eastAsia="Arial" w:hAnsi="Arial"/>
          <w:sz w:val="14"/>
          <w:szCs w:val="14"/>
          <w:color w:val="auto"/>
        </w:rPr>
      </w:pPr>
    </w:p>
    <w:p>
      <w:pPr>
        <w:ind w:left="320" w:hanging="318"/>
        <w:spacing w:after="0"/>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Due to rounding conventions, the effective tax rate presented may not recalculate precisely based on the numbers disclosed within this table.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74" w:right="719" w:bottom="1440" w:gutter="0" w:footer="0" w:header="0"/>
        </w:sectPr>
      </w:pPr>
    </w:p>
    <w:bookmarkStart w:id="45" w:name="page46"/>
    <w:bookmarkEnd w:id="45"/>
    <w:tbl>
      <w:tblPr>
        <w:tblLayout w:type="fixed"/>
        <w:tblInd w:w="4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7"/>
          </w:tcPr>
          <w:p>
            <w:pPr>
              <w:jc w:val="right"/>
              <w:ind w:right="390"/>
              <w:spacing w:after="0"/>
              <w:rPr>
                <w:sz w:val="20"/>
                <w:szCs w:val="20"/>
                <w:color w:val="auto"/>
              </w:rPr>
            </w:pPr>
            <w:r>
              <w:rPr>
                <w:rFonts w:ascii="Arial" w:cs="Arial" w:eastAsia="Arial" w:hAnsi="Arial"/>
                <w:sz w:val="18"/>
                <w:szCs w:val="18"/>
                <w:color w:val="auto"/>
                <w:w w:val="90"/>
              </w:rPr>
              <w:t>Three months ended June 30</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7"/>
          </w:tcPr>
          <w:p>
            <w:pPr>
              <w:jc w:val="right"/>
              <w:ind w:right="350"/>
              <w:spacing w:after="0"/>
              <w:rPr>
                <w:sz w:val="20"/>
                <w:szCs w:val="20"/>
                <w:color w:val="auto"/>
              </w:rPr>
            </w:pPr>
            <w:r>
              <w:rPr>
                <w:rFonts w:ascii="Arial" w:cs="Arial" w:eastAsia="Arial" w:hAnsi="Arial"/>
                <w:sz w:val="18"/>
                <w:szCs w:val="18"/>
                <w:color w:val="auto"/>
                <w:w w:val="94"/>
              </w:rPr>
              <w:t>Nine months ended June 30</w:t>
            </w:r>
          </w:p>
        </w:tc>
      </w:tr>
      <w:tr>
        <w:trPr>
          <w:trHeight w:val="243"/>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Change</w:t>
            </w: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1"/>
              </w:rPr>
              <w:t>Change</w:t>
            </w:r>
          </w:p>
        </w:tc>
      </w:tr>
      <w:tr>
        <w:trPr>
          <w:trHeight w:val="257"/>
        </w:trPr>
        <w:tc>
          <w:tcPr>
            <w:tcW w:w="4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5"/>
              </w:rPr>
              <w:t>Income (loss) from discontinued operation (net of taxes)</w:t>
            </w:r>
          </w:p>
        </w:tc>
        <w:tc>
          <w:tcPr>
            <w:tcW w:w="28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6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6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r>
      <w:tr>
        <w:trPr>
          <w:trHeight w:val="250"/>
        </w:trPr>
        <w:tc>
          <w:tcPr>
            <w:tcW w:w="4620" w:type="dxa"/>
            <w:vAlign w:val="bottom"/>
          </w:tcPr>
          <w:p>
            <w:pPr>
              <w:ind w:left="380"/>
              <w:spacing w:after="0"/>
              <w:rPr>
                <w:sz w:val="20"/>
                <w:szCs w:val="20"/>
                <w:color w:val="auto"/>
              </w:rPr>
            </w:pPr>
            <w:r>
              <w:rPr>
                <w:rFonts w:ascii="Arial" w:cs="Arial" w:eastAsia="Arial" w:hAnsi="Arial"/>
                <w:sz w:val="18"/>
                <w:szCs w:val="18"/>
                <w:color w:val="auto"/>
              </w:rPr>
              <w:t>Composites/Marl facility</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63"/>
        </w:trPr>
        <w:tc>
          <w:tcPr>
            <w:tcW w:w="4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Valvoline</w:t>
            </w:r>
          </w:p>
        </w:tc>
        <w:tc>
          <w:tcPr>
            <w:tcW w:w="280" w:type="dxa"/>
            <w:vAlign w:val="bottom"/>
            <w:shd w:val="clear" w:color="auto" w:fill="CFF0FC"/>
          </w:tcPr>
          <w:p>
            <w:pPr>
              <w:spacing w:after="0"/>
              <w:rPr>
                <w:sz w:val="22"/>
                <w:szCs w:val="22"/>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r>
      <w:tr>
        <w:trPr>
          <w:trHeight w:val="250"/>
        </w:trPr>
        <w:tc>
          <w:tcPr>
            <w:tcW w:w="4620" w:type="dxa"/>
            <w:vAlign w:val="bottom"/>
          </w:tcPr>
          <w:p>
            <w:pPr>
              <w:ind w:left="380"/>
              <w:spacing w:after="0"/>
              <w:rPr>
                <w:sz w:val="20"/>
                <w:szCs w:val="20"/>
                <w:color w:val="auto"/>
              </w:rPr>
            </w:pPr>
            <w:r>
              <w:rPr>
                <w:rFonts w:ascii="Arial" w:cs="Arial" w:eastAsia="Arial" w:hAnsi="Arial"/>
                <w:sz w:val="18"/>
                <w:szCs w:val="18"/>
                <w:color w:val="auto"/>
              </w:rPr>
              <w:t>Water Technologies</w:t>
            </w: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4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Distribution</w:t>
            </w:r>
          </w:p>
        </w:tc>
        <w:tc>
          <w:tcPr>
            <w:tcW w:w="28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(5 )</w:t>
            </w: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(7 )</w:t>
            </w: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r>
      <w:tr>
        <w:trPr>
          <w:trHeight w:val="250"/>
        </w:trPr>
        <w:tc>
          <w:tcPr>
            <w:tcW w:w="4620" w:type="dxa"/>
            <w:vAlign w:val="bottom"/>
          </w:tcPr>
          <w:p>
            <w:pPr>
              <w:ind w:left="380"/>
              <w:spacing w:after="0"/>
              <w:rPr>
                <w:sz w:val="20"/>
                <w:szCs w:val="20"/>
                <w:color w:val="auto"/>
              </w:rPr>
            </w:pPr>
            <w:r>
              <w:rPr>
                <w:rFonts w:ascii="Arial" w:cs="Arial" w:eastAsia="Arial" w:hAnsi="Arial"/>
                <w:sz w:val="18"/>
                <w:szCs w:val="18"/>
                <w:color w:val="auto"/>
              </w:rPr>
              <w:t>Asbestos</w:t>
            </w: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63"/>
        </w:trPr>
        <w:tc>
          <w:tcPr>
            <w:tcW w:w="49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w w:val="88"/>
              </w:rPr>
              <w:t>Gain (loss) on disposal of discontinued operations (net of taxes)</w:t>
            </w:r>
          </w:p>
        </w:tc>
        <w:tc>
          <w:tcPr>
            <w:tcW w:w="6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6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6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r>
      <w:tr>
        <w:trPr>
          <w:trHeight w:val="250"/>
        </w:trPr>
        <w:tc>
          <w:tcPr>
            <w:tcW w:w="4620" w:type="dxa"/>
            <w:vAlign w:val="bottom"/>
          </w:tcPr>
          <w:p>
            <w:pPr>
              <w:ind w:left="380"/>
              <w:spacing w:after="0"/>
              <w:rPr>
                <w:sz w:val="20"/>
                <w:szCs w:val="20"/>
                <w:color w:val="auto"/>
              </w:rPr>
            </w:pPr>
            <w:r>
              <w:rPr>
                <w:rFonts w:ascii="Arial" w:cs="Arial" w:eastAsia="Arial" w:hAnsi="Arial"/>
                <w:sz w:val="18"/>
                <w:szCs w:val="18"/>
                <w:color w:val="auto"/>
              </w:rPr>
              <w:t>Composites/Marl facility</w:t>
            </w: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r>
      <w:tr>
        <w:trPr>
          <w:trHeight w:val="270"/>
        </w:trPr>
        <w:tc>
          <w:tcPr>
            <w:tcW w:w="4620" w:type="dxa"/>
            <w:vAlign w:val="bottom"/>
            <w:shd w:val="clear" w:color="auto" w:fill="CFF0FC"/>
          </w:tcPr>
          <w:p>
            <w:pPr>
              <w:spacing w:after="0"/>
              <w:rPr>
                <w:sz w:val="23"/>
                <w:szCs w:val="23"/>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(7 )</w:t>
            </w:r>
          </w:p>
        </w:tc>
        <w:tc>
          <w:tcPr>
            <w:tcW w:w="120" w:type="dxa"/>
            <w:vAlign w:val="bottom"/>
            <w:shd w:val="clear" w:color="auto" w:fill="CFF0FC"/>
          </w:tcPr>
          <w:p>
            <w:pPr>
              <w:spacing w:after="0"/>
              <w:rPr>
                <w:sz w:val="23"/>
                <w:szCs w:val="23"/>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FF0FC"/>
          </w:tcPr>
          <w:p>
            <w:pPr>
              <w:spacing w:after="0"/>
              <w:rPr>
                <w:sz w:val="23"/>
                <w:szCs w:val="2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23"/>
                <w:szCs w:val="23"/>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(14 )</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(22 )</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w:t>
            </w: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465455</wp:posOffset>
            </wp:positionH>
            <wp:positionV relativeFrom="page">
              <wp:posOffset>320675</wp:posOffset>
            </wp:positionV>
            <wp:extent cx="662622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3535680</wp:posOffset>
            </wp:positionH>
            <wp:positionV relativeFrom="paragraph">
              <wp:posOffset>-25400</wp:posOffset>
            </wp:positionV>
            <wp:extent cx="7747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3535680</wp:posOffset>
            </wp:positionH>
            <wp:positionV relativeFrom="paragraph">
              <wp:posOffset>-8255</wp:posOffset>
            </wp:positionV>
            <wp:extent cx="7747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4178300</wp:posOffset>
            </wp:positionH>
            <wp:positionV relativeFrom="paragraph">
              <wp:posOffset>-25400</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4178300</wp:posOffset>
            </wp:positionH>
            <wp:positionV relativeFrom="paragraph">
              <wp:posOffset>-8255</wp:posOffset>
            </wp:positionV>
            <wp:extent cx="6858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4795520</wp:posOffset>
            </wp:positionH>
            <wp:positionV relativeFrom="paragraph">
              <wp:posOffset>-25400</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4795520</wp:posOffset>
            </wp:positionH>
            <wp:positionV relativeFrom="paragraph">
              <wp:posOffset>-8255</wp:posOffset>
            </wp:positionV>
            <wp:extent cx="6858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5412740</wp:posOffset>
            </wp:positionH>
            <wp:positionV relativeFrom="paragraph">
              <wp:posOffset>-25400</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5412740</wp:posOffset>
            </wp:positionH>
            <wp:positionV relativeFrom="paragraph">
              <wp:posOffset>-8255</wp:posOffset>
            </wp:positionV>
            <wp:extent cx="6858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6029960</wp:posOffset>
            </wp:positionH>
            <wp:positionV relativeFrom="paragraph">
              <wp:posOffset>-25400</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6029960</wp:posOffset>
            </wp:positionH>
            <wp:positionV relativeFrom="paragraph">
              <wp:posOffset>-8255</wp:posOffset>
            </wp:positionV>
            <wp:extent cx="6858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5" w:lineRule="exact"/>
        <w:rPr>
          <w:sz w:val="20"/>
          <w:szCs w:val="20"/>
          <w:color w:val="auto"/>
        </w:rPr>
      </w:pPr>
    </w:p>
    <w:p>
      <w:pPr>
        <w:jc w:val="both"/>
        <w:spacing w:after="0" w:line="271" w:lineRule="auto"/>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The activity for Water Technologies, Distribution and Composites/Marl facility during the current and prior year quarters was related to post-closing adjustments. In the prior year quarter, as a result of the divestiture of the Composites segment and Marl facility, the related operating results were reflected as discontinued operations (net of tax) within the Statements of Consolidated Comprehensive Income (Loss). For the Maleic business component of the Composites business not sold to INEOS, the sales and pre-tax operating income included in discontinued operations were $10 million and $2 million, respectively, for the prior year quarter. Asbestos activity in the current and prior year quarter relates to Ashland's annual update associated with asbestos related litigation.</w:t>
      </w:r>
    </w:p>
    <w:p>
      <w:pPr>
        <w:spacing w:after="0" w:line="86" w:lineRule="exact"/>
        <w:rPr>
          <w:sz w:val="20"/>
          <w:szCs w:val="20"/>
          <w:color w:val="auto"/>
        </w:rPr>
      </w:pPr>
    </w:p>
    <w:p>
      <w:pPr>
        <w:jc w:val="both"/>
        <w:spacing w:after="0" w:line="271" w:lineRule="auto"/>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The activity for Valvoline, Water Technologies, Distribution and Composites/Marl facility during the current and prior year periods was related to post-closing adjustments. In the prior year period, as a result of the divestiture of the Composites segment and Marl facility, the related operating results were reflected as discontinued operations (net of tax) within the Statements of Consolidated Comprehensive Income (Loss). For the Maleic business component of the Composites business not sold to INEOS, the sales and pre-tax operating income included in discontinued operations were $38 million and $9 million, respectively, for the prior year period. Asbestos activity in the current and prior year period primarily relates to Ashland's annual update associated with asbestos related litigation.</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comprehensive income (loss)</w:t>
      </w:r>
    </w:p>
    <w:p>
      <w:pPr>
        <w:spacing w:after="0" w:line="135"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A comparative analysis of the components of other comprehensive income is provided below for the three and nine months ended June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62865</wp:posOffset>
            </wp:positionV>
            <wp:extent cx="662622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7"/>
          </w:tcPr>
          <w:p>
            <w:pPr>
              <w:jc w:val="right"/>
              <w:ind w:right="390"/>
              <w:spacing w:after="0"/>
              <w:rPr>
                <w:sz w:val="20"/>
                <w:szCs w:val="20"/>
                <w:color w:val="auto"/>
              </w:rPr>
            </w:pPr>
            <w:r>
              <w:rPr>
                <w:rFonts w:ascii="Arial" w:cs="Arial" w:eastAsia="Arial" w:hAnsi="Arial"/>
                <w:sz w:val="18"/>
                <w:szCs w:val="18"/>
                <w:color w:val="auto"/>
                <w:w w:val="93"/>
              </w:rPr>
              <w:t>Three months ended June 30</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7"/>
          </w:tcPr>
          <w:p>
            <w:pPr>
              <w:jc w:val="right"/>
              <w:ind w:right="410"/>
              <w:spacing w:after="0"/>
              <w:rPr>
                <w:sz w:val="20"/>
                <w:szCs w:val="20"/>
                <w:color w:val="auto"/>
              </w:rPr>
            </w:pPr>
            <w:r>
              <w:rPr>
                <w:rFonts w:ascii="Arial" w:cs="Arial" w:eastAsia="Arial" w:hAnsi="Arial"/>
                <w:sz w:val="18"/>
                <w:szCs w:val="18"/>
                <w:color w:val="auto"/>
                <w:w w:val="95"/>
              </w:rPr>
              <w:t>Nine months ended June 30</w:t>
            </w:r>
          </w:p>
        </w:tc>
      </w:tr>
      <w:tr>
        <w:trPr>
          <w:trHeight w:val="243"/>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1"/>
              </w:rPr>
              <w:t>Change</w:t>
            </w: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Change</w:t>
            </w:r>
          </w:p>
        </w:tc>
      </w:tr>
      <w:tr>
        <w:trPr>
          <w:trHeight w:val="257"/>
        </w:trPr>
        <w:tc>
          <w:tcPr>
            <w:tcW w:w="4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comprehensive income (loss) (net of taxes)</w:t>
            </w:r>
          </w:p>
        </w:tc>
        <w:tc>
          <w:tcPr>
            <w:tcW w:w="24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r>
      <w:tr>
        <w:trPr>
          <w:trHeight w:val="250"/>
        </w:trPr>
        <w:tc>
          <w:tcPr>
            <w:tcW w:w="4460" w:type="dxa"/>
            <w:vAlign w:val="bottom"/>
          </w:tcPr>
          <w:p>
            <w:pPr>
              <w:ind w:left="260"/>
              <w:spacing w:after="0"/>
              <w:rPr>
                <w:sz w:val="20"/>
                <w:szCs w:val="20"/>
                <w:color w:val="auto"/>
              </w:rPr>
            </w:pPr>
            <w:r>
              <w:rPr>
                <w:rFonts w:ascii="Arial" w:cs="Arial" w:eastAsia="Arial" w:hAnsi="Arial"/>
                <w:sz w:val="18"/>
                <w:szCs w:val="18"/>
                <w:color w:val="auto"/>
              </w:rPr>
              <w:t>Unrealized translation gain (loss)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2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w:t>
            </w:r>
          </w:p>
        </w:tc>
      </w:tr>
      <w:tr>
        <w:trPr>
          <w:trHeight w:val="290"/>
        </w:trPr>
        <w:tc>
          <w:tcPr>
            <w:tcW w:w="44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37</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(7 )</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3406775</wp:posOffset>
            </wp:positionH>
            <wp:positionV relativeFrom="paragraph">
              <wp:posOffset>-25400</wp:posOffset>
            </wp:positionV>
            <wp:extent cx="12001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3406775</wp:posOffset>
            </wp:positionH>
            <wp:positionV relativeFrom="paragraph">
              <wp:posOffset>-8255</wp:posOffset>
            </wp:positionV>
            <wp:extent cx="12001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4075430</wp:posOffset>
            </wp:positionH>
            <wp:positionV relativeFrom="paragraph">
              <wp:posOffset>-25400</wp:posOffset>
            </wp:positionV>
            <wp:extent cx="12001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4075430</wp:posOffset>
            </wp:positionH>
            <wp:positionV relativeFrom="paragraph">
              <wp:posOffset>-8255</wp:posOffset>
            </wp:positionV>
            <wp:extent cx="12001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4726940</wp:posOffset>
            </wp:positionH>
            <wp:positionV relativeFrom="paragraph">
              <wp:posOffset>-25400</wp:posOffset>
            </wp:positionV>
            <wp:extent cx="7747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4726940</wp:posOffset>
            </wp:positionH>
            <wp:positionV relativeFrom="paragraph">
              <wp:posOffset>-8255</wp:posOffset>
            </wp:positionV>
            <wp:extent cx="7747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5327015</wp:posOffset>
            </wp:positionH>
            <wp:positionV relativeFrom="paragraph">
              <wp:posOffset>-25400</wp:posOffset>
            </wp:positionV>
            <wp:extent cx="13716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5327015</wp:posOffset>
            </wp:positionH>
            <wp:positionV relativeFrom="paragraph">
              <wp:posOffset>-8255</wp:posOffset>
            </wp:positionV>
            <wp:extent cx="13716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5987415</wp:posOffset>
            </wp:positionH>
            <wp:positionV relativeFrom="paragraph">
              <wp:posOffset>-25400</wp:posOffset>
            </wp:positionV>
            <wp:extent cx="13716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5987415</wp:posOffset>
            </wp:positionH>
            <wp:positionV relativeFrom="paragraph">
              <wp:posOffset>-8255</wp:posOffset>
            </wp:positionV>
            <wp:extent cx="13716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7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Total other comprehensive income (loss), net of tax, for the current quarter increased $16 million compared to the prior year quarter primarily as a result of the following:</w:t>
      </w:r>
    </w:p>
    <w:p>
      <w:pPr>
        <w:spacing w:after="0" w:line="82" w:lineRule="exact"/>
        <w:rPr>
          <w:sz w:val="20"/>
          <w:szCs w:val="20"/>
          <w:color w:val="auto"/>
        </w:rPr>
      </w:pPr>
    </w:p>
    <w:p>
      <w:pPr>
        <w:ind w:left="700" w:right="220"/>
        <w:spacing w:after="0" w:line="260" w:lineRule="auto"/>
        <w:rPr>
          <w:sz w:val="20"/>
          <w:szCs w:val="20"/>
          <w:color w:val="auto"/>
        </w:rPr>
      </w:pPr>
      <w:r>
        <w:rPr>
          <w:rFonts w:ascii="Arial" w:cs="Arial" w:eastAsia="Arial" w:hAnsi="Arial"/>
          <w:sz w:val="20"/>
          <w:szCs w:val="20"/>
          <w:color w:val="auto"/>
        </w:rPr>
        <w:t>For the three months ended June 30, 2021, the change in unrealized gain (loss) from foreign currency translation adjustments resulted in a gain of $23 million compared to a gain of $7 million for the three months ended June 30, 2020. The fluctuations in unrealized translation gains and losses are primarily due to translating foreign subsidiary financial statements from local currencies to U.S. Dollars.</w:t>
      </w:r>
    </w:p>
    <w:p>
      <w:pPr>
        <w:spacing w:after="0" w:line="70" w:lineRule="exact"/>
        <w:rPr>
          <w:sz w:val="20"/>
          <w:szCs w:val="20"/>
          <w:color w:val="auto"/>
        </w:rPr>
      </w:pPr>
    </w:p>
    <w:p>
      <w:pPr>
        <w:spacing w:after="0" w:line="260" w:lineRule="auto"/>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Total other comprehensive income (loss), net of tax, for the current year increased $44 million compared to the prior year period primarily as a result of the following:</w:t>
      </w:r>
    </w:p>
    <w:p>
      <w:pPr>
        <w:spacing w:after="0" w:line="82" w:lineRule="exact"/>
        <w:rPr>
          <w:sz w:val="20"/>
          <w:szCs w:val="20"/>
          <w:color w:val="auto"/>
        </w:rPr>
      </w:pPr>
    </w:p>
    <w:p>
      <w:pPr>
        <w:ind w:left="700" w:right="320"/>
        <w:spacing w:after="0" w:line="260" w:lineRule="auto"/>
        <w:rPr>
          <w:sz w:val="20"/>
          <w:szCs w:val="20"/>
          <w:color w:val="auto"/>
        </w:rPr>
      </w:pPr>
      <w:r>
        <w:rPr>
          <w:rFonts w:ascii="Arial" w:cs="Arial" w:eastAsia="Arial" w:hAnsi="Arial"/>
          <w:sz w:val="20"/>
          <w:szCs w:val="20"/>
          <w:color w:val="auto"/>
        </w:rPr>
        <w:t>For the nine months ended June 30, 2021, the change in unrealized gain (loss) from foreign currency translation adjustments resulted in a gain of $37 million compared to a loss of $7 million for the nine months ended June 30, 2020. The fluctuations in unrealized translation gains and losses are primarily due to translating foreign subsidiary financial statements from local currencies to U.S. Dollars.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530" w:right="719" w:bottom="1440" w:gutter="0" w:footer="0" w:header="0"/>
        </w:sectPr>
      </w:pPr>
    </w:p>
    <w:bookmarkStart w:id="46" w:name="page47"/>
    <w:bookmarkEnd w:id="46"/>
    <w:p>
      <w:pPr>
        <w:spacing w:after="0"/>
        <w:rPr>
          <w:sz w:val="20"/>
          <w:szCs w:val="20"/>
          <w:color w:val="auto"/>
        </w:rPr>
      </w:pPr>
      <w:r>
        <w:rPr>
          <w:rFonts w:ascii="Arial" w:cs="Arial" w:eastAsia="Arial" w:hAnsi="Arial"/>
          <w:sz w:val="20"/>
          <w:szCs w:val="20"/>
          <w:b w:val="1"/>
          <w:bCs w:val="1"/>
          <w:i w:val="1"/>
          <w:iCs w:val="1"/>
          <w:color w:val="auto"/>
        </w:rPr>
        <w:t>Use of non-GAAP measures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Ashland has included within this document the following non-GAAP measures, on both a consolidated and reportable segment basis, which are not defined within U.S. GAAP and do not purport to be alternatives to net income or cash flows from operating activities as a measure of operating performance or cash flows:</w:t>
      </w:r>
    </w:p>
    <w:p>
      <w:pPr>
        <w:spacing w:after="0" w:line="78" w:lineRule="exact"/>
        <w:rPr>
          <w:sz w:val="20"/>
          <w:szCs w:val="20"/>
          <w:color w:val="auto"/>
        </w:rPr>
      </w:pPr>
    </w:p>
    <w:p>
      <w:pPr>
        <w:ind w:left="320" w:right="820"/>
        <w:spacing w:after="0" w:line="274" w:lineRule="auto"/>
        <w:rPr>
          <w:sz w:val="20"/>
          <w:szCs w:val="20"/>
          <w:color w:val="auto"/>
        </w:rPr>
      </w:pPr>
      <w:r>
        <w:rPr>
          <w:rFonts w:ascii="Arial" w:cs="Arial" w:eastAsia="Arial" w:hAnsi="Arial"/>
          <w:sz w:val="20"/>
          <w:szCs w:val="20"/>
          <w:color w:val="auto"/>
        </w:rPr>
        <w:t>EBITDA – net income (loss), plus income tax expense (benefit), net interest and other expenses, and depreciation and amortization.</w:t>
      </w:r>
    </w:p>
    <w:p>
      <w:pPr>
        <w:spacing w:after="0" w:line="69" w:lineRule="exact"/>
        <w:rPr>
          <w:sz w:val="20"/>
          <w:szCs w:val="20"/>
          <w:color w:val="auto"/>
        </w:rPr>
      </w:pPr>
    </w:p>
    <w:p>
      <w:pPr>
        <w:ind w:left="320" w:right="140"/>
        <w:spacing w:after="0" w:line="264" w:lineRule="auto"/>
        <w:rPr>
          <w:sz w:val="20"/>
          <w:szCs w:val="20"/>
          <w:color w:val="auto"/>
        </w:rPr>
      </w:pPr>
      <w:r>
        <w:rPr>
          <w:rFonts w:ascii="Arial" w:cs="Arial" w:eastAsia="Arial" w:hAnsi="Arial"/>
          <w:sz w:val="20"/>
          <w:szCs w:val="20"/>
          <w:color w:val="auto"/>
        </w:rPr>
        <w:t>Adjusted EBITDA – EBITDA adjusted for noncontrolling interests, discontinued operations, net income (loss) on acquisitions and divestitures, other income and (expense) and key items (including the remeasurement gains and losses related to pension and other postretirement plans).</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20"/>
          <w:szCs w:val="20"/>
          <w:color w:val="auto"/>
        </w:rPr>
        <w:t>Adjusted EBITDA margin – Adjusted EBITDA divided by sales.</w:t>
      </w:r>
    </w:p>
    <w:p>
      <w:pPr>
        <w:spacing w:after="0" w:line="121" w:lineRule="exact"/>
        <w:rPr>
          <w:sz w:val="20"/>
          <w:szCs w:val="20"/>
          <w:color w:val="auto"/>
        </w:rPr>
      </w:pPr>
    </w:p>
    <w:p>
      <w:pPr>
        <w:ind w:left="320" w:right="600"/>
        <w:spacing w:after="0" w:line="274" w:lineRule="auto"/>
        <w:rPr>
          <w:sz w:val="20"/>
          <w:szCs w:val="20"/>
          <w:color w:val="auto"/>
        </w:rPr>
      </w:pPr>
      <w:r>
        <w:rPr>
          <w:rFonts w:ascii="Arial" w:cs="Arial" w:eastAsia="Arial" w:hAnsi="Arial"/>
          <w:sz w:val="20"/>
          <w:szCs w:val="20"/>
          <w:color w:val="auto"/>
        </w:rPr>
        <w:t>Adjusted diluted earnings per share (EPS) – income (loss) from continuing operations, adjusted for key items, net of tax, divided by the average outstanding diluted shares for the applicable period.</w:t>
      </w:r>
    </w:p>
    <w:p>
      <w:pPr>
        <w:spacing w:after="0" w:line="69" w:lineRule="exact"/>
        <w:rPr>
          <w:sz w:val="20"/>
          <w:szCs w:val="20"/>
          <w:color w:val="auto"/>
        </w:rPr>
      </w:pPr>
    </w:p>
    <w:p>
      <w:pPr>
        <w:ind w:left="320" w:right="240"/>
        <w:spacing w:after="0" w:line="387" w:lineRule="auto"/>
        <w:rPr>
          <w:sz w:val="20"/>
          <w:szCs w:val="20"/>
          <w:color w:val="auto"/>
        </w:rPr>
      </w:pPr>
      <w:r>
        <w:rPr>
          <w:rFonts w:ascii="Arial" w:cs="Arial" w:eastAsia="Arial" w:hAnsi="Arial"/>
          <w:sz w:val="16"/>
          <w:szCs w:val="16"/>
          <w:color w:val="auto"/>
        </w:rPr>
        <w:t>Adjusted diluted earnings per share (EPS) excluding intangibles amortization expense – Adjusted earnings per share adjusted for intangibles amortization expense net of tax, divided by the average outstanding diluted shares for the applicable period.</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20"/>
          <w:szCs w:val="20"/>
          <w:color w:val="auto"/>
        </w:rPr>
        <w:t>Free cash flow – operating cash flows less capital expenditures and certain other adjustments as applicable.</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Management believes the use of EBITDA and Adjusted EBITDA measures on a consolidated and reportable segment basis assists investors in understanding the ongoing operating performance by presenting comparable financial results between periods. Ashland believes that by removing the impact of depreciation and amortization and excluding certain non-cash charges, amounts spent on interest and taxes and certain other charges that are highly variable from year to year, EBITDA and Adjusted EBITDA provide Ashland’s investors with performance measures that reflect the impact to operations from trends in changes in sales, margin and operating expenses, providing a perspective not immediately apparent from net income and operating income. The adjustments Ashland makes to derive the non-GAAP measures of EBITDA and Adjusted EBITDA exclude items which may cause short-term fluctuations in net income and operating income and which Ashland does not consider to be the fundamental attributes or primary drivers of its business. EBITDA and Adjusted EBITDA provide disclosure on the same basis as that used by Ashland’s management to evaluate financial performance on a consolidated and reportable segment basis and provide consistency in our financial reporting, facilitate internal and external comparisons of Ashland’s historical operating performance and its business units and provide continuity to investors for comparability purposes.</w:t>
      </w:r>
    </w:p>
    <w:p>
      <w:pPr>
        <w:spacing w:after="0" w:line="64"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The Adjusted diluted EPS metric enables Ashland to demonstrate what effect key items have on an earnings per diluted share basis by taking income (loss) from continuing operations, adjusted for key items after tax that have been identified in the Adjusted EBITDA table, and dividing by the average outstanding diluted shares for the applicable period. Ashland’s management believes this presentation is helpful to illustrate how the key items have impacted this metric during the applicable period.</w:t>
      </w:r>
    </w:p>
    <w:p>
      <w:pPr>
        <w:spacing w:after="0" w:line="52"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The Adjusted diluted EPS, excluding intangibles amortization expense metric enables Ashland to demonstrate the impact of non-cash intangibles amortization expense on EPS, in addition to the key items previously mentioned. Ashland’s management believes this presentation is helpful to illustrate how previous acquisitions impact applicable period results.</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free cash flow metric enables Ashland to provide a better indication of the ongoing cash being generated that is ultimately available for both debt and equity holders as well as other investment opportunities. Unlike cash flow provided by operating activities, free cash flow includes the impact of capital expenditures from continuing operations, providing a more complete picture of cash generation. Free cash flow has certain limitations, including that it does not reflect adjustment for certain non-discretionary cash flows such as mandatory debt repayments. The amount of mandatory versus discretionary expenditures can vary significantly between periods.</w:t>
      </w:r>
    </w:p>
    <w:p>
      <w:pPr>
        <w:spacing w:after="0" w:line="88"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Although Ashland may provide forward-looking guidance for Adjusted EBITDA, Adjusted diluted EPS and free cash flow, Ashland is not reaffirming or providing forward-looking guidance for U.S. GAAP-reported financial measures or a reconciliation of forward-looking non-GAAP financial measures to the most directly comparable U.S. GAAP measure because it is unable to predict with reasonable certainty the ultimate outcome of certain significant items that affect these metrics such as domestic and international economic, political, legislative, regulatory and legal actions. In addition, certain economic conditions, such as recessionary trends, inflation, interest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74" w:right="719" w:bottom="1440" w:gutter="0" w:footer="0" w:header="0"/>
        </w:sectPr>
      </w:pPr>
    </w:p>
    <w:bookmarkStart w:id="47" w:name="page48"/>
    <w:bookmarkEnd w:id="47"/>
    <w:p>
      <w:pPr>
        <w:jc w:val="both"/>
        <w:ind w:left="380" w:right="380"/>
        <w:spacing w:after="0" w:line="274" w:lineRule="auto"/>
        <w:rPr>
          <w:sz w:val="20"/>
          <w:szCs w:val="20"/>
          <w:color w:val="auto"/>
        </w:rPr>
      </w:pPr>
      <w:r>
        <w:rPr>
          <w:rFonts w:ascii="Arial" w:cs="Arial" w:eastAsia="Arial" w:hAnsi="Arial"/>
          <w:sz w:val="20"/>
          <w:szCs w:val="20"/>
          <w:color w:val="auto"/>
        </w:rPr>
        <w:t>and monetary exchange rates, government fiscal policies and changes in the prices of certain key raw materials, can have a significant effect on operations and are difficult to predict with certainty.</w:t>
      </w:r>
    </w:p>
    <w:p>
      <w:pPr>
        <w:spacing w:after="0" w:line="69" w:lineRule="exact"/>
        <w:rPr>
          <w:sz w:val="20"/>
          <w:szCs w:val="20"/>
          <w:color w:val="auto"/>
        </w:rPr>
      </w:pPr>
    </w:p>
    <w:p>
      <w:pPr>
        <w:jc w:val="both"/>
        <w:ind w:left="380" w:right="380"/>
        <w:spacing w:after="0" w:line="304" w:lineRule="auto"/>
        <w:rPr>
          <w:sz w:val="20"/>
          <w:szCs w:val="20"/>
          <w:color w:val="auto"/>
        </w:rPr>
      </w:pPr>
      <w:r>
        <w:rPr>
          <w:rFonts w:ascii="Arial" w:cs="Arial" w:eastAsia="Arial" w:hAnsi="Arial"/>
          <w:sz w:val="18"/>
          <w:szCs w:val="18"/>
          <w:color w:val="auto"/>
        </w:rPr>
        <w:t>These non-GAAP measures should be considered supplemental in nature and should not be construed as more significant than comparable measures defined by U.S. GAAP. Limitations associated with the use of these non-GAAP measures include that these measures do not present all of the amounts associated with our results as determined in accordance with U.S. GAAP. The non-GAAP measures provided are used by Ashland management and may not be determined in a manner consistent with the methodologies used by other companies. EBITDA and Adjusted EBITDA provide a supplemental presentation of Ashland’s operating performance on a consolidated and reportable segment basis. Adjusted EBITDA generally includes adjustments for items that impact comparability between periods. In addition, certain financial covenants related to Ashland’s 2020 Credit Agreement are based on similar non-GAAP measures and are defined further in the sections that refer to this metric.</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EBITDA and Adjusted EBITDA</w:t>
      </w:r>
    </w:p>
    <w:p>
      <w:pPr>
        <w:spacing w:after="0" w:line="135" w:lineRule="exact"/>
        <w:rPr>
          <w:sz w:val="20"/>
          <w:szCs w:val="20"/>
          <w:color w:val="auto"/>
        </w:rPr>
      </w:pPr>
    </w:p>
    <w:p>
      <w:pPr>
        <w:jc w:val="both"/>
        <w:ind w:left="380" w:right="380"/>
        <w:spacing w:after="0" w:line="288" w:lineRule="auto"/>
        <w:rPr>
          <w:sz w:val="20"/>
          <w:szCs w:val="20"/>
          <w:color w:val="auto"/>
        </w:rPr>
      </w:pPr>
      <w:r>
        <w:rPr>
          <w:rFonts w:ascii="Arial" w:cs="Arial" w:eastAsia="Arial" w:hAnsi="Arial"/>
          <w:sz w:val="19"/>
          <w:szCs w:val="19"/>
          <w:color w:val="auto"/>
        </w:rPr>
        <w:t>EBITDA totaled income of $122 million and $97 million for the three months ended June 30, 2021 and 2020, respectively, and income of $361 million and a loss of $238 million for the nine months ended June 30, 2021 and 2020, respectively. EBITDA and Adjusted EBITDA results in the table below have been prepared to illustrate the ongoing effects of Ashland’s operations, which exclude certain key items previously described. Management believes the use of such non-GAAP measures on a consolidated and reportable segment basis assists investors in understanding the ongoing operating performance by presenting the financial results between periods on a more comparable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48895</wp:posOffset>
            </wp:positionV>
            <wp:extent cx="662622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4"/>
          </w:tcPr>
          <w:p>
            <w:pPr>
              <w:jc w:val="right"/>
              <w:ind w:right="210"/>
              <w:spacing w:after="0"/>
              <w:rPr>
                <w:sz w:val="20"/>
                <w:szCs w:val="20"/>
                <w:color w:val="auto"/>
              </w:rPr>
            </w:pPr>
            <w:r>
              <w:rPr>
                <w:rFonts w:ascii="Arial" w:cs="Arial" w:eastAsia="Arial" w:hAnsi="Arial"/>
                <w:sz w:val="18"/>
                <w:szCs w:val="18"/>
                <w:color w:val="auto"/>
                <w:w w:val="90"/>
              </w:rPr>
              <w:t>Three months ended</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4"/>
          </w:tcPr>
          <w:p>
            <w:pPr>
              <w:jc w:val="right"/>
              <w:ind w:right="210"/>
              <w:spacing w:after="0"/>
              <w:rPr>
                <w:sz w:val="20"/>
                <w:szCs w:val="20"/>
                <w:color w:val="auto"/>
              </w:rPr>
            </w:pPr>
            <w:r>
              <w:rPr>
                <w:rFonts w:ascii="Arial" w:cs="Arial" w:eastAsia="Arial" w:hAnsi="Arial"/>
                <w:sz w:val="18"/>
                <w:szCs w:val="18"/>
                <w:color w:val="auto"/>
                <w:w w:val="90"/>
              </w:rPr>
              <w:t>Nine months ended</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44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June 30</w:t>
            </w:r>
          </w:p>
        </w:tc>
        <w:tc>
          <w:tcPr>
            <w:tcW w:w="62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June 30</w:t>
            </w:r>
          </w:p>
        </w:tc>
        <w:tc>
          <w:tcPr>
            <w:tcW w:w="580" w:type="dxa"/>
            <w:vAlign w:val="bottom"/>
            <w:tcBorders>
              <w:bottom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0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Net income (loss)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176</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(513 )</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 (benefit)</w:t>
            </w:r>
          </w:p>
        </w:tc>
        <w:tc>
          <w:tcPr>
            <w:tcW w:w="20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(24 )</w:t>
            </w: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(22 )</w:t>
            </w:r>
          </w:p>
        </w:tc>
        <w:tc>
          <w:tcPr>
            <w:tcW w:w="1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(21 )</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4420" w:type="dxa"/>
            <w:vAlign w:val="bottom"/>
          </w:tcPr>
          <w:p>
            <w:pPr>
              <w:ind w:left="260"/>
              <w:spacing w:after="0"/>
              <w:rPr>
                <w:sz w:val="20"/>
                <w:szCs w:val="20"/>
                <w:color w:val="auto"/>
              </w:rPr>
            </w:pPr>
            <w:r>
              <w:rPr>
                <w:rFonts w:ascii="Arial" w:cs="Arial" w:eastAsia="Arial" w:hAnsi="Arial"/>
                <w:sz w:val="18"/>
                <w:szCs w:val="18"/>
                <w:color w:val="auto"/>
              </w:rPr>
              <w:t>Net interest and other expense</w:t>
            </w:r>
          </w:p>
        </w:tc>
        <w:tc>
          <w:tcPr>
            <w:tcW w:w="2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(14 )</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44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0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65</w:t>
            </w:r>
          </w:p>
        </w:tc>
        <w:tc>
          <w:tcPr>
            <w:tcW w:w="1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w:t>
            </w:r>
          </w:p>
        </w:tc>
        <w:tc>
          <w:tcPr>
            <w:tcW w:w="1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189</w:t>
            </w:r>
          </w:p>
        </w:tc>
        <w:tc>
          <w:tcPr>
            <w:tcW w:w="1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183</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EBITDA</w:t>
            </w:r>
          </w:p>
        </w:tc>
        <w:tc>
          <w:tcPr>
            <w:tcW w:w="2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361</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(238 )</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from discontinued operations (net of tax)</w:t>
            </w:r>
          </w:p>
        </w:tc>
        <w:tc>
          <w:tcPr>
            <w:tcW w:w="20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5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4420" w:type="dxa"/>
            <w:vAlign w:val="bottom"/>
          </w:tcPr>
          <w:p>
            <w:pPr>
              <w:ind w:left="260"/>
              <w:spacing w:after="0"/>
              <w:rPr>
                <w:sz w:val="20"/>
                <w:szCs w:val="20"/>
                <w:color w:val="auto"/>
              </w:rPr>
            </w:pPr>
            <w:r>
              <w:rPr>
                <w:rFonts w:ascii="Arial" w:cs="Arial" w:eastAsia="Arial" w:hAnsi="Arial"/>
                <w:sz w:val="18"/>
                <w:szCs w:val="18"/>
                <w:color w:val="auto"/>
              </w:rPr>
              <w:t>Key items included in EBITDA:</w:t>
            </w:r>
          </w:p>
        </w:tc>
        <w:tc>
          <w:tcPr>
            <w:tcW w:w="2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4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Restructuring, separation and other costs</w:t>
            </w:r>
          </w:p>
        </w:tc>
        <w:tc>
          <w:tcPr>
            <w:tcW w:w="20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5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36</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4420" w:type="dxa"/>
            <w:vAlign w:val="bottom"/>
          </w:tcPr>
          <w:p>
            <w:pPr>
              <w:ind w:left="380"/>
              <w:spacing w:after="0"/>
              <w:rPr>
                <w:sz w:val="20"/>
                <w:szCs w:val="20"/>
                <w:color w:val="auto"/>
              </w:rPr>
            </w:pPr>
            <w:r>
              <w:rPr>
                <w:rFonts w:ascii="Arial" w:cs="Arial" w:eastAsia="Arial" w:hAnsi="Arial"/>
                <w:sz w:val="18"/>
                <w:szCs w:val="18"/>
                <w:color w:val="auto"/>
              </w:rPr>
              <w:t>Goodwill impairment</w:t>
            </w:r>
          </w:p>
        </w:tc>
        <w:tc>
          <w:tcPr>
            <w:tcW w:w="2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530</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4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Inventory adjustment</w:t>
            </w:r>
          </w:p>
        </w:tc>
        <w:tc>
          <w:tcPr>
            <w:tcW w:w="20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5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4420" w:type="dxa"/>
            <w:vAlign w:val="bottom"/>
          </w:tcPr>
          <w:p>
            <w:pPr>
              <w:ind w:left="380"/>
              <w:spacing w:after="0"/>
              <w:rPr>
                <w:sz w:val="20"/>
                <w:szCs w:val="20"/>
                <w:color w:val="auto"/>
              </w:rPr>
            </w:pPr>
            <w:r>
              <w:rPr>
                <w:rFonts w:ascii="Arial" w:cs="Arial" w:eastAsia="Arial" w:hAnsi="Arial"/>
                <w:sz w:val="18"/>
                <w:szCs w:val="18"/>
                <w:color w:val="auto"/>
              </w:rPr>
              <w:t>Capital project impairment</w:t>
            </w:r>
          </w:p>
        </w:tc>
        <w:tc>
          <w:tcPr>
            <w:tcW w:w="2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4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Environmental reserve adjustments</w:t>
            </w:r>
          </w:p>
        </w:tc>
        <w:tc>
          <w:tcPr>
            <w:tcW w:w="20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5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0" w:type="dxa"/>
            <w:vAlign w:val="bottom"/>
          </w:tcPr>
          <w:p>
            <w:pPr>
              <w:spacing w:after="0"/>
              <w:rPr>
                <w:sz w:val="22"/>
                <w:szCs w:val="22"/>
                <w:color w:val="auto"/>
              </w:rPr>
            </w:pPr>
          </w:p>
        </w:tc>
        <w:tc>
          <w:tcPr>
            <w:tcW w:w="4420" w:type="dxa"/>
            <w:vAlign w:val="bottom"/>
          </w:tcPr>
          <w:p>
            <w:pPr>
              <w:ind w:left="380"/>
              <w:spacing w:after="0"/>
              <w:rPr>
                <w:sz w:val="20"/>
                <w:szCs w:val="20"/>
                <w:color w:val="auto"/>
              </w:rPr>
            </w:pPr>
            <w:r>
              <w:rPr>
                <w:rFonts w:ascii="Arial" w:cs="Arial" w:eastAsia="Arial" w:hAnsi="Arial"/>
                <w:sz w:val="18"/>
                <w:szCs w:val="18"/>
                <w:color w:val="auto"/>
              </w:rPr>
              <w:t>Net gain (loss) on acquisitions and divestitures</w:t>
            </w:r>
          </w:p>
        </w:tc>
        <w:tc>
          <w:tcPr>
            <w:tcW w:w="20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1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1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44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key items included in EBITDA</w:t>
            </w:r>
          </w:p>
        </w:tc>
        <w:tc>
          <w:tcPr>
            <w:tcW w:w="20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w:t>
            </w:r>
          </w:p>
        </w:tc>
        <w:tc>
          <w:tcPr>
            <w:tcW w:w="1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589</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Adjusted EBITDA</w:t>
            </w:r>
          </w:p>
        </w:tc>
        <w:tc>
          <w:tcPr>
            <w:tcW w:w="20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148</w:t>
            </w:r>
          </w:p>
        </w:tc>
        <w:tc>
          <w:tcPr>
            <w:tcW w:w="18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406</w:t>
            </w:r>
          </w:p>
        </w:tc>
        <w:tc>
          <w:tcPr>
            <w:tcW w:w="16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373</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4420" w:type="dxa"/>
            <w:vAlign w:val="bottom"/>
            <w:shd w:val="clear" w:color="auto" w:fill="CFF0FC"/>
          </w:tcPr>
          <w:p>
            <w:pPr>
              <w:spacing w:after="0"/>
              <w:rPr>
                <w:sz w:val="20"/>
                <w:szCs w:val="20"/>
                <w:color w:val="auto"/>
              </w:rPr>
            </w:pPr>
          </w:p>
        </w:tc>
        <w:tc>
          <w:tcPr>
            <w:tcW w:w="2140" w:type="dxa"/>
            <w:vAlign w:val="bottom"/>
            <w:gridSpan w:val="2"/>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440" w:type="dxa"/>
            <w:vAlign w:val="bottom"/>
            <w:gridSpan w:val="2"/>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00" w:type="dxa"/>
            <w:vAlign w:val="bottom"/>
            <w:gridSpan w:val="2"/>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440" w:type="dxa"/>
            <w:vAlign w:val="bottom"/>
            <w:gridSpan w:val="2"/>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Total key items included in EBITDA</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589</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Accelerated amortization of debt issuance costs</w:t>
            </w:r>
          </w:p>
        </w:tc>
        <w:tc>
          <w:tcPr>
            <w:tcW w:w="20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5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Debt refinancing costs</w:t>
            </w:r>
          </w:p>
        </w:tc>
        <w:tc>
          <w:tcPr>
            <w:tcW w:w="2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4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Unrealized (gain) loss on securities</w:t>
            </w:r>
          </w:p>
        </w:tc>
        <w:tc>
          <w:tcPr>
            <w:tcW w:w="20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(15 )</w:t>
            </w:r>
          </w:p>
        </w:tc>
        <w:tc>
          <w:tcPr>
            <w:tcW w:w="1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(31 )</w:t>
            </w:r>
          </w:p>
        </w:tc>
        <w:tc>
          <w:tcPr>
            <w:tcW w:w="1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(26 )</w:t>
            </w:r>
          </w:p>
        </w:tc>
        <w:tc>
          <w:tcPr>
            <w:tcW w:w="1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(9 )</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Total key items, before tax</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647</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000" w:type="dxa"/>
            <w:vAlign w:val="bottom"/>
            <w:vMerge w:val="restart"/>
          </w:tcPr>
          <w:p>
            <w:pPr>
              <w:jc w:val="right"/>
              <w:ind w:right="1030"/>
              <w:spacing w:after="0"/>
              <w:rPr>
                <w:sz w:val="20"/>
                <w:szCs w:val="20"/>
                <w:color w:val="auto"/>
              </w:rPr>
            </w:pPr>
            <w:r>
              <w:rPr>
                <w:rFonts w:ascii="Arial" w:cs="Arial" w:eastAsia="Arial" w:hAnsi="Arial"/>
                <w:sz w:val="18"/>
                <w:szCs w:val="18"/>
                <w:color w:val="auto"/>
              </w:rPr>
              <w:t>48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4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442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-3296920</wp:posOffset>
            </wp:positionV>
            <wp:extent cx="111125" cy="571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-3296920</wp:posOffset>
            </wp:positionV>
            <wp:extent cx="102870" cy="571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-3296920</wp:posOffset>
            </wp:positionV>
            <wp:extent cx="102870" cy="571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-1651000</wp:posOffset>
            </wp:positionV>
            <wp:extent cx="111125" cy="571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-1651000</wp:posOffset>
            </wp:positionV>
            <wp:extent cx="102870" cy="571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-1651000</wp:posOffset>
            </wp:positionV>
            <wp:extent cx="102870" cy="571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-639445</wp:posOffset>
            </wp:positionV>
            <wp:extent cx="111125" cy="571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-639445</wp:posOffset>
            </wp:positionV>
            <wp:extent cx="102870" cy="571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-639445</wp:posOffset>
            </wp:positionV>
            <wp:extent cx="102870" cy="571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48" w:name="page49"/>
    <w:bookmarkEnd w:id="48"/>
    <w:p>
      <w:pPr>
        <w:spacing w:after="0"/>
        <w:rPr>
          <w:sz w:val="20"/>
          <w:szCs w:val="20"/>
          <w:color w:val="auto"/>
        </w:rPr>
      </w:pPr>
      <w:r>
        <w:rPr>
          <w:rFonts w:ascii="Arial" w:cs="Arial" w:eastAsia="Arial" w:hAnsi="Arial"/>
          <w:sz w:val="20"/>
          <w:szCs w:val="20"/>
          <w:i w:val="1"/>
          <w:iCs w:val="1"/>
          <w:color w:val="auto"/>
        </w:rPr>
        <w:t>Diluted EPS and Adjusted Diluted EPS</w:t>
      </w:r>
    </w:p>
    <w:p>
      <w:pPr>
        <w:spacing w:after="0" w:line="135"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The following table reflects the U.S. GAAP calculation for the income (loss) from continuing operations adjusted for the cumulative diluted EPS effect for key items after tax that have been identified in the Adjusted EBITDA table in the previous section. Key items are defined as the financial effects from significant transactions that may have caused short-term fluctuations in net income and/or operating income which Ashland believes do not accurately reflect Ashland’s underlying business performance and trends. The Adjusted diluted EPS for the income (loss) from continuing operations in the following table has been prepared to illustrate the ongoing effects of Ashland’s operations. Management believes investors and analysts use this financial measure in assessing Ashland's business performance and that presenting this non-GAAP measure on a consolidated basis assists investors in better understanding Ashland’s ongoing business performance and enhances their ability to compare period-to-period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74930</wp:posOffset>
            </wp:positionV>
            <wp:extent cx="662622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4"/>
          </w:tcPr>
          <w:p>
            <w:pPr>
              <w:jc w:val="right"/>
              <w:ind w:right="210"/>
              <w:spacing w:after="0"/>
              <w:rPr>
                <w:sz w:val="20"/>
                <w:szCs w:val="20"/>
                <w:color w:val="auto"/>
              </w:rPr>
            </w:pPr>
            <w:r>
              <w:rPr>
                <w:rFonts w:ascii="Arial" w:cs="Arial" w:eastAsia="Arial" w:hAnsi="Arial"/>
                <w:sz w:val="18"/>
                <w:szCs w:val="18"/>
                <w:color w:val="auto"/>
                <w:w w:val="90"/>
              </w:rPr>
              <w:t>Three months ended</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4"/>
          </w:tcPr>
          <w:p>
            <w:pPr>
              <w:jc w:val="right"/>
              <w:ind w:right="210"/>
              <w:spacing w:after="0"/>
              <w:rPr>
                <w:sz w:val="20"/>
                <w:szCs w:val="20"/>
                <w:color w:val="auto"/>
              </w:rPr>
            </w:pPr>
            <w:r>
              <w:rPr>
                <w:rFonts w:ascii="Arial" w:cs="Arial" w:eastAsia="Arial" w:hAnsi="Arial"/>
                <w:sz w:val="18"/>
                <w:szCs w:val="18"/>
                <w:color w:val="auto"/>
                <w:w w:val="90"/>
              </w:rPr>
              <w:t>Nine months ended</w:t>
            </w:r>
          </w:p>
        </w:tc>
        <w:tc>
          <w:tcPr>
            <w:tcW w:w="0" w:type="dxa"/>
            <w:vAlign w:val="bottom"/>
          </w:tcPr>
          <w:p>
            <w:pPr>
              <w:spacing w:after="0"/>
              <w:rPr>
                <w:sz w:val="1"/>
                <w:szCs w:val="1"/>
                <w:color w:val="auto"/>
              </w:rPr>
            </w:pPr>
          </w:p>
        </w:tc>
      </w:tr>
      <w:tr>
        <w:trPr>
          <w:trHeight w:val="263"/>
        </w:trPr>
        <w:tc>
          <w:tcPr>
            <w:tcW w:w="64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June 30</w:t>
            </w:r>
          </w:p>
        </w:tc>
        <w:tc>
          <w:tcPr>
            <w:tcW w:w="62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June 30</w:t>
            </w:r>
          </w:p>
        </w:tc>
        <w:tc>
          <w:tcPr>
            <w:tcW w:w="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4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50"/>
        </w:trPr>
        <w:tc>
          <w:tcPr>
            <w:tcW w:w="6420" w:type="dxa"/>
            <w:vAlign w:val="bottom"/>
          </w:tcPr>
          <w:p>
            <w:pPr>
              <w:spacing w:after="0"/>
              <w:rPr>
                <w:sz w:val="20"/>
                <w:szCs w:val="20"/>
                <w:color w:val="auto"/>
              </w:rPr>
            </w:pPr>
            <w:r>
              <w:rPr>
                <w:rFonts w:ascii="Arial" w:cs="Arial" w:eastAsia="Arial" w:hAnsi="Arial"/>
                <w:sz w:val="18"/>
                <w:szCs w:val="18"/>
                <w:color w:val="auto"/>
              </w:rPr>
              <w:t>Diluted EPS from continuing operations (as reported)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1.40</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0.81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3.09</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(8.11 )</w:t>
            </w:r>
          </w:p>
        </w:tc>
        <w:tc>
          <w:tcPr>
            <w:tcW w:w="0" w:type="dxa"/>
            <w:vAlign w:val="bottom"/>
          </w:tcPr>
          <w:p>
            <w:pPr>
              <w:spacing w:after="0"/>
              <w:rPr>
                <w:sz w:val="1"/>
                <w:szCs w:val="1"/>
                <w:color w:val="auto"/>
              </w:rPr>
            </w:pPr>
          </w:p>
        </w:tc>
      </w:tr>
      <w:tr>
        <w:trPr>
          <w:trHeight w:val="263"/>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Key items, before tax:</w:t>
            </w:r>
          </w:p>
        </w:tc>
        <w:tc>
          <w:tcPr>
            <w:tcW w:w="14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420" w:type="dxa"/>
            <w:vAlign w:val="bottom"/>
          </w:tcPr>
          <w:p>
            <w:pPr>
              <w:ind w:left="260"/>
              <w:spacing w:after="0"/>
              <w:rPr>
                <w:sz w:val="20"/>
                <w:szCs w:val="20"/>
                <w:color w:val="auto"/>
              </w:rPr>
            </w:pPr>
            <w:r>
              <w:rPr>
                <w:rFonts w:ascii="Arial" w:cs="Arial" w:eastAsia="Arial" w:hAnsi="Arial"/>
                <w:sz w:val="18"/>
                <w:szCs w:val="18"/>
                <w:color w:val="auto"/>
              </w:rPr>
              <w:t>Restructuring, separation and other costs</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(0.04 )</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0.23</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0.16</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63"/>
        </w:trPr>
        <w:tc>
          <w:tcPr>
            <w:tcW w:w="6420" w:type="dxa"/>
            <w:vAlign w:val="bottom"/>
          </w:tcPr>
          <w:p>
            <w:pPr>
              <w:ind w:left="260"/>
              <w:spacing w:after="0"/>
              <w:rPr>
                <w:sz w:val="20"/>
                <w:szCs w:val="20"/>
                <w:color w:val="auto"/>
              </w:rPr>
            </w:pPr>
            <w:r>
              <w:rPr>
                <w:rFonts w:ascii="Arial" w:cs="Arial" w:eastAsia="Arial" w:hAnsi="Arial"/>
                <w:sz w:val="18"/>
                <w:szCs w:val="18"/>
                <w:color w:val="auto"/>
              </w:rPr>
              <w:t>Environmental reserve adjustments</w:t>
            </w:r>
          </w:p>
        </w:tc>
        <w:tc>
          <w:tcPr>
            <w:tcW w:w="14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0.33</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0.32</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0.33</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63"/>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 project impairment</w:t>
            </w:r>
          </w:p>
        </w:tc>
        <w:tc>
          <w:tcPr>
            <w:tcW w:w="140" w:type="dxa"/>
            <w:vAlign w:val="bottom"/>
            <w:shd w:val="clear" w:color="auto" w:fill="CFF0FC"/>
          </w:tcPr>
          <w:p>
            <w:pPr>
              <w:spacing w:after="0"/>
              <w:rPr>
                <w:sz w:val="22"/>
                <w:szCs w:val="22"/>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0.16</w:t>
            </w:r>
          </w:p>
        </w:tc>
        <w:tc>
          <w:tcPr>
            <w:tcW w:w="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420" w:type="dxa"/>
            <w:vAlign w:val="bottom"/>
          </w:tcPr>
          <w:p>
            <w:pPr>
              <w:ind w:left="260"/>
              <w:spacing w:after="0"/>
              <w:rPr>
                <w:sz w:val="20"/>
                <w:szCs w:val="20"/>
                <w:color w:val="auto"/>
              </w:rPr>
            </w:pPr>
            <w:r>
              <w:rPr>
                <w:rFonts w:ascii="Arial" w:cs="Arial" w:eastAsia="Arial" w:hAnsi="Arial"/>
                <w:sz w:val="18"/>
                <w:szCs w:val="18"/>
                <w:color w:val="auto"/>
              </w:rPr>
              <w:t>Unrealized (gain) loss on securities</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(0.24 )</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(0.51 )</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(0.42 )</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(0.15 )</w:t>
            </w:r>
          </w:p>
        </w:tc>
        <w:tc>
          <w:tcPr>
            <w:tcW w:w="0" w:type="dxa"/>
            <w:vAlign w:val="bottom"/>
          </w:tcPr>
          <w:p>
            <w:pPr>
              <w:spacing w:after="0"/>
              <w:rPr>
                <w:sz w:val="1"/>
                <w:szCs w:val="1"/>
                <w:color w:val="auto"/>
              </w:rPr>
            </w:pPr>
          </w:p>
        </w:tc>
      </w:tr>
      <w:tr>
        <w:trPr>
          <w:trHeight w:val="263"/>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 impairment</w:t>
            </w:r>
          </w:p>
        </w:tc>
        <w:tc>
          <w:tcPr>
            <w:tcW w:w="140" w:type="dxa"/>
            <w:vAlign w:val="bottom"/>
            <w:shd w:val="clear" w:color="auto" w:fill="CFF0FC"/>
          </w:tcPr>
          <w:p>
            <w:pPr>
              <w:spacing w:after="0"/>
              <w:rPr>
                <w:sz w:val="22"/>
                <w:szCs w:val="22"/>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50"/>
        </w:trPr>
        <w:tc>
          <w:tcPr>
            <w:tcW w:w="6420" w:type="dxa"/>
            <w:vAlign w:val="bottom"/>
          </w:tcPr>
          <w:p>
            <w:pPr>
              <w:ind w:left="260"/>
              <w:spacing w:after="0"/>
              <w:rPr>
                <w:sz w:val="20"/>
                <w:szCs w:val="20"/>
                <w:color w:val="auto"/>
              </w:rPr>
            </w:pPr>
            <w:r>
              <w:rPr>
                <w:rFonts w:ascii="Arial" w:cs="Arial" w:eastAsia="Arial" w:hAnsi="Arial"/>
                <w:sz w:val="18"/>
                <w:szCs w:val="18"/>
                <w:color w:val="auto"/>
              </w:rPr>
              <w:t>Inventory adjustment</w:t>
            </w:r>
          </w:p>
        </w:tc>
        <w:tc>
          <w:tcPr>
            <w:tcW w:w="1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0.03</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0.03</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63"/>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Accelerated amortization of debt issuance costs</w:t>
            </w:r>
          </w:p>
        </w:tc>
        <w:tc>
          <w:tcPr>
            <w:tcW w:w="140" w:type="dxa"/>
            <w:vAlign w:val="bottom"/>
            <w:shd w:val="clear" w:color="auto" w:fill="CFF0FC"/>
          </w:tcPr>
          <w:p>
            <w:pPr>
              <w:spacing w:after="0"/>
              <w:rPr>
                <w:sz w:val="22"/>
                <w:szCs w:val="22"/>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50"/>
        </w:trPr>
        <w:tc>
          <w:tcPr>
            <w:tcW w:w="6420" w:type="dxa"/>
            <w:vAlign w:val="bottom"/>
          </w:tcPr>
          <w:p>
            <w:pPr>
              <w:ind w:left="260"/>
              <w:spacing w:after="0"/>
              <w:rPr>
                <w:sz w:val="20"/>
                <w:szCs w:val="20"/>
                <w:color w:val="auto"/>
              </w:rPr>
            </w:pPr>
            <w:r>
              <w:rPr>
                <w:rFonts w:ascii="Arial" w:cs="Arial" w:eastAsia="Arial" w:hAnsi="Arial"/>
                <w:sz w:val="18"/>
                <w:szCs w:val="18"/>
                <w:color w:val="auto"/>
              </w:rPr>
              <w:t>Debt refinancing costs</w:t>
            </w:r>
          </w:p>
        </w:tc>
        <w:tc>
          <w:tcPr>
            <w:tcW w:w="1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57"/>
        </w:trPr>
        <w:tc>
          <w:tcPr>
            <w:tcW w:w="64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gain (loss) on acquisitions and divestitures</w:t>
            </w:r>
          </w:p>
        </w:tc>
        <w:tc>
          <w:tcPr>
            <w:tcW w:w="14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(0.03 )</w:t>
            </w:r>
          </w:p>
        </w:tc>
        <w:tc>
          <w:tcPr>
            <w:tcW w:w="1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(0.17 )</w:t>
            </w:r>
          </w:p>
        </w:tc>
        <w:tc>
          <w:tcPr>
            <w:tcW w:w="1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420" w:type="dxa"/>
            <w:vAlign w:val="bottom"/>
          </w:tcPr>
          <w:p>
            <w:pPr>
              <w:spacing w:after="0"/>
              <w:rPr>
                <w:sz w:val="20"/>
                <w:szCs w:val="20"/>
                <w:color w:val="auto"/>
              </w:rPr>
            </w:pPr>
            <w:r>
              <w:rPr>
                <w:rFonts w:ascii="Arial" w:cs="Arial" w:eastAsia="Arial" w:hAnsi="Arial"/>
                <w:sz w:val="18"/>
                <w:szCs w:val="18"/>
                <w:color w:val="auto"/>
              </w:rPr>
              <w:t>Key items, before tax</w:t>
            </w:r>
          </w:p>
        </w:tc>
        <w:tc>
          <w:tcPr>
            <w:tcW w:w="1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0.05</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0.09</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57"/>
        </w:trPr>
        <w:tc>
          <w:tcPr>
            <w:tcW w:w="6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Tax effect of key items </w:t>
            </w:r>
            <w:r>
              <w:rPr>
                <w:rFonts w:ascii="Arial" w:cs="Arial" w:eastAsia="Arial" w:hAnsi="Arial"/>
                <w:sz w:val="14"/>
                <w:szCs w:val="14"/>
                <w:color w:val="auto"/>
              </w:rPr>
              <w:t>(a)</w:t>
            </w:r>
          </w:p>
        </w:tc>
        <w:tc>
          <w:tcPr>
            <w:tcW w:w="14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(0.02 )</w:t>
            </w:r>
          </w:p>
        </w:tc>
        <w:tc>
          <w:tcPr>
            <w:tcW w:w="1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(0.01 )</w:t>
            </w:r>
          </w:p>
        </w:tc>
        <w:tc>
          <w:tcPr>
            <w:tcW w:w="1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0.02</w:t>
            </w:r>
          </w:p>
        </w:tc>
        <w:tc>
          <w:tcPr>
            <w:tcW w:w="1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(0.33 )</w:t>
            </w:r>
          </w:p>
        </w:tc>
        <w:tc>
          <w:tcPr>
            <w:tcW w:w="0" w:type="dxa"/>
            <w:vAlign w:val="bottom"/>
          </w:tcPr>
          <w:p>
            <w:pPr>
              <w:spacing w:after="0"/>
              <w:rPr>
                <w:sz w:val="1"/>
                <w:szCs w:val="1"/>
                <w:color w:val="auto"/>
              </w:rPr>
            </w:pPr>
          </w:p>
        </w:tc>
      </w:tr>
      <w:tr>
        <w:trPr>
          <w:trHeight w:val="250"/>
        </w:trPr>
        <w:tc>
          <w:tcPr>
            <w:tcW w:w="6420" w:type="dxa"/>
            <w:vAlign w:val="bottom"/>
          </w:tcPr>
          <w:p>
            <w:pPr>
              <w:spacing w:after="0"/>
              <w:rPr>
                <w:sz w:val="20"/>
                <w:szCs w:val="20"/>
                <w:color w:val="auto"/>
              </w:rPr>
            </w:pPr>
            <w:r>
              <w:rPr>
                <w:rFonts w:ascii="Arial" w:cs="Arial" w:eastAsia="Arial" w:hAnsi="Arial"/>
                <w:sz w:val="18"/>
                <w:szCs w:val="18"/>
                <w:color w:val="auto"/>
              </w:rPr>
              <w:t>Key items, after tax</w:t>
            </w:r>
          </w:p>
        </w:tc>
        <w:tc>
          <w:tcPr>
            <w:tcW w:w="1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0.03</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0.03</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0.11</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63"/>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Tax specific key items:</w:t>
            </w:r>
          </w:p>
        </w:tc>
        <w:tc>
          <w:tcPr>
            <w:tcW w:w="14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420" w:type="dxa"/>
            <w:vAlign w:val="bottom"/>
          </w:tcPr>
          <w:p>
            <w:pPr>
              <w:ind w:left="260"/>
              <w:spacing w:after="0"/>
              <w:rPr>
                <w:sz w:val="20"/>
                <w:szCs w:val="20"/>
                <w:color w:val="auto"/>
              </w:rPr>
            </w:pPr>
            <w:r>
              <w:rPr>
                <w:rFonts w:ascii="Arial" w:cs="Arial" w:eastAsia="Arial" w:hAnsi="Arial"/>
                <w:sz w:val="18"/>
                <w:szCs w:val="18"/>
                <w:color w:val="auto"/>
              </w:rPr>
              <w:t>Restructuring and separation activity</w:t>
            </w:r>
          </w:p>
        </w:tc>
        <w:tc>
          <w:tcPr>
            <w:tcW w:w="1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(0.22 )</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Uncertain tax positions</w:t>
            </w:r>
          </w:p>
        </w:tc>
        <w:tc>
          <w:tcPr>
            <w:tcW w:w="14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(0.52 )</w:t>
            </w: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(0.63 )</w:t>
            </w:r>
          </w:p>
        </w:tc>
        <w:tc>
          <w:tcPr>
            <w:tcW w:w="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420" w:type="dxa"/>
            <w:vAlign w:val="bottom"/>
          </w:tcPr>
          <w:p>
            <w:pPr>
              <w:ind w:left="260"/>
              <w:spacing w:after="0"/>
              <w:rPr>
                <w:sz w:val="20"/>
                <w:szCs w:val="20"/>
                <w:color w:val="auto"/>
              </w:rPr>
            </w:pPr>
            <w:r>
              <w:rPr>
                <w:rFonts w:ascii="Arial" w:cs="Arial" w:eastAsia="Arial" w:hAnsi="Arial"/>
                <w:sz w:val="18"/>
                <w:szCs w:val="18"/>
                <w:color w:val="auto"/>
              </w:rPr>
              <w:t>Other tax reform related activity</w:t>
            </w: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(0.41 )</w:t>
            </w:r>
          </w:p>
        </w:tc>
        <w:tc>
          <w:tcPr>
            <w:tcW w:w="0" w:type="dxa"/>
            <w:vAlign w:val="bottom"/>
          </w:tcPr>
          <w:p>
            <w:pPr>
              <w:spacing w:after="0"/>
              <w:rPr>
                <w:sz w:val="1"/>
                <w:szCs w:val="1"/>
                <w:color w:val="auto"/>
              </w:rPr>
            </w:pPr>
          </w:p>
        </w:tc>
      </w:tr>
      <w:tr>
        <w:trPr>
          <w:trHeight w:val="250"/>
        </w:trPr>
        <w:tc>
          <w:tcPr>
            <w:tcW w:w="6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Tax specific key items </w:t>
            </w:r>
            <w:r>
              <w:rPr>
                <w:rFonts w:ascii="Arial" w:cs="Arial" w:eastAsia="Arial" w:hAnsi="Arial"/>
                <w:sz w:val="14"/>
                <w:szCs w:val="14"/>
                <w:color w:val="auto"/>
              </w:rPr>
              <w:t>(b)</w:t>
            </w:r>
          </w:p>
        </w:tc>
        <w:tc>
          <w:tcPr>
            <w:tcW w:w="1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(0.52 )</w:t>
            </w:r>
          </w:p>
        </w:tc>
        <w:tc>
          <w:tcPr>
            <w:tcW w:w="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(0.85 )</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(0.41 )</w:t>
            </w:r>
          </w:p>
        </w:tc>
        <w:tc>
          <w:tcPr>
            <w:tcW w:w="0" w:type="dxa"/>
            <w:vAlign w:val="bottom"/>
          </w:tcPr>
          <w:p>
            <w:pPr>
              <w:spacing w:after="0"/>
              <w:rPr>
                <w:sz w:val="1"/>
                <w:szCs w:val="1"/>
                <w:color w:val="auto"/>
              </w:rPr>
            </w:pPr>
          </w:p>
        </w:tc>
      </w:tr>
      <w:tr>
        <w:trPr>
          <w:trHeight w:val="250"/>
        </w:trPr>
        <w:tc>
          <w:tcPr>
            <w:tcW w:w="6420" w:type="dxa"/>
            <w:vAlign w:val="bottom"/>
          </w:tcPr>
          <w:p>
            <w:pPr>
              <w:spacing w:after="0"/>
              <w:rPr>
                <w:sz w:val="20"/>
                <w:szCs w:val="20"/>
                <w:color w:val="auto"/>
              </w:rPr>
            </w:pPr>
            <w:r>
              <w:rPr>
                <w:rFonts w:ascii="Arial" w:cs="Arial" w:eastAsia="Arial" w:hAnsi="Arial"/>
                <w:sz w:val="18"/>
                <w:szCs w:val="18"/>
                <w:color w:val="auto"/>
              </w:rPr>
              <w:t>Total key items</w:t>
            </w: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(0.49 )</w:t>
            </w: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0.03</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(0.74 )</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96"/>
        </w:trPr>
        <w:tc>
          <w:tcPr>
            <w:tcW w:w="6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diluted EPS from continuing operations (non-GAAP)</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0.91</w:t>
            </w:r>
          </w:p>
        </w:tc>
        <w:tc>
          <w:tcPr>
            <w:tcW w:w="1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0.84</w:t>
            </w:r>
          </w:p>
        </w:tc>
        <w:tc>
          <w:tcPr>
            <w:tcW w:w="1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2.35</w:t>
            </w:r>
          </w:p>
        </w:tc>
        <w:tc>
          <w:tcPr>
            <w:tcW w:w="1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Amortization expense adjustment (net of tax) (c)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0.31</w:t>
            </w:r>
          </w:p>
        </w:tc>
        <w:tc>
          <w:tcPr>
            <w:tcW w:w="18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0.28</w:t>
            </w:r>
          </w:p>
        </w:tc>
        <w:tc>
          <w:tcPr>
            <w:tcW w:w="1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0.86</w:t>
            </w:r>
          </w:p>
        </w:tc>
        <w:tc>
          <w:tcPr>
            <w:tcW w:w="16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42"/>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w w:val="96"/>
              </w:rPr>
              <w:t>Adjusted diluted EPS from continuing operations (non-GAAP) excluding intangibles</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1.22</w:t>
            </w:r>
          </w:p>
        </w:tc>
        <w:tc>
          <w:tcPr>
            <w:tcW w:w="440" w:type="dxa"/>
            <w:vAlign w:val="bottom"/>
            <w:gridSpan w:val="2"/>
            <w:vMerge w:val="restart"/>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1.12</w:t>
            </w:r>
          </w:p>
        </w:tc>
        <w:tc>
          <w:tcPr>
            <w:tcW w:w="3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3.21</w:t>
            </w:r>
          </w:p>
        </w:tc>
        <w:tc>
          <w:tcPr>
            <w:tcW w:w="400" w:type="dxa"/>
            <w:vAlign w:val="bottom"/>
            <w:gridSpan w:val="2"/>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43"/>
        </w:trPr>
        <w:tc>
          <w:tcPr>
            <w:tcW w:w="642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amortization expense</w:t>
            </w:r>
          </w:p>
        </w:tc>
        <w:tc>
          <w:tcPr>
            <w:tcW w:w="140" w:type="dxa"/>
            <w:vAlign w:val="bottom"/>
            <w:vMerge w:val="continue"/>
            <w:shd w:val="clear" w:color="auto" w:fill="CFF0FC"/>
          </w:tcPr>
          <w:p>
            <w:pPr>
              <w:spacing w:after="0"/>
              <w:rPr>
                <w:sz w:val="21"/>
                <w:szCs w:val="21"/>
                <w:color w:val="auto"/>
              </w:rPr>
            </w:pPr>
          </w:p>
        </w:tc>
        <w:tc>
          <w:tcPr>
            <w:tcW w:w="760" w:type="dxa"/>
            <w:vAlign w:val="bottom"/>
            <w:vMerge w:val="continue"/>
            <w:shd w:val="clear" w:color="auto" w:fill="CFF0FC"/>
          </w:tcPr>
          <w:p>
            <w:pPr>
              <w:spacing w:after="0"/>
              <w:rPr>
                <w:sz w:val="21"/>
                <w:szCs w:val="21"/>
                <w:color w:val="auto"/>
              </w:rPr>
            </w:pPr>
          </w:p>
        </w:tc>
        <w:tc>
          <w:tcPr>
            <w:tcW w:w="440" w:type="dxa"/>
            <w:vAlign w:val="bottom"/>
            <w:gridSpan w:val="2"/>
            <w:vMerge w:val="continue"/>
            <w:shd w:val="clear" w:color="auto" w:fill="CFF0FC"/>
          </w:tcPr>
          <w:p>
            <w:pPr>
              <w:spacing w:after="0"/>
              <w:rPr>
                <w:sz w:val="21"/>
                <w:szCs w:val="21"/>
                <w:color w:val="auto"/>
              </w:rPr>
            </w:pPr>
          </w:p>
        </w:tc>
        <w:tc>
          <w:tcPr>
            <w:tcW w:w="620" w:type="dxa"/>
            <w:vAlign w:val="bottom"/>
            <w:vMerge w:val="continue"/>
            <w:shd w:val="clear" w:color="auto" w:fill="CFF0FC"/>
          </w:tcPr>
          <w:p>
            <w:pPr>
              <w:spacing w:after="0"/>
              <w:rPr>
                <w:sz w:val="21"/>
                <w:szCs w:val="21"/>
                <w:color w:val="auto"/>
              </w:rPr>
            </w:pPr>
          </w:p>
        </w:tc>
        <w:tc>
          <w:tcPr>
            <w:tcW w:w="300" w:type="dxa"/>
            <w:vAlign w:val="bottom"/>
            <w:gridSpan w:val="2"/>
            <w:vMerge w:val="continue"/>
            <w:shd w:val="clear" w:color="auto" w:fill="CFF0FC"/>
          </w:tcPr>
          <w:p>
            <w:pPr>
              <w:spacing w:after="0"/>
              <w:rPr>
                <w:sz w:val="21"/>
                <w:szCs w:val="21"/>
                <w:color w:val="auto"/>
              </w:rPr>
            </w:pPr>
          </w:p>
        </w:tc>
        <w:tc>
          <w:tcPr>
            <w:tcW w:w="720" w:type="dxa"/>
            <w:vAlign w:val="bottom"/>
            <w:vMerge w:val="continue"/>
            <w:shd w:val="clear" w:color="auto" w:fill="CFF0FC"/>
          </w:tcPr>
          <w:p>
            <w:pPr>
              <w:spacing w:after="0"/>
              <w:rPr>
                <w:sz w:val="21"/>
                <w:szCs w:val="21"/>
                <w:color w:val="auto"/>
              </w:rPr>
            </w:pPr>
          </w:p>
        </w:tc>
        <w:tc>
          <w:tcPr>
            <w:tcW w:w="400" w:type="dxa"/>
            <w:vAlign w:val="bottom"/>
            <w:gridSpan w:val="2"/>
            <w:vMerge w:val="continue"/>
            <w:shd w:val="clear" w:color="auto" w:fill="CFF0FC"/>
          </w:tcPr>
          <w:p>
            <w:pPr>
              <w:spacing w:after="0"/>
              <w:rPr>
                <w:sz w:val="21"/>
                <w:szCs w:val="21"/>
                <w:color w:val="auto"/>
              </w:rPr>
            </w:pPr>
          </w:p>
        </w:tc>
        <w:tc>
          <w:tcPr>
            <w:tcW w:w="620" w:type="dxa"/>
            <w:vAlign w:val="bottom"/>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6420" w:type="dxa"/>
            <w:vAlign w:val="bottom"/>
            <w:tcBorders>
              <w:top w:val="single" w:sz="8" w:color="CFF0FC"/>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CFF0FC"/>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CFF0FC"/>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CFF0FC"/>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4675505</wp:posOffset>
            </wp:positionH>
            <wp:positionV relativeFrom="paragraph">
              <wp:posOffset>-2285365</wp:posOffset>
            </wp:positionV>
            <wp:extent cx="111125" cy="571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5344160</wp:posOffset>
            </wp:positionH>
            <wp:positionV relativeFrom="paragraph">
              <wp:posOffset>-2285365</wp:posOffset>
            </wp:positionV>
            <wp:extent cx="102870" cy="571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5995670</wp:posOffset>
            </wp:positionH>
            <wp:positionV relativeFrom="paragraph">
              <wp:posOffset>-2285365</wp:posOffset>
            </wp:positionV>
            <wp:extent cx="102870" cy="571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4675505</wp:posOffset>
            </wp:positionH>
            <wp:positionV relativeFrom="paragraph">
              <wp:posOffset>-1950720</wp:posOffset>
            </wp:positionV>
            <wp:extent cx="111125" cy="571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5344160</wp:posOffset>
            </wp:positionH>
            <wp:positionV relativeFrom="paragraph">
              <wp:posOffset>-1950720</wp:posOffset>
            </wp:positionV>
            <wp:extent cx="102870" cy="571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5995670</wp:posOffset>
            </wp:positionH>
            <wp:positionV relativeFrom="paragraph">
              <wp:posOffset>-1950720</wp:posOffset>
            </wp:positionV>
            <wp:extent cx="102870" cy="571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4675505</wp:posOffset>
            </wp:positionH>
            <wp:positionV relativeFrom="paragraph">
              <wp:posOffset>-956310</wp:posOffset>
            </wp:positionV>
            <wp:extent cx="111125" cy="571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5344160</wp:posOffset>
            </wp:positionH>
            <wp:positionV relativeFrom="paragraph">
              <wp:posOffset>-956310</wp:posOffset>
            </wp:positionV>
            <wp:extent cx="102870" cy="571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5995670</wp:posOffset>
            </wp:positionH>
            <wp:positionV relativeFrom="paragraph">
              <wp:posOffset>-956310</wp:posOffset>
            </wp:positionV>
            <wp:extent cx="102870" cy="571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4675505</wp:posOffset>
            </wp:positionH>
            <wp:positionV relativeFrom="paragraph">
              <wp:posOffset>-616585</wp:posOffset>
            </wp:positionV>
            <wp:extent cx="11112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4675505</wp:posOffset>
            </wp:positionH>
            <wp:positionV relativeFrom="paragraph">
              <wp:posOffset>-599440</wp:posOffset>
            </wp:positionV>
            <wp:extent cx="11112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5344160</wp:posOffset>
            </wp:positionH>
            <wp:positionV relativeFrom="paragraph">
              <wp:posOffset>-616585</wp:posOffset>
            </wp:positionV>
            <wp:extent cx="10287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5344160</wp:posOffset>
            </wp:positionH>
            <wp:positionV relativeFrom="paragraph">
              <wp:posOffset>-599440</wp:posOffset>
            </wp:positionV>
            <wp:extent cx="10287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5995670</wp:posOffset>
            </wp:positionH>
            <wp:positionV relativeFrom="paragraph">
              <wp:posOffset>-616585</wp:posOffset>
            </wp:positionV>
            <wp:extent cx="10287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5995670</wp:posOffset>
            </wp:positionH>
            <wp:positionV relativeFrom="paragraph">
              <wp:posOffset>-599440</wp:posOffset>
            </wp:positionV>
            <wp:extent cx="10287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4675505</wp:posOffset>
            </wp:positionH>
            <wp:positionV relativeFrom="paragraph">
              <wp:posOffset>-136525</wp:posOffset>
            </wp:positionV>
            <wp:extent cx="11112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4675505</wp:posOffset>
            </wp:positionH>
            <wp:positionV relativeFrom="paragraph">
              <wp:posOffset>-119380</wp:posOffset>
            </wp:positionV>
            <wp:extent cx="11112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5344160</wp:posOffset>
            </wp:positionH>
            <wp:positionV relativeFrom="paragraph">
              <wp:posOffset>-136525</wp:posOffset>
            </wp:positionV>
            <wp:extent cx="10287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5344160</wp:posOffset>
            </wp:positionH>
            <wp:positionV relativeFrom="paragraph">
              <wp:posOffset>-119380</wp:posOffset>
            </wp:positionV>
            <wp:extent cx="10287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5995670</wp:posOffset>
            </wp:positionH>
            <wp:positionV relativeFrom="paragraph">
              <wp:posOffset>-136525</wp:posOffset>
            </wp:positionV>
            <wp:extent cx="10287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5995670</wp:posOffset>
            </wp:positionH>
            <wp:positionV relativeFrom="paragraph">
              <wp:posOffset>-119380</wp:posOffset>
            </wp:positionV>
            <wp:extent cx="10287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83" w:lineRule="exact"/>
        <w:rPr>
          <w:sz w:val="20"/>
          <w:szCs w:val="20"/>
          <w:color w:val="auto"/>
        </w:rPr>
      </w:pPr>
    </w:p>
    <w:p>
      <w:pPr>
        <w:ind w:left="320" w:hanging="318"/>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the diluted EPS impact from the tax effect of the key items that are identified above.</w:t>
      </w:r>
    </w:p>
    <w:p>
      <w:pPr>
        <w:spacing w:after="0" w:line="55" w:lineRule="exact"/>
        <w:rPr>
          <w:rFonts w:ascii="Arial" w:cs="Arial" w:eastAsia="Arial" w:hAnsi="Arial"/>
          <w:sz w:val="14"/>
          <w:szCs w:val="14"/>
          <w:color w:val="auto"/>
        </w:rPr>
      </w:pPr>
    </w:p>
    <w:p>
      <w:pPr>
        <w:ind w:left="320" w:right="400" w:hanging="318"/>
        <w:spacing w:after="0" w:line="275" w:lineRule="auto"/>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the diluted EPS impact from tax specific financial transactions, tax law changes or other matters that fall within the definition of key items. For additional explanation of these tax specific key items, see the income tax expense (benefit) discussion within the Statements of Consolidated Comprehensive Income (Loss) caption review section above.</w:t>
      </w:r>
    </w:p>
    <w:p>
      <w:pPr>
        <w:ind w:left="320" w:right="300" w:hanging="318"/>
        <w:spacing w:after="0" w:line="293" w:lineRule="auto"/>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Amortization expense adjustment (net of tax) tax rates were 21% for the three and nine months ended June 30, 2021 and 20% for the three and nine months ended June 30, 2020.</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74" w:right="719" w:bottom="1440" w:gutter="0" w:footer="0" w:header="0"/>
        </w:sectPr>
      </w:pPr>
    </w:p>
    <w:bookmarkStart w:id="49" w:name="page50"/>
    <w:bookmarkEnd w:id="49"/>
    <w:p>
      <w:pPr>
        <w:spacing w:after="0"/>
        <w:rPr>
          <w:sz w:val="20"/>
          <w:szCs w:val="20"/>
          <w:color w:val="auto"/>
        </w:rPr>
      </w:pPr>
      <w:r>
        <w:rPr>
          <w:rFonts w:ascii="Arial" w:cs="Arial" w:eastAsia="Arial" w:hAnsi="Arial"/>
          <w:sz w:val="20"/>
          <w:szCs w:val="20"/>
          <w:b w:val="1"/>
          <w:bCs w:val="1"/>
          <w:color w:val="auto"/>
        </w:rPr>
        <w:t>RESULTS OF OPERATIONS – REPORTABLE SEGMENT REVIEW</w:t>
      </w:r>
    </w:p>
    <w:p>
      <w:pPr>
        <w:spacing w:after="0" w:line="127" w:lineRule="exact"/>
        <w:rPr>
          <w:sz w:val="20"/>
          <w:szCs w:val="20"/>
          <w:color w:val="auto"/>
        </w:rPr>
      </w:pPr>
    </w:p>
    <w:p>
      <w:pPr>
        <w:jc w:val="both"/>
        <w:ind w:left="380"/>
        <w:spacing w:after="0" w:line="377" w:lineRule="auto"/>
        <w:rPr>
          <w:sz w:val="20"/>
          <w:szCs w:val="20"/>
          <w:color w:val="auto"/>
        </w:rPr>
      </w:pPr>
      <w:r>
        <w:rPr>
          <w:rFonts w:ascii="Arial" w:cs="Arial" w:eastAsia="Arial" w:hAnsi="Arial"/>
          <w:sz w:val="16"/>
          <w:szCs w:val="16"/>
          <w:color w:val="auto"/>
        </w:rPr>
        <w:t>Ashland’s reportable segments include Life Sciences, Personal Care &amp; Household, Specialty Additives, Performance Adhesives and Intermediates and Solvents. Unallocated and Other includes corporate governance activities and certain legacy matters. Ashland has also provided subtotals by its consumer and industrial businesses to reflect the end markets served by each reportable segment.</w:t>
      </w:r>
    </w:p>
    <w:p>
      <w:pPr>
        <w:spacing w:after="0" w:line="10" w:lineRule="exact"/>
        <w:rPr>
          <w:sz w:val="20"/>
          <w:szCs w:val="20"/>
          <w:color w:val="auto"/>
        </w:rPr>
      </w:pPr>
    </w:p>
    <w:p>
      <w:pPr>
        <w:jc w:val="both"/>
        <w:ind w:left="380"/>
        <w:spacing w:after="0" w:line="302" w:lineRule="auto"/>
        <w:rPr>
          <w:sz w:val="20"/>
          <w:szCs w:val="20"/>
          <w:color w:val="auto"/>
        </w:rPr>
      </w:pPr>
      <w:r>
        <w:rPr>
          <w:rFonts w:ascii="Arial" w:cs="Arial" w:eastAsia="Arial" w:hAnsi="Arial"/>
          <w:sz w:val="18"/>
          <w:szCs w:val="18"/>
          <w:color w:val="auto"/>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companies. Ashland allocates all significant costs to its reportable segments except for certain significant company-wide restructuring activities, certain corporate governance costs and other costs or activities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income caption on the Statements of Consolidated Comprehensive Income (Loss). Ashland refines its expense allocation methodologies to the reportable segments from time to time as internal accounting practices are improved, more refined information becomes available and the industry or market changes. Significant revisions to Ashland’s methodologies are adjusted for all segments on a retrospective basis.</w:t>
      </w:r>
    </w:p>
    <w:p>
      <w:pPr>
        <w:spacing w:after="0" w:line="68" w:lineRule="exact"/>
        <w:rPr>
          <w:sz w:val="20"/>
          <w:szCs w:val="20"/>
          <w:color w:val="auto"/>
        </w:rPr>
      </w:pPr>
    </w:p>
    <w:p>
      <w:pPr>
        <w:jc w:val="both"/>
        <w:ind w:left="380"/>
        <w:spacing w:after="0" w:line="288" w:lineRule="auto"/>
        <w:rPr>
          <w:sz w:val="20"/>
          <w:szCs w:val="20"/>
          <w:color w:val="auto"/>
        </w:rPr>
      </w:pPr>
      <w:r>
        <w:rPr>
          <w:rFonts w:ascii="Arial" w:cs="Arial" w:eastAsia="Arial" w:hAnsi="Arial"/>
          <w:sz w:val="20"/>
          <w:szCs w:val="20"/>
          <w:color w:val="auto"/>
        </w:rPr>
        <w:t>The following table discloses sales, operating income, depreciation and amortization and EBITDA by reportable segment for the three and nine months ended June 30, 2021 and 2020.</w:t>
      </w:r>
    </w:p>
    <w:p>
      <w:pPr>
        <w:spacing w:after="0" w:line="7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562" w:right="71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120" w:type="dxa"/>
            <w:vAlign w:val="bottom"/>
            <w:gridSpan w:val="3"/>
          </w:tcPr>
          <w:p>
            <w:pPr>
              <w:jc w:val="center"/>
              <w:ind w:left="30"/>
              <w:spacing w:after="0"/>
              <w:rPr>
                <w:sz w:val="20"/>
                <w:szCs w:val="20"/>
                <w:color w:val="auto"/>
              </w:rPr>
            </w:pPr>
            <w:r>
              <w:rPr>
                <w:rFonts w:ascii="Arial" w:cs="Arial" w:eastAsia="Arial" w:hAnsi="Arial"/>
                <w:sz w:val="18"/>
                <w:szCs w:val="18"/>
                <w:color w:val="auto"/>
                <w:w w:val="89"/>
              </w:rPr>
              <w:t>Three months ended</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40" w:type="dxa"/>
            <w:vAlign w:val="bottom"/>
            <w:gridSpan w:val="3"/>
          </w:tcPr>
          <w:p>
            <w:pPr>
              <w:jc w:val="right"/>
              <w:ind w:right="150"/>
              <w:spacing w:after="0"/>
              <w:rPr>
                <w:sz w:val="20"/>
                <w:szCs w:val="20"/>
                <w:color w:val="auto"/>
              </w:rPr>
            </w:pPr>
            <w:r>
              <w:rPr>
                <w:rFonts w:ascii="Arial" w:cs="Arial" w:eastAsia="Arial" w:hAnsi="Arial"/>
                <w:sz w:val="18"/>
                <w:szCs w:val="18"/>
                <w:color w:val="auto"/>
              </w:rPr>
              <w:t>Nine months ended</w:t>
            </w: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63"/>
        </w:trPr>
        <w:tc>
          <w:tcPr>
            <w:tcW w:w="4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87"/>
              </w:rPr>
              <w:t>June 30</w:t>
            </w:r>
          </w:p>
        </w:tc>
        <w:tc>
          <w:tcPr>
            <w:tcW w:w="76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color w:val="auto"/>
              </w:rPr>
              <w:t>June 30</w:t>
            </w:r>
          </w:p>
        </w:tc>
        <w:tc>
          <w:tcPr>
            <w:tcW w:w="760" w:type="dxa"/>
            <w:vAlign w:val="bottom"/>
            <w:tcBorders>
              <w:bottom w:val="single" w:sz="8" w:color="auto"/>
            </w:tcBorders>
          </w:tcPr>
          <w:p>
            <w:pPr>
              <w:spacing w:after="0"/>
              <w:rPr>
                <w:sz w:val="22"/>
                <w:szCs w:val="22"/>
                <w:color w:val="auto"/>
              </w:rPr>
            </w:pPr>
          </w:p>
        </w:tc>
        <w:tc>
          <w:tcPr>
            <w:tcW w:w="400" w:type="dxa"/>
            <w:vAlign w:val="bottom"/>
          </w:tcPr>
          <w:p>
            <w:pPr>
              <w:spacing w:after="0"/>
              <w:rPr>
                <w:sz w:val="22"/>
                <w:szCs w:val="22"/>
                <w:color w:val="auto"/>
              </w:rPr>
            </w:pPr>
          </w:p>
        </w:tc>
      </w:tr>
      <w:tr>
        <w:trPr>
          <w:trHeight w:val="250"/>
        </w:trPr>
        <w:tc>
          <w:tcPr>
            <w:tcW w:w="420" w:type="dxa"/>
            <w:vAlign w:val="bottom"/>
          </w:tcPr>
          <w:p>
            <w:pPr>
              <w:spacing w:after="0"/>
              <w:rPr>
                <w:sz w:val="21"/>
                <w:szCs w:val="21"/>
                <w:color w:val="auto"/>
              </w:rPr>
            </w:pP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 - unaudited)</w:t>
            </w:r>
          </w:p>
        </w:tc>
        <w:tc>
          <w:tcPr>
            <w:tcW w:w="5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400" w:type="dxa"/>
            <w:vAlign w:val="bottom"/>
          </w:tcPr>
          <w:p>
            <w:pPr>
              <w:spacing w:after="0"/>
              <w:rPr>
                <w:sz w:val="21"/>
                <w:szCs w:val="21"/>
                <w:color w:val="auto"/>
              </w:rPr>
            </w:pPr>
          </w:p>
        </w:tc>
      </w:tr>
      <w:tr>
        <w:trPr>
          <w:trHeight w:val="257"/>
        </w:trPr>
        <w:tc>
          <w:tcPr>
            <w:tcW w:w="420" w:type="dxa"/>
            <w:vAlign w:val="bottom"/>
          </w:tcPr>
          <w:p>
            <w:pPr>
              <w:spacing w:after="0"/>
              <w:rPr>
                <w:sz w:val="22"/>
                <w:szCs w:val="22"/>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SALES</w:t>
            </w:r>
          </w:p>
        </w:tc>
        <w:tc>
          <w:tcPr>
            <w:tcW w:w="50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400" w:type="dxa"/>
            <w:vAlign w:val="bottom"/>
          </w:tcPr>
          <w:p>
            <w:pPr>
              <w:spacing w:after="0"/>
              <w:rPr>
                <w:sz w:val="22"/>
                <w:szCs w:val="22"/>
                <w:color w:val="auto"/>
              </w:rPr>
            </w:pPr>
          </w:p>
        </w:tc>
      </w:tr>
      <w:tr>
        <w:trPr>
          <w:trHeight w:val="250"/>
        </w:trPr>
        <w:tc>
          <w:tcPr>
            <w:tcW w:w="420" w:type="dxa"/>
            <w:vAlign w:val="bottom"/>
          </w:tcPr>
          <w:p>
            <w:pPr>
              <w:spacing w:after="0"/>
              <w:rPr>
                <w:sz w:val="21"/>
                <w:szCs w:val="21"/>
                <w:color w:val="auto"/>
              </w:rPr>
            </w:pPr>
          </w:p>
        </w:tc>
        <w:tc>
          <w:tcPr>
            <w:tcW w:w="3600" w:type="dxa"/>
            <w:vAlign w:val="bottom"/>
          </w:tcPr>
          <w:p>
            <w:pPr>
              <w:ind w:left="260"/>
              <w:spacing w:after="0"/>
              <w:rPr>
                <w:sz w:val="20"/>
                <w:szCs w:val="20"/>
                <w:color w:val="auto"/>
              </w:rPr>
            </w:pPr>
            <w:r>
              <w:rPr>
                <w:rFonts w:ascii="Arial" w:cs="Arial" w:eastAsia="Arial" w:hAnsi="Arial"/>
                <w:sz w:val="18"/>
                <w:szCs w:val="18"/>
                <w:i w:val="1"/>
                <w:iCs w:val="1"/>
                <w:color w:val="auto"/>
              </w:rPr>
              <w:t>Life Sciences</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193</w:t>
            </w:r>
          </w:p>
        </w:tc>
        <w:tc>
          <w:tcPr>
            <w:tcW w:w="180" w:type="dxa"/>
            <w:vAlign w:val="bottom"/>
          </w:tcPr>
          <w:p>
            <w:pPr>
              <w:spacing w:after="0"/>
              <w:rPr>
                <w:sz w:val="21"/>
                <w:szCs w:val="21"/>
                <w:color w:val="auto"/>
              </w:rPr>
            </w:pP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189</w:t>
            </w:r>
          </w:p>
        </w:tc>
        <w:tc>
          <w:tcPr>
            <w:tcW w:w="64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548</w:t>
            </w:r>
          </w:p>
        </w:tc>
        <w:tc>
          <w:tcPr>
            <w:tcW w:w="96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528</w:t>
            </w:r>
          </w:p>
        </w:tc>
        <w:tc>
          <w:tcPr>
            <w:tcW w:w="400" w:type="dxa"/>
            <w:vAlign w:val="bottom"/>
          </w:tcPr>
          <w:p>
            <w:pPr>
              <w:spacing w:after="0"/>
              <w:rPr>
                <w:sz w:val="21"/>
                <w:szCs w:val="21"/>
                <w:color w:val="auto"/>
              </w:rPr>
            </w:pPr>
          </w:p>
        </w:tc>
      </w:tr>
      <w:tr>
        <w:trPr>
          <w:trHeight w:val="263"/>
        </w:trPr>
        <w:tc>
          <w:tcPr>
            <w:tcW w:w="420" w:type="dxa"/>
            <w:vAlign w:val="bottom"/>
          </w:tcPr>
          <w:p>
            <w:pPr>
              <w:spacing w:after="0"/>
              <w:rPr>
                <w:sz w:val="22"/>
                <w:szCs w:val="22"/>
                <w:color w:val="auto"/>
              </w:rPr>
            </w:pPr>
          </w:p>
        </w:tc>
        <w:tc>
          <w:tcPr>
            <w:tcW w:w="36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i w:val="1"/>
                <w:iCs w:val="1"/>
                <w:color w:val="auto"/>
              </w:rPr>
              <w:t>Personal Care &amp; Household</w:t>
            </w:r>
          </w:p>
        </w:tc>
        <w:tc>
          <w:tcPr>
            <w:tcW w:w="50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147</w:t>
            </w:r>
          </w:p>
        </w:tc>
        <w:tc>
          <w:tcPr>
            <w:tcW w:w="18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155</w:t>
            </w:r>
          </w:p>
        </w:tc>
        <w:tc>
          <w:tcPr>
            <w:tcW w:w="16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409</w:t>
            </w:r>
          </w:p>
        </w:tc>
        <w:tc>
          <w:tcPr>
            <w:tcW w:w="16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451</w:t>
            </w:r>
          </w:p>
        </w:tc>
        <w:tc>
          <w:tcPr>
            <w:tcW w:w="400" w:type="dxa"/>
            <w:vAlign w:val="bottom"/>
          </w:tcPr>
          <w:p>
            <w:pPr>
              <w:spacing w:after="0"/>
              <w:rPr>
                <w:sz w:val="22"/>
                <w:szCs w:val="22"/>
                <w:color w:val="auto"/>
              </w:rPr>
            </w:pPr>
          </w:p>
        </w:tc>
      </w:tr>
      <w:tr>
        <w:trPr>
          <w:trHeight w:val="250"/>
        </w:trPr>
        <w:tc>
          <w:tcPr>
            <w:tcW w:w="420" w:type="dxa"/>
            <w:vAlign w:val="bottom"/>
          </w:tcPr>
          <w:p>
            <w:pPr>
              <w:spacing w:after="0"/>
              <w:rPr>
                <w:sz w:val="21"/>
                <w:szCs w:val="21"/>
                <w:color w:val="auto"/>
              </w:rPr>
            </w:pPr>
          </w:p>
        </w:tc>
        <w:tc>
          <w:tcPr>
            <w:tcW w:w="3600" w:type="dxa"/>
            <w:vAlign w:val="bottom"/>
          </w:tcPr>
          <w:p>
            <w:pPr>
              <w:ind w:left="260"/>
              <w:spacing w:after="0"/>
              <w:rPr>
                <w:sz w:val="20"/>
                <w:szCs w:val="20"/>
                <w:color w:val="auto"/>
              </w:rPr>
            </w:pPr>
            <w:r>
              <w:rPr>
                <w:rFonts w:ascii="Arial" w:cs="Arial" w:eastAsia="Arial" w:hAnsi="Arial"/>
                <w:sz w:val="18"/>
                <w:szCs w:val="18"/>
                <w:color w:val="auto"/>
              </w:rPr>
              <w:t>Consumer Specialties</w:t>
            </w:r>
          </w:p>
        </w:tc>
        <w:tc>
          <w:tcPr>
            <w:tcW w:w="5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340</w:t>
            </w:r>
          </w:p>
        </w:tc>
        <w:tc>
          <w:tcPr>
            <w:tcW w:w="18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344</w:t>
            </w:r>
          </w:p>
        </w:tc>
        <w:tc>
          <w:tcPr>
            <w:tcW w:w="1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957</w:t>
            </w:r>
          </w:p>
        </w:tc>
        <w:tc>
          <w:tcPr>
            <w:tcW w:w="16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979</w:t>
            </w:r>
          </w:p>
        </w:tc>
        <w:tc>
          <w:tcPr>
            <w:tcW w:w="40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3600" w:type="dxa"/>
            <w:vAlign w:val="bottom"/>
            <w:shd w:val="clear" w:color="auto" w:fill="CFF0FC"/>
          </w:tcPr>
          <w:p>
            <w:pPr>
              <w:ind w:left="260"/>
              <w:spacing w:after="0"/>
              <w:rPr>
                <w:sz w:val="20"/>
                <w:szCs w:val="20"/>
                <w:color w:val="auto"/>
              </w:rPr>
            </w:pPr>
            <w:r>
              <w:rPr>
                <w:rFonts w:ascii="Arial" w:cs="Arial" w:eastAsia="Arial" w:hAnsi="Arial"/>
                <w:sz w:val="18"/>
                <w:szCs w:val="18"/>
                <w:i w:val="1"/>
                <w:iCs w:val="1"/>
                <w:color w:val="auto"/>
              </w:rPr>
              <w:t>Specialty Additives</w:t>
            </w:r>
          </w:p>
        </w:tc>
        <w:tc>
          <w:tcPr>
            <w:tcW w:w="5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169</w:t>
            </w: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474</w:t>
            </w: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429</w:t>
            </w:r>
          </w:p>
        </w:tc>
        <w:tc>
          <w:tcPr>
            <w:tcW w:w="400" w:type="dxa"/>
            <w:vAlign w:val="bottom"/>
          </w:tcPr>
          <w:p>
            <w:pPr>
              <w:spacing w:after="0"/>
              <w:rPr>
                <w:sz w:val="21"/>
                <w:szCs w:val="21"/>
                <w:color w:val="auto"/>
              </w:rPr>
            </w:pPr>
          </w:p>
        </w:tc>
      </w:tr>
      <w:tr>
        <w:trPr>
          <w:trHeight w:val="257"/>
        </w:trPr>
        <w:tc>
          <w:tcPr>
            <w:tcW w:w="420" w:type="dxa"/>
            <w:vAlign w:val="bottom"/>
          </w:tcPr>
          <w:p>
            <w:pPr>
              <w:spacing w:after="0"/>
              <w:rPr>
                <w:sz w:val="22"/>
                <w:szCs w:val="22"/>
                <w:color w:val="auto"/>
              </w:rPr>
            </w:pPr>
          </w:p>
        </w:tc>
        <w:tc>
          <w:tcPr>
            <w:tcW w:w="3600" w:type="dxa"/>
            <w:vAlign w:val="bottom"/>
          </w:tcPr>
          <w:p>
            <w:pPr>
              <w:ind w:left="260"/>
              <w:spacing w:after="0"/>
              <w:rPr>
                <w:sz w:val="20"/>
                <w:szCs w:val="20"/>
                <w:color w:val="auto"/>
              </w:rPr>
            </w:pPr>
            <w:r>
              <w:rPr>
                <w:rFonts w:ascii="Arial" w:cs="Arial" w:eastAsia="Arial" w:hAnsi="Arial"/>
                <w:sz w:val="18"/>
                <w:szCs w:val="18"/>
                <w:i w:val="1"/>
                <w:iCs w:val="1"/>
                <w:color w:val="auto"/>
              </w:rPr>
              <w:t>Performance Adhesives</w:t>
            </w: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267</w:t>
            </w:r>
          </w:p>
        </w:tc>
        <w:tc>
          <w:tcPr>
            <w:tcW w:w="16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229</w:t>
            </w:r>
          </w:p>
        </w:tc>
        <w:tc>
          <w:tcPr>
            <w:tcW w:w="400" w:type="dxa"/>
            <w:vAlign w:val="bottom"/>
          </w:tcPr>
          <w:p>
            <w:pPr>
              <w:spacing w:after="0"/>
              <w:rPr>
                <w:sz w:val="22"/>
                <w:szCs w:val="22"/>
                <w:color w:val="auto"/>
              </w:rPr>
            </w:pPr>
          </w:p>
        </w:tc>
      </w:tr>
      <w:tr>
        <w:trPr>
          <w:trHeight w:val="250"/>
        </w:trPr>
        <w:tc>
          <w:tcPr>
            <w:tcW w:w="420" w:type="dxa"/>
            <w:vAlign w:val="bottom"/>
          </w:tcPr>
          <w:p>
            <w:pPr>
              <w:spacing w:after="0"/>
              <w:rPr>
                <w:sz w:val="21"/>
                <w:szCs w:val="21"/>
                <w:color w:val="auto"/>
              </w:rPr>
            </w:pPr>
          </w:p>
        </w:tc>
        <w:tc>
          <w:tcPr>
            <w:tcW w:w="36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Industrial Specialties</w:t>
            </w:r>
          </w:p>
        </w:tc>
        <w:tc>
          <w:tcPr>
            <w:tcW w:w="5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263</w:t>
            </w:r>
          </w:p>
        </w:tc>
        <w:tc>
          <w:tcPr>
            <w:tcW w:w="18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205</w:t>
            </w:r>
          </w:p>
        </w:tc>
        <w:tc>
          <w:tcPr>
            <w:tcW w:w="1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741</w:t>
            </w:r>
          </w:p>
        </w:tc>
        <w:tc>
          <w:tcPr>
            <w:tcW w:w="1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658</w:t>
            </w:r>
          </w:p>
        </w:tc>
        <w:tc>
          <w:tcPr>
            <w:tcW w:w="400" w:type="dxa"/>
            <w:vAlign w:val="bottom"/>
          </w:tcPr>
          <w:p>
            <w:pPr>
              <w:spacing w:after="0"/>
              <w:rPr>
                <w:sz w:val="21"/>
                <w:szCs w:val="21"/>
                <w:color w:val="auto"/>
              </w:rPr>
            </w:pPr>
          </w:p>
        </w:tc>
      </w:tr>
      <w:tr>
        <w:trPr>
          <w:trHeight w:val="243"/>
        </w:trPr>
        <w:tc>
          <w:tcPr>
            <w:tcW w:w="420" w:type="dxa"/>
            <w:vAlign w:val="bottom"/>
          </w:tcPr>
          <w:p>
            <w:pPr>
              <w:spacing w:after="0"/>
              <w:rPr>
                <w:sz w:val="21"/>
                <w:szCs w:val="21"/>
                <w:color w:val="auto"/>
              </w:rPr>
            </w:pPr>
          </w:p>
        </w:tc>
        <w:tc>
          <w:tcPr>
            <w:tcW w:w="3600" w:type="dxa"/>
            <w:vAlign w:val="bottom"/>
          </w:tcPr>
          <w:p>
            <w:pPr>
              <w:ind w:left="260"/>
              <w:spacing w:after="0"/>
              <w:rPr>
                <w:sz w:val="20"/>
                <w:szCs w:val="20"/>
                <w:color w:val="auto"/>
              </w:rPr>
            </w:pPr>
            <w:r>
              <w:rPr>
                <w:rFonts w:ascii="Arial" w:cs="Arial" w:eastAsia="Arial" w:hAnsi="Arial"/>
                <w:sz w:val="18"/>
                <w:szCs w:val="18"/>
                <w:i w:val="1"/>
                <w:iCs w:val="1"/>
                <w:color w:val="auto"/>
              </w:rPr>
              <w:t>Intermediates and Solvents</w:t>
            </w:r>
          </w:p>
        </w:tc>
        <w:tc>
          <w:tcPr>
            <w:tcW w:w="5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21"/>
                <w:szCs w:val="21"/>
                <w:color w:val="auto"/>
              </w:rPr>
            </w:pPr>
          </w:p>
        </w:tc>
      </w:tr>
      <w:tr>
        <w:trPr>
          <w:trHeight w:val="263"/>
        </w:trPr>
        <w:tc>
          <w:tcPr>
            <w:tcW w:w="420" w:type="dxa"/>
            <w:vAlign w:val="bottom"/>
          </w:tcPr>
          <w:p>
            <w:pPr>
              <w:spacing w:after="0"/>
              <w:rPr>
                <w:sz w:val="22"/>
                <w:szCs w:val="22"/>
                <w:color w:val="auto"/>
              </w:rPr>
            </w:pPr>
          </w:p>
        </w:tc>
        <w:tc>
          <w:tcPr>
            <w:tcW w:w="3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Intersegment sales </w:t>
            </w:r>
            <w:r>
              <w:rPr>
                <w:rFonts w:ascii="Arial" w:cs="Arial" w:eastAsia="Arial" w:hAnsi="Arial"/>
                <w:sz w:val="14"/>
                <w:szCs w:val="14"/>
                <w:color w:val="auto"/>
              </w:rPr>
              <w:t>(a)</w:t>
            </w:r>
          </w:p>
        </w:tc>
        <w:tc>
          <w:tcPr>
            <w:tcW w:w="50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400" w:type="dxa"/>
            <w:vAlign w:val="bottom"/>
          </w:tcPr>
          <w:p>
            <w:pPr>
              <w:spacing w:after="0"/>
              <w:rPr>
                <w:sz w:val="22"/>
                <w:szCs w:val="22"/>
                <w:color w:val="auto"/>
              </w:rPr>
            </w:pPr>
          </w:p>
        </w:tc>
      </w:tr>
      <w:tr>
        <w:trPr>
          <w:trHeight w:val="256"/>
        </w:trPr>
        <w:tc>
          <w:tcPr>
            <w:tcW w:w="420" w:type="dxa"/>
            <w:vAlign w:val="bottom"/>
          </w:tcPr>
          <w:p>
            <w:pPr>
              <w:spacing w:after="0"/>
              <w:rPr>
                <w:sz w:val="22"/>
                <w:szCs w:val="22"/>
                <w:color w:val="auto"/>
              </w:rPr>
            </w:pPr>
          </w:p>
        </w:tc>
        <w:tc>
          <w:tcPr>
            <w:tcW w:w="3600" w:type="dxa"/>
            <w:vAlign w:val="bottom"/>
          </w:tcPr>
          <w:p>
            <w:pPr>
              <w:ind w:left="380"/>
              <w:spacing w:after="0"/>
              <w:rPr>
                <w:sz w:val="20"/>
                <w:szCs w:val="20"/>
                <w:color w:val="auto"/>
              </w:rPr>
            </w:pPr>
            <w:r>
              <w:rPr>
                <w:rFonts w:ascii="Arial" w:cs="Arial" w:eastAsia="Arial" w:hAnsi="Arial"/>
                <w:sz w:val="18"/>
                <w:szCs w:val="18"/>
                <w:color w:val="auto"/>
              </w:rPr>
              <w:t>Intermediates and Solvents</w:t>
            </w: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(15 )</w:t>
            </w:r>
          </w:p>
        </w:tc>
        <w:tc>
          <w:tcPr>
            <w:tcW w:w="18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1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(30 )</w:t>
            </w:r>
          </w:p>
        </w:tc>
        <w:tc>
          <w:tcPr>
            <w:tcW w:w="16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(22 )</w:t>
            </w:r>
          </w:p>
        </w:tc>
        <w:tc>
          <w:tcPr>
            <w:tcW w:w="400" w:type="dxa"/>
            <w:vAlign w:val="bottom"/>
          </w:tcPr>
          <w:p>
            <w:pPr>
              <w:spacing w:after="0"/>
              <w:rPr>
                <w:sz w:val="22"/>
                <w:szCs w:val="22"/>
                <w:color w:val="auto"/>
              </w:rPr>
            </w:pPr>
          </w:p>
        </w:tc>
      </w:tr>
      <w:tr>
        <w:trPr>
          <w:trHeight w:val="284"/>
        </w:trPr>
        <w:tc>
          <w:tcPr>
            <w:tcW w:w="420" w:type="dxa"/>
            <w:vAlign w:val="bottom"/>
          </w:tcPr>
          <w:p>
            <w:pPr>
              <w:spacing w:after="0"/>
              <w:rPr>
                <w:sz w:val="24"/>
                <w:szCs w:val="24"/>
                <w:color w:val="auto"/>
              </w:rPr>
            </w:pPr>
          </w:p>
        </w:tc>
        <w:tc>
          <w:tcPr>
            <w:tcW w:w="3600" w:type="dxa"/>
            <w:vAlign w:val="bottom"/>
            <w:shd w:val="clear" w:color="auto" w:fill="CFF0FC"/>
          </w:tcPr>
          <w:p>
            <w:pPr>
              <w:spacing w:after="0"/>
              <w:rPr>
                <w:sz w:val="24"/>
                <w:szCs w:val="24"/>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637</w:t>
            </w:r>
          </w:p>
        </w:tc>
        <w:tc>
          <w:tcPr>
            <w:tcW w:w="180" w:type="dxa"/>
            <w:vAlign w:val="bottom"/>
            <w:shd w:val="clear" w:color="auto" w:fill="CFF0FC"/>
          </w:tcPr>
          <w:p>
            <w:pPr>
              <w:spacing w:after="0"/>
              <w:rPr>
                <w:sz w:val="24"/>
                <w:szCs w:val="24"/>
                <w:color w:val="auto"/>
              </w:rPr>
            </w:pPr>
          </w:p>
        </w:tc>
        <w:tc>
          <w:tcPr>
            <w:tcW w:w="84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574</w:t>
            </w:r>
          </w:p>
        </w:tc>
        <w:tc>
          <w:tcPr>
            <w:tcW w:w="64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1,786</w:t>
            </w:r>
          </w:p>
        </w:tc>
        <w:tc>
          <w:tcPr>
            <w:tcW w:w="960" w:type="dxa"/>
            <w:vAlign w:val="bottom"/>
            <w:gridSpan w:val="2"/>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1,717</w:t>
            </w:r>
          </w:p>
        </w:tc>
        <w:tc>
          <w:tcPr>
            <w:tcW w:w="400" w:type="dxa"/>
            <w:vAlign w:val="bottom"/>
          </w:tcPr>
          <w:p>
            <w:pPr>
              <w:spacing w:after="0"/>
              <w:rPr>
                <w:sz w:val="24"/>
                <w:szCs w:val="24"/>
                <w:color w:val="auto"/>
              </w:rPr>
            </w:pPr>
          </w:p>
        </w:tc>
      </w:tr>
      <w:tr>
        <w:trPr>
          <w:trHeight w:val="237"/>
        </w:trPr>
        <w:tc>
          <w:tcPr>
            <w:tcW w:w="420" w:type="dxa"/>
            <w:vAlign w:val="bottom"/>
          </w:tcPr>
          <w:p>
            <w:pPr>
              <w:spacing w:after="0"/>
              <w:rPr>
                <w:sz w:val="20"/>
                <w:szCs w:val="20"/>
                <w:color w:val="auto"/>
              </w:rPr>
            </w:pPr>
          </w:p>
        </w:tc>
        <w:tc>
          <w:tcPr>
            <w:tcW w:w="360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OPERATING INCOME (LOSS)</w:t>
            </w:r>
          </w:p>
        </w:tc>
        <w:tc>
          <w:tcPr>
            <w:tcW w:w="5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r>
      <w:tr>
        <w:trPr>
          <w:trHeight w:val="263"/>
        </w:trPr>
        <w:tc>
          <w:tcPr>
            <w:tcW w:w="420" w:type="dxa"/>
            <w:vAlign w:val="bottom"/>
          </w:tcPr>
          <w:p>
            <w:pPr>
              <w:spacing w:after="0"/>
              <w:rPr>
                <w:sz w:val="22"/>
                <w:szCs w:val="22"/>
                <w:color w:val="auto"/>
              </w:rPr>
            </w:pPr>
          </w:p>
        </w:tc>
        <w:tc>
          <w:tcPr>
            <w:tcW w:w="3600" w:type="dxa"/>
            <w:vAlign w:val="bottom"/>
            <w:shd w:val="clear" w:color="auto" w:fill="CFF0FC"/>
          </w:tcPr>
          <w:p>
            <w:pPr>
              <w:ind w:left="260"/>
              <w:spacing w:after="0"/>
              <w:rPr>
                <w:sz w:val="20"/>
                <w:szCs w:val="20"/>
                <w:color w:val="auto"/>
              </w:rPr>
            </w:pPr>
            <w:r>
              <w:rPr>
                <w:rFonts w:ascii="Arial" w:cs="Arial" w:eastAsia="Arial" w:hAnsi="Arial"/>
                <w:sz w:val="18"/>
                <w:szCs w:val="18"/>
                <w:i w:val="1"/>
                <w:iCs w:val="1"/>
                <w:color w:val="auto"/>
              </w:rPr>
              <w:t>Life Sciences</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40</w:t>
            </w:r>
          </w:p>
        </w:tc>
        <w:tc>
          <w:tcPr>
            <w:tcW w:w="64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101</w:t>
            </w:r>
          </w:p>
        </w:tc>
        <w:tc>
          <w:tcPr>
            <w:tcW w:w="960" w:type="dxa"/>
            <w:vAlign w:val="bottom"/>
            <w:gridSpan w:val="2"/>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97</w:t>
            </w:r>
          </w:p>
        </w:tc>
        <w:tc>
          <w:tcPr>
            <w:tcW w:w="400" w:type="dxa"/>
            <w:vAlign w:val="bottom"/>
          </w:tcPr>
          <w:p>
            <w:pPr>
              <w:spacing w:after="0"/>
              <w:rPr>
                <w:sz w:val="22"/>
                <w:szCs w:val="22"/>
                <w:color w:val="auto"/>
              </w:rPr>
            </w:pPr>
          </w:p>
        </w:tc>
      </w:tr>
      <w:tr>
        <w:trPr>
          <w:trHeight w:val="257"/>
        </w:trPr>
        <w:tc>
          <w:tcPr>
            <w:tcW w:w="420" w:type="dxa"/>
            <w:vAlign w:val="bottom"/>
          </w:tcPr>
          <w:p>
            <w:pPr>
              <w:spacing w:after="0"/>
              <w:rPr>
                <w:sz w:val="22"/>
                <w:szCs w:val="22"/>
                <w:color w:val="auto"/>
              </w:rPr>
            </w:pPr>
          </w:p>
        </w:tc>
        <w:tc>
          <w:tcPr>
            <w:tcW w:w="3600" w:type="dxa"/>
            <w:vAlign w:val="bottom"/>
          </w:tcPr>
          <w:p>
            <w:pPr>
              <w:ind w:left="260"/>
              <w:spacing w:after="0"/>
              <w:rPr>
                <w:sz w:val="20"/>
                <w:szCs w:val="20"/>
                <w:color w:val="auto"/>
              </w:rPr>
            </w:pPr>
            <w:r>
              <w:rPr>
                <w:rFonts w:ascii="Arial" w:cs="Arial" w:eastAsia="Arial" w:hAnsi="Arial"/>
                <w:sz w:val="18"/>
                <w:szCs w:val="18"/>
                <w:i w:val="1"/>
                <w:iCs w:val="1"/>
                <w:color w:val="auto"/>
              </w:rPr>
              <w:t>Personal Care &amp; Household</w:t>
            </w: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(309 )</w:t>
            </w:r>
          </w:p>
        </w:tc>
        <w:tc>
          <w:tcPr>
            <w:tcW w:w="400" w:type="dxa"/>
            <w:vAlign w:val="bottom"/>
          </w:tcPr>
          <w:p>
            <w:pPr>
              <w:spacing w:after="0"/>
              <w:rPr>
                <w:sz w:val="22"/>
                <w:szCs w:val="22"/>
                <w:color w:val="auto"/>
              </w:rPr>
            </w:pPr>
          </w:p>
        </w:tc>
      </w:tr>
      <w:tr>
        <w:trPr>
          <w:trHeight w:val="250"/>
        </w:trPr>
        <w:tc>
          <w:tcPr>
            <w:tcW w:w="420" w:type="dxa"/>
            <w:vAlign w:val="bottom"/>
          </w:tcPr>
          <w:p>
            <w:pPr>
              <w:spacing w:after="0"/>
              <w:rPr>
                <w:sz w:val="21"/>
                <w:szCs w:val="21"/>
                <w:color w:val="auto"/>
              </w:rPr>
            </w:pPr>
          </w:p>
        </w:tc>
        <w:tc>
          <w:tcPr>
            <w:tcW w:w="36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Consumer Specialties</w:t>
            </w:r>
          </w:p>
        </w:tc>
        <w:tc>
          <w:tcPr>
            <w:tcW w:w="5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w:t>
            </w:r>
          </w:p>
        </w:tc>
        <w:tc>
          <w:tcPr>
            <w:tcW w:w="18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56</w:t>
            </w:r>
          </w:p>
        </w:tc>
        <w:tc>
          <w:tcPr>
            <w:tcW w:w="1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150</w:t>
            </w:r>
          </w:p>
        </w:tc>
        <w:tc>
          <w:tcPr>
            <w:tcW w:w="1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(212 )</w:t>
            </w:r>
          </w:p>
        </w:tc>
        <w:tc>
          <w:tcPr>
            <w:tcW w:w="400" w:type="dxa"/>
            <w:vAlign w:val="bottom"/>
          </w:tcPr>
          <w:p>
            <w:pPr>
              <w:spacing w:after="0"/>
              <w:rPr>
                <w:sz w:val="21"/>
                <w:szCs w:val="21"/>
                <w:color w:val="auto"/>
              </w:rPr>
            </w:pPr>
          </w:p>
        </w:tc>
      </w:tr>
      <w:tr>
        <w:trPr>
          <w:trHeight w:val="243"/>
        </w:trPr>
        <w:tc>
          <w:tcPr>
            <w:tcW w:w="420" w:type="dxa"/>
            <w:vAlign w:val="bottom"/>
          </w:tcPr>
          <w:p>
            <w:pPr>
              <w:spacing w:after="0"/>
              <w:rPr>
                <w:sz w:val="21"/>
                <w:szCs w:val="21"/>
                <w:color w:val="auto"/>
              </w:rPr>
            </w:pPr>
          </w:p>
        </w:tc>
        <w:tc>
          <w:tcPr>
            <w:tcW w:w="3600" w:type="dxa"/>
            <w:vAlign w:val="bottom"/>
          </w:tcPr>
          <w:p>
            <w:pPr>
              <w:ind w:left="260"/>
              <w:spacing w:after="0"/>
              <w:rPr>
                <w:sz w:val="20"/>
                <w:szCs w:val="20"/>
                <w:color w:val="auto"/>
              </w:rPr>
            </w:pPr>
            <w:r>
              <w:rPr>
                <w:rFonts w:ascii="Arial" w:cs="Arial" w:eastAsia="Arial" w:hAnsi="Arial"/>
                <w:sz w:val="18"/>
                <w:szCs w:val="18"/>
                <w:i w:val="1"/>
                <w:iCs w:val="1"/>
                <w:color w:val="auto"/>
              </w:rPr>
              <w:t xml:space="preserve">Specialty Additives </w:t>
            </w:r>
            <w:r>
              <w:rPr>
                <w:rFonts w:ascii="Arial" w:cs="Arial" w:eastAsia="Arial" w:hAnsi="Arial"/>
                <w:sz w:val="14"/>
                <w:szCs w:val="14"/>
                <w:color w:val="auto"/>
              </w:rPr>
              <w:t>(b)</w:t>
            </w:r>
          </w:p>
        </w:tc>
        <w:tc>
          <w:tcPr>
            <w:tcW w:w="5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(137 )</w:t>
            </w:r>
          </w:p>
        </w:tc>
        <w:tc>
          <w:tcPr>
            <w:tcW w:w="400" w:type="dxa"/>
            <w:vAlign w:val="bottom"/>
          </w:tcPr>
          <w:p>
            <w:pPr>
              <w:spacing w:after="0"/>
              <w:rPr>
                <w:sz w:val="21"/>
                <w:szCs w:val="21"/>
                <w:color w:val="auto"/>
              </w:rPr>
            </w:pPr>
          </w:p>
        </w:tc>
      </w:tr>
      <w:tr>
        <w:trPr>
          <w:trHeight w:val="263"/>
        </w:trPr>
        <w:tc>
          <w:tcPr>
            <w:tcW w:w="420" w:type="dxa"/>
            <w:vAlign w:val="bottom"/>
          </w:tcPr>
          <w:p>
            <w:pPr>
              <w:spacing w:after="0"/>
              <w:rPr>
                <w:sz w:val="22"/>
                <w:szCs w:val="22"/>
                <w:color w:val="auto"/>
              </w:rPr>
            </w:pPr>
          </w:p>
        </w:tc>
        <w:tc>
          <w:tcPr>
            <w:tcW w:w="36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i w:val="1"/>
                <w:iCs w:val="1"/>
                <w:color w:val="auto"/>
              </w:rPr>
              <w:t>Performance Adhesives</w:t>
            </w:r>
          </w:p>
        </w:tc>
        <w:tc>
          <w:tcPr>
            <w:tcW w:w="50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52</w:t>
            </w:r>
          </w:p>
        </w:tc>
        <w:tc>
          <w:tcPr>
            <w:tcW w:w="16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40</w:t>
            </w:r>
          </w:p>
        </w:tc>
        <w:tc>
          <w:tcPr>
            <w:tcW w:w="400" w:type="dxa"/>
            <w:vAlign w:val="bottom"/>
          </w:tcPr>
          <w:p>
            <w:pPr>
              <w:spacing w:after="0"/>
              <w:rPr>
                <w:sz w:val="22"/>
                <w:szCs w:val="22"/>
                <w:color w:val="auto"/>
              </w:rPr>
            </w:pPr>
          </w:p>
        </w:tc>
      </w:tr>
      <w:tr>
        <w:trPr>
          <w:trHeight w:val="250"/>
        </w:trPr>
        <w:tc>
          <w:tcPr>
            <w:tcW w:w="420" w:type="dxa"/>
            <w:vAlign w:val="bottom"/>
          </w:tcPr>
          <w:p>
            <w:pPr>
              <w:spacing w:after="0"/>
              <w:rPr>
                <w:sz w:val="21"/>
                <w:szCs w:val="21"/>
                <w:color w:val="auto"/>
              </w:rPr>
            </w:pPr>
          </w:p>
        </w:tc>
        <w:tc>
          <w:tcPr>
            <w:tcW w:w="3600" w:type="dxa"/>
            <w:vAlign w:val="bottom"/>
          </w:tcPr>
          <w:p>
            <w:pPr>
              <w:ind w:left="260"/>
              <w:spacing w:after="0"/>
              <w:rPr>
                <w:sz w:val="20"/>
                <w:szCs w:val="20"/>
                <w:color w:val="auto"/>
              </w:rPr>
            </w:pPr>
            <w:r>
              <w:rPr>
                <w:rFonts w:ascii="Arial" w:cs="Arial" w:eastAsia="Arial" w:hAnsi="Arial"/>
                <w:sz w:val="18"/>
                <w:szCs w:val="18"/>
                <w:color w:val="auto"/>
              </w:rPr>
              <w:t>Industrial Specialties</w:t>
            </w:r>
          </w:p>
        </w:tc>
        <w:tc>
          <w:tcPr>
            <w:tcW w:w="5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(97 )</w:t>
            </w:r>
          </w:p>
        </w:tc>
        <w:tc>
          <w:tcPr>
            <w:tcW w:w="40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3600" w:type="dxa"/>
            <w:vAlign w:val="bottom"/>
            <w:shd w:val="clear" w:color="auto" w:fill="CFF0FC"/>
          </w:tcPr>
          <w:p>
            <w:pPr>
              <w:ind w:left="260"/>
              <w:spacing w:after="0"/>
              <w:rPr>
                <w:sz w:val="20"/>
                <w:szCs w:val="20"/>
                <w:color w:val="auto"/>
              </w:rPr>
            </w:pPr>
            <w:r>
              <w:rPr>
                <w:rFonts w:ascii="Arial" w:cs="Arial" w:eastAsia="Arial" w:hAnsi="Arial"/>
                <w:sz w:val="18"/>
                <w:szCs w:val="18"/>
                <w:i w:val="1"/>
                <w:iCs w:val="1"/>
                <w:color w:val="auto"/>
              </w:rPr>
              <w:t>Intermediates and Solvents</w:t>
            </w:r>
          </w:p>
        </w:tc>
        <w:tc>
          <w:tcPr>
            <w:tcW w:w="5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(7 )</w:t>
            </w:r>
          </w:p>
        </w:tc>
        <w:tc>
          <w:tcPr>
            <w:tcW w:w="400" w:type="dxa"/>
            <w:vAlign w:val="bottom"/>
          </w:tcPr>
          <w:p>
            <w:pPr>
              <w:spacing w:after="0"/>
              <w:rPr>
                <w:sz w:val="21"/>
                <w:szCs w:val="21"/>
                <w:color w:val="auto"/>
              </w:rPr>
            </w:pPr>
          </w:p>
        </w:tc>
      </w:tr>
      <w:tr>
        <w:trPr>
          <w:trHeight w:val="257"/>
        </w:trPr>
        <w:tc>
          <w:tcPr>
            <w:tcW w:w="420" w:type="dxa"/>
            <w:vAlign w:val="bottom"/>
          </w:tcPr>
          <w:p>
            <w:pPr>
              <w:spacing w:after="0"/>
              <w:rPr>
                <w:sz w:val="22"/>
                <w:szCs w:val="22"/>
                <w:color w:val="auto"/>
              </w:rPr>
            </w:pPr>
          </w:p>
        </w:tc>
        <w:tc>
          <w:tcPr>
            <w:tcW w:w="3600" w:type="dxa"/>
            <w:vAlign w:val="bottom"/>
          </w:tcPr>
          <w:p>
            <w:pPr>
              <w:ind w:left="260"/>
              <w:spacing w:after="0"/>
              <w:rPr>
                <w:sz w:val="20"/>
                <w:szCs w:val="20"/>
                <w:color w:val="auto"/>
              </w:rPr>
            </w:pPr>
            <w:r>
              <w:rPr>
                <w:rFonts w:ascii="Arial" w:cs="Arial" w:eastAsia="Arial" w:hAnsi="Arial"/>
                <w:sz w:val="18"/>
                <w:szCs w:val="18"/>
                <w:i w:val="1"/>
                <w:iCs w:val="1"/>
                <w:color w:val="auto"/>
              </w:rPr>
              <w:t>Unallocated and other</w:t>
            </w: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(30 )</w:t>
            </w:r>
          </w:p>
        </w:tc>
        <w:tc>
          <w:tcPr>
            <w:tcW w:w="18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(43 )</w:t>
            </w:r>
          </w:p>
        </w:tc>
        <w:tc>
          <w:tcPr>
            <w:tcW w:w="1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(81 )</w:t>
            </w:r>
          </w:p>
        </w:tc>
        <w:tc>
          <w:tcPr>
            <w:tcW w:w="16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(87 )</w:t>
            </w:r>
          </w:p>
        </w:tc>
        <w:tc>
          <w:tcPr>
            <w:tcW w:w="400" w:type="dxa"/>
            <w:vAlign w:val="bottom"/>
          </w:tcPr>
          <w:p>
            <w:pPr>
              <w:spacing w:after="0"/>
              <w:rPr>
                <w:sz w:val="22"/>
                <w:szCs w:val="22"/>
                <w:color w:val="auto"/>
              </w:rPr>
            </w:pPr>
          </w:p>
        </w:tc>
      </w:tr>
      <w:tr>
        <w:trPr>
          <w:trHeight w:val="283"/>
        </w:trPr>
        <w:tc>
          <w:tcPr>
            <w:tcW w:w="420" w:type="dxa"/>
            <w:vAlign w:val="bottom"/>
          </w:tcPr>
          <w:p>
            <w:pPr>
              <w:spacing w:after="0"/>
              <w:rPr>
                <w:sz w:val="24"/>
                <w:szCs w:val="24"/>
                <w:color w:val="auto"/>
              </w:rPr>
            </w:pPr>
          </w:p>
        </w:tc>
        <w:tc>
          <w:tcPr>
            <w:tcW w:w="3600" w:type="dxa"/>
            <w:vAlign w:val="bottom"/>
            <w:shd w:val="clear" w:color="auto" w:fill="CFF0FC"/>
          </w:tcPr>
          <w:p>
            <w:pPr>
              <w:spacing w:after="0"/>
              <w:rPr>
                <w:sz w:val="24"/>
                <w:szCs w:val="24"/>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FF0FC"/>
          </w:tcPr>
          <w:p>
            <w:pPr>
              <w:spacing w:after="0"/>
              <w:rPr>
                <w:sz w:val="24"/>
                <w:szCs w:val="24"/>
                <w:color w:val="auto"/>
              </w:rPr>
            </w:pPr>
          </w:p>
        </w:tc>
        <w:tc>
          <w:tcPr>
            <w:tcW w:w="84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48</w:t>
            </w:r>
          </w:p>
        </w:tc>
        <w:tc>
          <w:tcPr>
            <w:tcW w:w="64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174</w:t>
            </w:r>
          </w:p>
        </w:tc>
        <w:tc>
          <w:tcPr>
            <w:tcW w:w="960" w:type="dxa"/>
            <w:vAlign w:val="bottom"/>
            <w:gridSpan w:val="2"/>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(403 )</w:t>
            </w:r>
          </w:p>
        </w:tc>
        <w:tc>
          <w:tcPr>
            <w:tcW w:w="400" w:type="dxa"/>
            <w:vAlign w:val="bottom"/>
          </w:tcPr>
          <w:p>
            <w:pPr>
              <w:spacing w:after="0"/>
              <w:rPr>
                <w:sz w:val="24"/>
                <w:szCs w:val="24"/>
                <w:color w:val="auto"/>
              </w:rPr>
            </w:pPr>
          </w:p>
        </w:tc>
      </w:tr>
      <w:tr>
        <w:trPr>
          <w:trHeight w:val="237"/>
        </w:trPr>
        <w:tc>
          <w:tcPr>
            <w:tcW w:w="420" w:type="dxa"/>
            <w:vAlign w:val="bottom"/>
          </w:tcPr>
          <w:p>
            <w:pPr>
              <w:spacing w:after="0"/>
              <w:rPr>
                <w:sz w:val="20"/>
                <w:szCs w:val="20"/>
                <w:color w:val="auto"/>
              </w:rPr>
            </w:pPr>
          </w:p>
        </w:tc>
        <w:tc>
          <w:tcPr>
            <w:tcW w:w="360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DEPRECIATION EXPENSE</w:t>
            </w:r>
          </w:p>
        </w:tc>
        <w:tc>
          <w:tcPr>
            <w:tcW w:w="5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r>
      <w:tr>
        <w:trPr>
          <w:trHeight w:val="263"/>
        </w:trPr>
        <w:tc>
          <w:tcPr>
            <w:tcW w:w="420" w:type="dxa"/>
            <w:vAlign w:val="bottom"/>
          </w:tcPr>
          <w:p>
            <w:pPr>
              <w:spacing w:after="0"/>
              <w:rPr>
                <w:sz w:val="22"/>
                <w:szCs w:val="22"/>
                <w:color w:val="auto"/>
              </w:rPr>
            </w:pPr>
          </w:p>
        </w:tc>
        <w:tc>
          <w:tcPr>
            <w:tcW w:w="3600" w:type="dxa"/>
            <w:vAlign w:val="bottom"/>
            <w:shd w:val="clear" w:color="auto" w:fill="CFF0FC"/>
          </w:tcPr>
          <w:p>
            <w:pPr>
              <w:ind w:left="260"/>
              <w:spacing w:after="0"/>
              <w:rPr>
                <w:sz w:val="20"/>
                <w:szCs w:val="20"/>
                <w:color w:val="auto"/>
              </w:rPr>
            </w:pPr>
            <w:r>
              <w:rPr>
                <w:rFonts w:ascii="Arial" w:cs="Arial" w:eastAsia="Arial" w:hAnsi="Arial"/>
                <w:sz w:val="18"/>
                <w:szCs w:val="18"/>
                <w:i w:val="1"/>
                <w:iCs w:val="1"/>
                <w:color w:val="auto"/>
              </w:rPr>
              <w:t>Life Sciences</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w:t>
            </w:r>
          </w:p>
        </w:tc>
        <w:tc>
          <w:tcPr>
            <w:tcW w:w="64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w:t>
            </w:r>
          </w:p>
        </w:tc>
        <w:tc>
          <w:tcPr>
            <w:tcW w:w="960" w:type="dxa"/>
            <w:vAlign w:val="bottom"/>
            <w:gridSpan w:val="2"/>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22"/>
                <w:szCs w:val="22"/>
                <w:color w:val="auto"/>
              </w:rPr>
            </w:pPr>
          </w:p>
        </w:tc>
      </w:tr>
      <w:tr>
        <w:trPr>
          <w:trHeight w:val="256"/>
        </w:trPr>
        <w:tc>
          <w:tcPr>
            <w:tcW w:w="420" w:type="dxa"/>
            <w:vAlign w:val="bottom"/>
          </w:tcPr>
          <w:p>
            <w:pPr>
              <w:spacing w:after="0"/>
              <w:rPr>
                <w:sz w:val="22"/>
                <w:szCs w:val="22"/>
                <w:color w:val="auto"/>
              </w:rPr>
            </w:pPr>
          </w:p>
        </w:tc>
        <w:tc>
          <w:tcPr>
            <w:tcW w:w="3600" w:type="dxa"/>
            <w:vAlign w:val="bottom"/>
          </w:tcPr>
          <w:p>
            <w:pPr>
              <w:ind w:left="260"/>
              <w:spacing w:after="0"/>
              <w:rPr>
                <w:sz w:val="20"/>
                <w:szCs w:val="20"/>
                <w:color w:val="auto"/>
              </w:rPr>
            </w:pPr>
            <w:r>
              <w:rPr>
                <w:rFonts w:ascii="Arial" w:cs="Arial" w:eastAsia="Arial" w:hAnsi="Arial"/>
                <w:sz w:val="18"/>
                <w:szCs w:val="18"/>
                <w:i w:val="1"/>
                <w:iCs w:val="1"/>
                <w:color w:val="auto"/>
              </w:rPr>
              <w:t>Personal Care &amp; Household</w:t>
            </w: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22"/>
                <w:szCs w:val="22"/>
                <w:color w:val="auto"/>
              </w:rPr>
            </w:pPr>
          </w:p>
        </w:tc>
      </w:tr>
      <w:tr>
        <w:trPr>
          <w:trHeight w:val="250"/>
        </w:trPr>
        <w:tc>
          <w:tcPr>
            <w:tcW w:w="420" w:type="dxa"/>
            <w:vAlign w:val="bottom"/>
          </w:tcPr>
          <w:p>
            <w:pPr>
              <w:spacing w:after="0"/>
              <w:rPr>
                <w:sz w:val="21"/>
                <w:szCs w:val="21"/>
                <w:color w:val="auto"/>
              </w:rPr>
            </w:pPr>
          </w:p>
        </w:tc>
        <w:tc>
          <w:tcPr>
            <w:tcW w:w="36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Consumer Specialties</w:t>
            </w:r>
          </w:p>
        </w:tc>
        <w:tc>
          <w:tcPr>
            <w:tcW w:w="5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55</w:t>
            </w:r>
          </w:p>
        </w:tc>
        <w:tc>
          <w:tcPr>
            <w:tcW w:w="1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54</w:t>
            </w:r>
          </w:p>
        </w:tc>
        <w:tc>
          <w:tcPr>
            <w:tcW w:w="400" w:type="dxa"/>
            <w:vAlign w:val="bottom"/>
          </w:tcPr>
          <w:p>
            <w:pPr>
              <w:spacing w:after="0"/>
              <w:rPr>
                <w:sz w:val="21"/>
                <w:szCs w:val="21"/>
                <w:color w:val="auto"/>
              </w:rPr>
            </w:pPr>
          </w:p>
        </w:tc>
      </w:tr>
      <w:tr>
        <w:trPr>
          <w:trHeight w:val="243"/>
        </w:trPr>
        <w:tc>
          <w:tcPr>
            <w:tcW w:w="420" w:type="dxa"/>
            <w:vAlign w:val="bottom"/>
          </w:tcPr>
          <w:p>
            <w:pPr>
              <w:spacing w:after="0"/>
              <w:rPr>
                <w:sz w:val="21"/>
                <w:szCs w:val="21"/>
                <w:color w:val="auto"/>
              </w:rPr>
            </w:pPr>
          </w:p>
        </w:tc>
        <w:tc>
          <w:tcPr>
            <w:tcW w:w="3600" w:type="dxa"/>
            <w:vAlign w:val="bottom"/>
          </w:tcPr>
          <w:p>
            <w:pPr>
              <w:ind w:left="260"/>
              <w:spacing w:after="0"/>
              <w:rPr>
                <w:sz w:val="20"/>
                <w:szCs w:val="20"/>
                <w:color w:val="auto"/>
              </w:rPr>
            </w:pPr>
            <w:r>
              <w:rPr>
                <w:rFonts w:ascii="Arial" w:cs="Arial" w:eastAsia="Arial" w:hAnsi="Arial"/>
                <w:sz w:val="18"/>
                <w:szCs w:val="18"/>
                <w:i w:val="1"/>
                <w:iCs w:val="1"/>
                <w:color w:val="auto"/>
              </w:rPr>
              <w:t>Specialty Additives</w:t>
            </w:r>
          </w:p>
        </w:tc>
        <w:tc>
          <w:tcPr>
            <w:tcW w:w="5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400" w:type="dxa"/>
            <w:vAlign w:val="bottom"/>
          </w:tcPr>
          <w:p>
            <w:pPr>
              <w:spacing w:after="0"/>
              <w:rPr>
                <w:sz w:val="21"/>
                <w:szCs w:val="21"/>
                <w:color w:val="auto"/>
              </w:rPr>
            </w:pPr>
          </w:p>
        </w:tc>
      </w:tr>
      <w:tr>
        <w:trPr>
          <w:trHeight w:val="263"/>
        </w:trPr>
        <w:tc>
          <w:tcPr>
            <w:tcW w:w="420" w:type="dxa"/>
            <w:vAlign w:val="bottom"/>
          </w:tcPr>
          <w:p>
            <w:pPr>
              <w:spacing w:after="0"/>
              <w:rPr>
                <w:sz w:val="22"/>
                <w:szCs w:val="22"/>
                <w:color w:val="auto"/>
              </w:rPr>
            </w:pPr>
          </w:p>
        </w:tc>
        <w:tc>
          <w:tcPr>
            <w:tcW w:w="36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i w:val="1"/>
                <w:iCs w:val="1"/>
                <w:color w:val="auto"/>
              </w:rPr>
              <w:t>Performance Adhesives</w:t>
            </w:r>
          </w:p>
        </w:tc>
        <w:tc>
          <w:tcPr>
            <w:tcW w:w="50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22"/>
                <w:szCs w:val="22"/>
                <w:color w:val="auto"/>
              </w:rPr>
            </w:pPr>
          </w:p>
        </w:tc>
      </w:tr>
      <w:tr>
        <w:trPr>
          <w:trHeight w:val="250"/>
        </w:trPr>
        <w:tc>
          <w:tcPr>
            <w:tcW w:w="420" w:type="dxa"/>
            <w:vAlign w:val="bottom"/>
          </w:tcPr>
          <w:p>
            <w:pPr>
              <w:spacing w:after="0"/>
              <w:rPr>
                <w:sz w:val="21"/>
                <w:szCs w:val="21"/>
                <w:color w:val="auto"/>
              </w:rPr>
            </w:pPr>
          </w:p>
        </w:tc>
        <w:tc>
          <w:tcPr>
            <w:tcW w:w="3600" w:type="dxa"/>
            <w:vAlign w:val="bottom"/>
          </w:tcPr>
          <w:p>
            <w:pPr>
              <w:ind w:left="260"/>
              <w:spacing w:after="0"/>
              <w:rPr>
                <w:sz w:val="20"/>
                <w:szCs w:val="20"/>
                <w:color w:val="auto"/>
              </w:rPr>
            </w:pPr>
            <w:r>
              <w:rPr>
                <w:rFonts w:ascii="Arial" w:cs="Arial" w:eastAsia="Arial" w:hAnsi="Arial"/>
                <w:sz w:val="18"/>
                <w:szCs w:val="18"/>
                <w:color w:val="auto"/>
              </w:rPr>
              <w:t>Industrial Specialties</w:t>
            </w:r>
          </w:p>
        </w:tc>
        <w:tc>
          <w:tcPr>
            <w:tcW w:w="5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w:t>
            </w:r>
          </w:p>
        </w:tc>
        <w:tc>
          <w:tcPr>
            <w:tcW w:w="40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36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i w:val="1"/>
                <w:iCs w:val="1"/>
                <w:color w:val="auto"/>
              </w:rPr>
              <w:t>Intermediates and Solvents</w:t>
            </w:r>
          </w:p>
        </w:tc>
        <w:tc>
          <w:tcPr>
            <w:tcW w:w="5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21"/>
                <w:szCs w:val="21"/>
                <w:color w:val="auto"/>
              </w:rPr>
            </w:pPr>
          </w:p>
        </w:tc>
      </w:tr>
      <w:tr>
        <w:trPr>
          <w:trHeight w:val="243"/>
        </w:trPr>
        <w:tc>
          <w:tcPr>
            <w:tcW w:w="42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1"/>
                <w:szCs w:val="21"/>
                <w:color w:val="auto"/>
              </w:rPr>
            </w:pP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41</w:t>
            </w:r>
          </w:p>
        </w:tc>
        <w:tc>
          <w:tcPr>
            <w:tcW w:w="64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96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400" w:type="dxa"/>
            <w:vAlign w:val="bottom"/>
          </w:tcPr>
          <w:p>
            <w:pPr>
              <w:spacing w:after="0"/>
              <w:rPr>
                <w:sz w:val="21"/>
                <w:szCs w:val="21"/>
                <w:color w:val="auto"/>
              </w:rPr>
            </w:pPr>
          </w:p>
        </w:tc>
      </w:tr>
      <w:tr>
        <w:trPr>
          <w:trHeight w:val="20"/>
        </w:trPr>
        <w:tc>
          <w:tcPr>
            <w:tcW w:w="4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43"/>
        </w:trPr>
        <w:tc>
          <w:tcPr>
            <w:tcW w:w="420" w:type="dxa"/>
            <w:vAlign w:val="bottom"/>
          </w:tcPr>
          <w:p>
            <w:pPr>
              <w:spacing w:after="0"/>
              <w:rPr>
                <w:sz w:val="21"/>
                <w:szCs w:val="21"/>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AMORTIZATION EXPENSE</w:t>
            </w:r>
          </w:p>
        </w:tc>
        <w:tc>
          <w:tcPr>
            <w:tcW w:w="5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40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3600" w:type="dxa"/>
            <w:vAlign w:val="bottom"/>
          </w:tcPr>
          <w:p>
            <w:pPr>
              <w:ind w:left="260"/>
              <w:spacing w:after="0"/>
              <w:rPr>
                <w:sz w:val="20"/>
                <w:szCs w:val="20"/>
                <w:color w:val="auto"/>
              </w:rPr>
            </w:pPr>
            <w:r>
              <w:rPr>
                <w:rFonts w:ascii="Arial" w:cs="Arial" w:eastAsia="Arial" w:hAnsi="Arial"/>
                <w:sz w:val="18"/>
                <w:szCs w:val="18"/>
                <w:i w:val="1"/>
                <w:iCs w:val="1"/>
                <w:color w:val="auto"/>
              </w:rPr>
              <w:t>Life Sciences</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1"/>
                <w:szCs w:val="21"/>
                <w:color w:val="auto"/>
              </w:rPr>
            </w:pP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64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96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21"/>
                <w:szCs w:val="21"/>
                <w:color w:val="auto"/>
              </w:rPr>
            </w:pPr>
          </w:p>
        </w:tc>
      </w:tr>
      <w:tr>
        <w:trPr>
          <w:trHeight w:val="263"/>
        </w:trPr>
        <w:tc>
          <w:tcPr>
            <w:tcW w:w="420" w:type="dxa"/>
            <w:vAlign w:val="bottom"/>
          </w:tcPr>
          <w:p>
            <w:pPr>
              <w:spacing w:after="0"/>
              <w:rPr>
                <w:sz w:val="22"/>
                <w:szCs w:val="22"/>
                <w:color w:val="auto"/>
              </w:rPr>
            </w:pPr>
          </w:p>
        </w:tc>
        <w:tc>
          <w:tcPr>
            <w:tcW w:w="36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i w:val="1"/>
                <w:iCs w:val="1"/>
                <w:color w:val="auto"/>
              </w:rPr>
              <w:t>Personal Care &amp; Household</w:t>
            </w:r>
          </w:p>
        </w:tc>
        <w:tc>
          <w:tcPr>
            <w:tcW w:w="50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27</w:t>
            </w:r>
          </w:p>
        </w:tc>
        <w:tc>
          <w:tcPr>
            <w:tcW w:w="400" w:type="dxa"/>
            <w:vAlign w:val="bottom"/>
          </w:tcPr>
          <w:p>
            <w:pPr>
              <w:spacing w:after="0"/>
              <w:rPr>
                <w:sz w:val="22"/>
                <w:szCs w:val="22"/>
                <w:color w:val="auto"/>
              </w:rPr>
            </w:pPr>
          </w:p>
        </w:tc>
      </w:tr>
      <w:tr>
        <w:trPr>
          <w:trHeight w:val="250"/>
        </w:trPr>
        <w:tc>
          <w:tcPr>
            <w:tcW w:w="420" w:type="dxa"/>
            <w:vAlign w:val="bottom"/>
          </w:tcPr>
          <w:p>
            <w:pPr>
              <w:spacing w:after="0"/>
              <w:rPr>
                <w:sz w:val="21"/>
                <w:szCs w:val="21"/>
                <w:color w:val="auto"/>
              </w:rPr>
            </w:pPr>
          </w:p>
        </w:tc>
        <w:tc>
          <w:tcPr>
            <w:tcW w:w="3600" w:type="dxa"/>
            <w:vAlign w:val="bottom"/>
          </w:tcPr>
          <w:p>
            <w:pPr>
              <w:ind w:left="260"/>
              <w:spacing w:after="0"/>
              <w:rPr>
                <w:sz w:val="20"/>
                <w:szCs w:val="20"/>
                <w:color w:val="auto"/>
              </w:rPr>
            </w:pPr>
            <w:r>
              <w:rPr>
                <w:rFonts w:ascii="Arial" w:cs="Arial" w:eastAsia="Arial" w:hAnsi="Arial"/>
                <w:sz w:val="18"/>
                <w:szCs w:val="18"/>
                <w:color w:val="auto"/>
              </w:rPr>
              <w:t>Consumer Specialties</w:t>
            </w:r>
          </w:p>
        </w:tc>
        <w:tc>
          <w:tcPr>
            <w:tcW w:w="5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w:t>
            </w:r>
          </w:p>
        </w:tc>
        <w:tc>
          <w:tcPr>
            <w:tcW w:w="40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3600" w:type="dxa"/>
            <w:vAlign w:val="bottom"/>
            <w:shd w:val="clear" w:color="auto" w:fill="CFF0FC"/>
          </w:tcPr>
          <w:p>
            <w:pPr>
              <w:ind w:left="260"/>
              <w:spacing w:after="0"/>
              <w:rPr>
                <w:sz w:val="20"/>
                <w:szCs w:val="20"/>
                <w:color w:val="auto"/>
              </w:rPr>
            </w:pPr>
            <w:r>
              <w:rPr>
                <w:rFonts w:ascii="Arial" w:cs="Arial" w:eastAsia="Arial" w:hAnsi="Arial"/>
                <w:sz w:val="18"/>
                <w:szCs w:val="18"/>
                <w:i w:val="1"/>
                <w:iCs w:val="1"/>
                <w:color w:val="auto"/>
              </w:rPr>
              <w:t>Specialty Additives</w:t>
            </w:r>
          </w:p>
        </w:tc>
        <w:tc>
          <w:tcPr>
            <w:tcW w:w="5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21"/>
                <w:szCs w:val="21"/>
                <w:color w:val="auto"/>
              </w:rPr>
            </w:pPr>
          </w:p>
        </w:tc>
      </w:tr>
      <w:tr>
        <w:trPr>
          <w:trHeight w:val="257"/>
        </w:trPr>
        <w:tc>
          <w:tcPr>
            <w:tcW w:w="420" w:type="dxa"/>
            <w:vAlign w:val="bottom"/>
          </w:tcPr>
          <w:p>
            <w:pPr>
              <w:spacing w:after="0"/>
              <w:rPr>
                <w:sz w:val="22"/>
                <w:szCs w:val="22"/>
                <w:color w:val="auto"/>
              </w:rPr>
            </w:pPr>
          </w:p>
        </w:tc>
        <w:tc>
          <w:tcPr>
            <w:tcW w:w="3600" w:type="dxa"/>
            <w:vAlign w:val="bottom"/>
          </w:tcPr>
          <w:p>
            <w:pPr>
              <w:ind w:left="260"/>
              <w:spacing w:after="0"/>
              <w:rPr>
                <w:sz w:val="20"/>
                <w:szCs w:val="20"/>
                <w:color w:val="auto"/>
              </w:rPr>
            </w:pPr>
            <w:r>
              <w:rPr>
                <w:rFonts w:ascii="Arial" w:cs="Arial" w:eastAsia="Arial" w:hAnsi="Arial"/>
                <w:sz w:val="18"/>
                <w:szCs w:val="18"/>
                <w:i w:val="1"/>
                <w:iCs w:val="1"/>
                <w:color w:val="auto"/>
              </w:rPr>
              <w:t>Performance Adhesives</w:t>
            </w: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2"/>
                <w:szCs w:val="22"/>
                <w:color w:val="auto"/>
              </w:rPr>
            </w:pPr>
          </w:p>
        </w:tc>
      </w:tr>
      <w:tr>
        <w:trPr>
          <w:trHeight w:val="250"/>
        </w:trPr>
        <w:tc>
          <w:tcPr>
            <w:tcW w:w="420" w:type="dxa"/>
            <w:vAlign w:val="bottom"/>
          </w:tcPr>
          <w:p>
            <w:pPr>
              <w:spacing w:after="0"/>
              <w:rPr>
                <w:sz w:val="21"/>
                <w:szCs w:val="21"/>
                <w:color w:val="auto"/>
              </w:rPr>
            </w:pPr>
          </w:p>
        </w:tc>
        <w:tc>
          <w:tcPr>
            <w:tcW w:w="36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Industrial Specialties</w:t>
            </w:r>
          </w:p>
        </w:tc>
        <w:tc>
          <w:tcPr>
            <w:tcW w:w="5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3600" w:type="dxa"/>
            <w:vAlign w:val="bottom"/>
          </w:tcPr>
          <w:p>
            <w:pPr>
              <w:ind w:left="260"/>
              <w:spacing w:after="0"/>
              <w:rPr>
                <w:sz w:val="20"/>
                <w:szCs w:val="20"/>
                <w:color w:val="auto"/>
              </w:rPr>
            </w:pPr>
            <w:r>
              <w:rPr>
                <w:rFonts w:ascii="Arial" w:cs="Arial" w:eastAsia="Arial" w:hAnsi="Arial"/>
                <w:sz w:val="18"/>
                <w:szCs w:val="18"/>
                <w:i w:val="1"/>
                <w:iCs w:val="1"/>
                <w:color w:val="auto"/>
              </w:rPr>
              <w:t>Intermediates and Solvents</w:t>
            </w:r>
          </w:p>
        </w:tc>
        <w:tc>
          <w:tcPr>
            <w:tcW w:w="5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r>
      <w:tr>
        <w:trPr>
          <w:trHeight w:val="283"/>
        </w:trPr>
        <w:tc>
          <w:tcPr>
            <w:tcW w:w="420" w:type="dxa"/>
            <w:vAlign w:val="bottom"/>
          </w:tcPr>
          <w:p>
            <w:pPr>
              <w:spacing w:after="0"/>
              <w:rPr>
                <w:sz w:val="24"/>
                <w:szCs w:val="24"/>
                <w:color w:val="auto"/>
              </w:rPr>
            </w:pPr>
          </w:p>
        </w:tc>
        <w:tc>
          <w:tcPr>
            <w:tcW w:w="3600" w:type="dxa"/>
            <w:vAlign w:val="bottom"/>
            <w:shd w:val="clear" w:color="auto" w:fill="CFF0FC"/>
          </w:tcPr>
          <w:p>
            <w:pPr>
              <w:spacing w:after="0"/>
              <w:rPr>
                <w:sz w:val="24"/>
                <w:szCs w:val="24"/>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FF0FC"/>
          </w:tcPr>
          <w:p>
            <w:pPr>
              <w:spacing w:after="0"/>
              <w:rPr>
                <w:sz w:val="24"/>
                <w:szCs w:val="24"/>
                <w:color w:val="auto"/>
              </w:rPr>
            </w:pPr>
          </w:p>
        </w:tc>
        <w:tc>
          <w:tcPr>
            <w:tcW w:w="84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w:t>
            </w:r>
          </w:p>
        </w:tc>
        <w:tc>
          <w:tcPr>
            <w:tcW w:w="64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66</w:t>
            </w:r>
          </w:p>
        </w:tc>
        <w:tc>
          <w:tcPr>
            <w:tcW w:w="960" w:type="dxa"/>
            <w:vAlign w:val="bottom"/>
            <w:gridSpan w:val="2"/>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63</w:t>
            </w:r>
          </w:p>
        </w:tc>
        <w:tc>
          <w:tcPr>
            <w:tcW w:w="400" w:type="dxa"/>
            <w:vAlign w:val="bottom"/>
          </w:tcPr>
          <w:p>
            <w:pPr>
              <w:spacing w:after="0"/>
              <w:rPr>
                <w:sz w:val="24"/>
                <w:szCs w:val="24"/>
                <w:color w:val="auto"/>
              </w:rPr>
            </w:pPr>
          </w:p>
        </w:tc>
      </w:tr>
      <w:tr>
        <w:trPr>
          <w:trHeight w:val="237"/>
        </w:trPr>
        <w:tc>
          <w:tcPr>
            <w:tcW w:w="420" w:type="dxa"/>
            <w:vAlign w:val="bottom"/>
          </w:tcPr>
          <w:p>
            <w:pPr>
              <w:spacing w:after="0"/>
              <w:rPr>
                <w:sz w:val="20"/>
                <w:szCs w:val="20"/>
                <w:color w:val="auto"/>
              </w:rPr>
            </w:pPr>
          </w:p>
        </w:tc>
        <w:tc>
          <w:tcPr>
            <w:tcW w:w="360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4"/>
                <w:szCs w:val="14"/>
                <w:color w:val="auto"/>
              </w:rPr>
              <w:t>(c)</w:t>
            </w:r>
          </w:p>
        </w:tc>
        <w:tc>
          <w:tcPr>
            <w:tcW w:w="5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r>
      <w:tr>
        <w:trPr>
          <w:trHeight w:val="263"/>
        </w:trPr>
        <w:tc>
          <w:tcPr>
            <w:tcW w:w="420" w:type="dxa"/>
            <w:vAlign w:val="bottom"/>
          </w:tcPr>
          <w:p>
            <w:pPr>
              <w:spacing w:after="0"/>
              <w:rPr>
                <w:sz w:val="22"/>
                <w:szCs w:val="22"/>
                <w:color w:val="auto"/>
              </w:rPr>
            </w:pPr>
          </w:p>
        </w:tc>
        <w:tc>
          <w:tcPr>
            <w:tcW w:w="3600" w:type="dxa"/>
            <w:vAlign w:val="bottom"/>
            <w:shd w:val="clear" w:color="auto" w:fill="CFF0FC"/>
          </w:tcPr>
          <w:p>
            <w:pPr>
              <w:ind w:left="260"/>
              <w:spacing w:after="0"/>
              <w:rPr>
                <w:sz w:val="20"/>
                <w:szCs w:val="20"/>
                <w:color w:val="auto"/>
              </w:rPr>
            </w:pPr>
            <w:r>
              <w:rPr>
                <w:rFonts w:ascii="Arial" w:cs="Arial" w:eastAsia="Arial" w:hAnsi="Arial"/>
                <w:sz w:val="18"/>
                <w:szCs w:val="18"/>
                <w:i w:val="1"/>
                <w:iCs w:val="1"/>
                <w:color w:val="auto"/>
              </w:rPr>
              <w:t>Life Sciences</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55</w:t>
            </w:r>
          </w:p>
        </w:tc>
        <w:tc>
          <w:tcPr>
            <w:tcW w:w="64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148</w:t>
            </w:r>
          </w:p>
        </w:tc>
        <w:tc>
          <w:tcPr>
            <w:tcW w:w="960" w:type="dxa"/>
            <w:vAlign w:val="bottom"/>
            <w:gridSpan w:val="2"/>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142</w:t>
            </w:r>
          </w:p>
        </w:tc>
        <w:tc>
          <w:tcPr>
            <w:tcW w:w="400" w:type="dxa"/>
            <w:vAlign w:val="bottom"/>
          </w:tcPr>
          <w:p>
            <w:pPr>
              <w:spacing w:after="0"/>
              <w:rPr>
                <w:sz w:val="22"/>
                <w:szCs w:val="22"/>
                <w:color w:val="auto"/>
              </w:rPr>
            </w:pPr>
          </w:p>
        </w:tc>
      </w:tr>
      <w:tr>
        <w:trPr>
          <w:trHeight w:val="256"/>
        </w:trPr>
        <w:tc>
          <w:tcPr>
            <w:tcW w:w="420" w:type="dxa"/>
            <w:vAlign w:val="bottom"/>
          </w:tcPr>
          <w:p>
            <w:pPr>
              <w:spacing w:after="0"/>
              <w:rPr>
                <w:sz w:val="22"/>
                <w:szCs w:val="22"/>
                <w:color w:val="auto"/>
              </w:rPr>
            </w:pPr>
          </w:p>
        </w:tc>
        <w:tc>
          <w:tcPr>
            <w:tcW w:w="3600" w:type="dxa"/>
            <w:vAlign w:val="bottom"/>
          </w:tcPr>
          <w:p>
            <w:pPr>
              <w:ind w:left="260"/>
              <w:spacing w:after="0"/>
              <w:rPr>
                <w:sz w:val="20"/>
                <w:szCs w:val="20"/>
                <w:color w:val="auto"/>
              </w:rPr>
            </w:pPr>
            <w:r>
              <w:rPr>
                <w:rFonts w:ascii="Arial" w:cs="Arial" w:eastAsia="Arial" w:hAnsi="Arial"/>
                <w:sz w:val="18"/>
                <w:szCs w:val="18"/>
                <w:i w:val="1"/>
                <w:iCs w:val="1"/>
                <w:color w:val="auto"/>
              </w:rPr>
              <w:t>Personal Care &amp; Household</w:t>
            </w: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(252 )</w:t>
            </w:r>
          </w:p>
        </w:tc>
        <w:tc>
          <w:tcPr>
            <w:tcW w:w="400" w:type="dxa"/>
            <w:vAlign w:val="bottom"/>
          </w:tcPr>
          <w:p>
            <w:pPr>
              <w:spacing w:after="0"/>
              <w:rPr>
                <w:sz w:val="22"/>
                <w:szCs w:val="22"/>
                <w:color w:val="auto"/>
              </w:rPr>
            </w:pPr>
          </w:p>
        </w:tc>
      </w:tr>
      <w:tr>
        <w:trPr>
          <w:trHeight w:val="250"/>
        </w:trPr>
        <w:tc>
          <w:tcPr>
            <w:tcW w:w="420" w:type="dxa"/>
            <w:vAlign w:val="bottom"/>
          </w:tcPr>
          <w:p>
            <w:pPr>
              <w:spacing w:after="0"/>
              <w:rPr>
                <w:sz w:val="21"/>
                <w:szCs w:val="21"/>
                <w:color w:val="auto"/>
              </w:rPr>
            </w:pPr>
          </w:p>
        </w:tc>
        <w:tc>
          <w:tcPr>
            <w:tcW w:w="36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Consumer Specialties</w:t>
            </w:r>
          </w:p>
        </w:tc>
        <w:tc>
          <w:tcPr>
            <w:tcW w:w="5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90</w:t>
            </w:r>
          </w:p>
        </w:tc>
        <w:tc>
          <w:tcPr>
            <w:tcW w:w="18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90</w:t>
            </w:r>
          </w:p>
        </w:tc>
        <w:tc>
          <w:tcPr>
            <w:tcW w:w="1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256</w:t>
            </w:r>
          </w:p>
        </w:tc>
        <w:tc>
          <w:tcPr>
            <w:tcW w:w="1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(110 )</w:t>
            </w:r>
          </w:p>
        </w:tc>
        <w:tc>
          <w:tcPr>
            <w:tcW w:w="400" w:type="dxa"/>
            <w:vAlign w:val="bottom"/>
          </w:tcPr>
          <w:p>
            <w:pPr>
              <w:spacing w:after="0"/>
              <w:rPr>
                <w:sz w:val="21"/>
                <w:szCs w:val="21"/>
                <w:color w:val="auto"/>
              </w:rPr>
            </w:pPr>
          </w:p>
        </w:tc>
      </w:tr>
      <w:tr>
        <w:trPr>
          <w:trHeight w:val="243"/>
        </w:trPr>
        <w:tc>
          <w:tcPr>
            <w:tcW w:w="420" w:type="dxa"/>
            <w:vAlign w:val="bottom"/>
          </w:tcPr>
          <w:p>
            <w:pPr>
              <w:spacing w:after="0"/>
              <w:rPr>
                <w:sz w:val="21"/>
                <w:szCs w:val="21"/>
                <w:color w:val="auto"/>
              </w:rPr>
            </w:pPr>
          </w:p>
        </w:tc>
        <w:tc>
          <w:tcPr>
            <w:tcW w:w="3600" w:type="dxa"/>
            <w:vAlign w:val="bottom"/>
          </w:tcPr>
          <w:p>
            <w:pPr>
              <w:ind w:left="260"/>
              <w:spacing w:after="0"/>
              <w:rPr>
                <w:sz w:val="20"/>
                <w:szCs w:val="20"/>
                <w:color w:val="auto"/>
              </w:rPr>
            </w:pPr>
            <w:r>
              <w:rPr>
                <w:rFonts w:ascii="Arial" w:cs="Arial" w:eastAsia="Arial" w:hAnsi="Arial"/>
                <w:sz w:val="18"/>
                <w:szCs w:val="18"/>
                <w:i w:val="1"/>
                <w:iCs w:val="1"/>
                <w:color w:val="auto"/>
              </w:rPr>
              <w:t>Specialty Additives</w:t>
            </w:r>
          </w:p>
        </w:tc>
        <w:tc>
          <w:tcPr>
            <w:tcW w:w="5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(77 )</w:t>
            </w:r>
          </w:p>
        </w:tc>
        <w:tc>
          <w:tcPr>
            <w:tcW w:w="400" w:type="dxa"/>
            <w:vAlign w:val="bottom"/>
          </w:tcPr>
          <w:p>
            <w:pPr>
              <w:spacing w:after="0"/>
              <w:rPr>
                <w:sz w:val="21"/>
                <w:szCs w:val="21"/>
                <w:color w:val="auto"/>
              </w:rPr>
            </w:pPr>
          </w:p>
        </w:tc>
      </w:tr>
      <w:tr>
        <w:trPr>
          <w:trHeight w:val="263"/>
        </w:trPr>
        <w:tc>
          <w:tcPr>
            <w:tcW w:w="420" w:type="dxa"/>
            <w:vAlign w:val="bottom"/>
          </w:tcPr>
          <w:p>
            <w:pPr>
              <w:spacing w:after="0"/>
              <w:rPr>
                <w:sz w:val="22"/>
                <w:szCs w:val="22"/>
                <w:color w:val="auto"/>
              </w:rPr>
            </w:pPr>
          </w:p>
        </w:tc>
        <w:tc>
          <w:tcPr>
            <w:tcW w:w="36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i w:val="1"/>
                <w:iCs w:val="1"/>
                <w:color w:val="auto"/>
              </w:rPr>
              <w:t>Performance Adhesives</w:t>
            </w:r>
          </w:p>
        </w:tc>
        <w:tc>
          <w:tcPr>
            <w:tcW w:w="50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w:t>
            </w:r>
          </w:p>
        </w:tc>
        <w:tc>
          <w:tcPr>
            <w:tcW w:w="16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51</w:t>
            </w:r>
          </w:p>
        </w:tc>
        <w:tc>
          <w:tcPr>
            <w:tcW w:w="400" w:type="dxa"/>
            <w:vAlign w:val="bottom"/>
          </w:tcPr>
          <w:p>
            <w:pPr>
              <w:spacing w:after="0"/>
              <w:rPr>
                <w:sz w:val="22"/>
                <w:szCs w:val="22"/>
                <w:color w:val="auto"/>
              </w:rPr>
            </w:pPr>
          </w:p>
        </w:tc>
      </w:tr>
      <w:tr>
        <w:trPr>
          <w:trHeight w:val="250"/>
        </w:trPr>
        <w:tc>
          <w:tcPr>
            <w:tcW w:w="420" w:type="dxa"/>
            <w:vAlign w:val="bottom"/>
          </w:tcPr>
          <w:p>
            <w:pPr>
              <w:spacing w:after="0"/>
              <w:rPr>
                <w:sz w:val="21"/>
                <w:szCs w:val="21"/>
                <w:color w:val="auto"/>
              </w:rPr>
            </w:pPr>
          </w:p>
        </w:tc>
        <w:tc>
          <w:tcPr>
            <w:tcW w:w="3600" w:type="dxa"/>
            <w:vAlign w:val="bottom"/>
          </w:tcPr>
          <w:p>
            <w:pPr>
              <w:ind w:left="260"/>
              <w:spacing w:after="0"/>
              <w:rPr>
                <w:sz w:val="20"/>
                <w:szCs w:val="20"/>
                <w:color w:val="auto"/>
              </w:rPr>
            </w:pPr>
            <w:r>
              <w:rPr>
                <w:rFonts w:ascii="Arial" w:cs="Arial" w:eastAsia="Arial" w:hAnsi="Arial"/>
                <w:sz w:val="18"/>
                <w:szCs w:val="18"/>
                <w:color w:val="auto"/>
              </w:rPr>
              <w:t>Industrial Specialties</w:t>
            </w:r>
          </w:p>
        </w:tc>
        <w:tc>
          <w:tcPr>
            <w:tcW w:w="5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(26 )</w:t>
            </w:r>
          </w:p>
        </w:tc>
        <w:tc>
          <w:tcPr>
            <w:tcW w:w="40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3600" w:type="dxa"/>
            <w:vAlign w:val="bottom"/>
            <w:shd w:val="clear" w:color="auto" w:fill="CFF0FC"/>
          </w:tcPr>
          <w:p>
            <w:pPr>
              <w:ind w:left="260"/>
              <w:spacing w:after="0"/>
              <w:rPr>
                <w:sz w:val="20"/>
                <w:szCs w:val="20"/>
                <w:color w:val="auto"/>
              </w:rPr>
            </w:pPr>
            <w:r>
              <w:rPr>
                <w:rFonts w:ascii="Arial" w:cs="Arial" w:eastAsia="Arial" w:hAnsi="Arial"/>
                <w:sz w:val="18"/>
                <w:szCs w:val="18"/>
                <w:i w:val="1"/>
                <w:iCs w:val="1"/>
                <w:color w:val="auto"/>
              </w:rPr>
              <w:t>Intermediates and Solvents</w:t>
            </w:r>
          </w:p>
        </w:tc>
        <w:tc>
          <w:tcPr>
            <w:tcW w:w="5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21"/>
                <w:szCs w:val="21"/>
                <w:color w:val="auto"/>
              </w:rPr>
            </w:pPr>
          </w:p>
        </w:tc>
      </w:tr>
      <w:tr>
        <w:trPr>
          <w:trHeight w:val="256"/>
        </w:trPr>
        <w:tc>
          <w:tcPr>
            <w:tcW w:w="420" w:type="dxa"/>
            <w:vAlign w:val="bottom"/>
          </w:tcPr>
          <w:p>
            <w:pPr>
              <w:spacing w:after="0"/>
              <w:rPr>
                <w:sz w:val="22"/>
                <w:szCs w:val="22"/>
                <w:color w:val="auto"/>
              </w:rPr>
            </w:pPr>
          </w:p>
        </w:tc>
        <w:tc>
          <w:tcPr>
            <w:tcW w:w="3600" w:type="dxa"/>
            <w:vAlign w:val="bottom"/>
          </w:tcPr>
          <w:p>
            <w:pPr>
              <w:ind w:left="260"/>
              <w:spacing w:after="0"/>
              <w:rPr>
                <w:sz w:val="20"/>
                <w:szCs w:val="20"/>
                <w:color w:val="auto"/>
              </w:rPr>
            </w:pPr>
            <w:r>
              <w:rPr>
                <w:rFonts w:ascii="Arial" w:cs="Arial" w:eastAsia="Arial" w:hAnsi="Arial"/>
                <w:sz w:val="18"/>
                <w:szCs w:val="18"/>
                <w:i w:val="1"/>
                <w:iCs w:val="1"/>
                <w:color w:val="auto"/>
              </w:rPr>
              <w:t>Unallocated and other</w:t>
            </w: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(30 )</w:t>
            </w:r>
          </w:p>
        </w:tc>
        <w:tc>
          <w:tcPr>
            <w:tcW w:w="18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(43 )</w:t>
            </w:r>
          </w:p>
        </w:tc>
        <w:tc>
          <w:tcPr>
            <w:tcW w:w="1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(81 )</w:t>
            </w:r>
          </w:p>
        </w:tc>
        <w:tc>
          <w:tcPr>
            <w:tcW w:w="16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(87 )</w:t>
            </w:r>
          </w:p>
        </w:tc>
        <w:tc>
          <w:tcPr>
            <w:tcW w:w="400" w:type="dxa"/>
            <w:vAlign w:val="bottom"/>
          </w:tcPr>
          <w:p>
            <w:pPr>
              <w:spacing w:after="0"/>
              <w:rPr>
                <w:sz w:val="22"/>
                <w:szCs w:val="22"/>
                <w:color w:val="auto"/>
              </w:rPr>
            </w:pPr>
          </w:p>
        </w:tc>
      </w:tr>
      <w:tr>
        <w:trPr>
          <w:trHeight w:val="284"/>
        </w:trPr>
        <w:tc>
          <w:tcPr>
            <w:tcW w:w="420" w:type="dxa"/>
            <w:vAlign w:val="bottom"/>
          </w:tcPr>
          <w:p>
            <w:pPr>
              <w:spacing w:after="0"/>
              <w:rPr>
                <w:sz w:val="24"/>
                <w:szCs w:val="24"/>
                <w:color w:val="auto"/>
              </w:rPr>
            </w:pPr>
          </w:p>
        </w:tc>
        <w:tc>
          <w:tcPr>
            <w:tcW w:w="360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127</w:t>
            </w:r>
          </w:p>
        </w:tc>
        <w:tc>
          <w:tcPr>
            <w:tcW w:w="1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110</w:t>
            </w:r>
          </w:p>
        </w:tc>
        <w:tc>
          <w:tcPr>
            <w:tcW w:w="16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363</w:t>
            </w:r>
          </w:p>
        </w:tc>
        <w:tc>
          <w:tcPr>
            <w:tcW w:w="1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(220 )</w:t>
            </w:r>
          </w:p>
        </w:tc>
        <w:tc>
          <w:tcPr>
            <w:tcW w:w="400" w:type="dxa"/>
            <w:vAlign w:val="bottom"/>
          </w:tcPr>
          <w:p>
            <w:pPr>
              <w:spacing w:after="0"/>
              <w:rPr>
                <w:sz w:val="24"/>
                <w:szCs w:val="24"/>
                <w:color w:val="auto"/>
              </w:rPr>
            </w:pPr>
          </w:p>
        </w:tc>
      </w:tr>
      <w:tr>
        <w:trPr>
          <w:trHeight w:val="149"/>
        </w:trPr>
        <w:tc>
          <w:tcPr>
            <w:tcW w:w="420" w:type="dxa"/>
            <w:vAlign w:val="bottom"/>
          </w:tcPr>
          <w:p>
            <w:pPr>
              <w:spacing w:after="0"/>
              <w:rPr>
                <w:sz w:val="12"/>
                <w:szCs w:val="12"/>
                <w:color w:val="auto"/>
              </w:rPr>
            </w:pPr>
          </w:p>
        </w:tc>
        <w:tc>
          <w:tcPr>
            <w:tcW w:w="36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r>
      <w:tr>
        <w:trPr>
          <w:trHeight w:val="560"/>
        </w:trPr>
        <w:tc>
          <w:tcPr>
            <w:tcW w:w="4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gridSpan w:val="2"/>
          </w:tcPr>
          <w:p>
            <w:pPr>
              <w:jc w:val="center"/>
              <w:ind w:left="850"/>
              <w:spacing w:after="0"/>
              <w:rPr>
                <w:sz w:val="20"/>
                <w:szCs w:val="20"/>
                <w:color w:val="auto"/>
              </w:rPr>
            </w:pPr>
            <w:r>
              <w:rPr>
                <w:rFonts w:ascii="Arial" w:cs="Arial" w:eastAsia="Arial" w:hAnsi="Arial"/>
                <w:sz w:val="18"/>
                <w:szCs w:val="18"/>
                <w:color w:val="auto"/>
                <w:w w:val="89"/>
              </w:rPr>
              <w:t>51</w:t>
            </w: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465455</wp:posOffset>
            </wp:positionH>
            <wp:positionV relativeFrom="page">
              <wp:posOffset>234950</wp:posOffset>
            </wp:positionV>
            <wp:extent cx="662622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-8388985</wp:posOffset>
            </wp:positionV>
            <wp:extent cx="111125" cy="571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-8388985</wp:posOffset>
            </wp:positionV>
            <wp:extent cx="102870" cy="571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-8388985</wp:posOffset>
            </wp:positionV>
            <wp:extent cx="102870" cy="571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-7711440</wp:posOffset>
            </wp:positionV>
            <wp:extent cx="111125" cy="571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-7711440</wp:posOffset>
            </wp:positionV>
            <wp:extent cx="102870" cy="571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-7711440</wp:posOffset>
            </wp:positionV>
            <wp:extent cx="102870" cy="571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-7045960</wp:posOffset>
            </wp:positionV>
            <wp:extent cx="111125"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-7028815</wp:posOffset>
            </wp:positionV>
            <wp:extent cx="11112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-7045960</wp:posOffset>
            </wp:positionV>
            <wp:extent cx="10287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-7028815</wp:posOffset>
            </wp:positionV>
            <wp:extent cx="10287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-7045960</wp:posOffset>
            </wp:positionV>
            <wp:extent cx="10287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-7028815</wp:posOffset>
            </wp:positionV>
            <wp:extent cx="10287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-6356985</wp:posOffset>
            </wp:positionV>
            <wp:extent cx="111125" cy="571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-6356985</wp:posOffset>
            </wp:positionV>
            <wp:extent cx="102870" cy="571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-6356985</wp:posOffset>
            </wp:positionV>
            <wp:extent cx="102870" cy="571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-6022975</wp:posOffset>
            </wp:positionV>
            <wp:extent cx="111125" cy="571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-6022975</wp:posOffset>
            </wp:positionV>
            <wp:extent cx="102870" cy="571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-6022975</wp:posOffset>
            </wp:positionV>
            <wp:extent cx="102870" cy="571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-5348605</wp:posOffset>
            </wp:positionV>
            <wp:extent cx="111125"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-5331460</wp:posOffset>
            </wp:positionV>
            <wp:extent cx="111125"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-5348605</wp:posOffset>
            </wp:positionV>
            <wp:extent cx="10287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-5331460</wp:posOffset>
            </wp:positionV>
            <wp:extent cx="10287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-5348605</wp:posOffset>
            </wp:positionV>
            <wp:extent cx="10287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-5331460</wp:posOffset>
            </wp:positionV>
            <wp:extent cx="10287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-4659630</wp:posOffset>
            </wp:positionV>
            <wp:extent cx="111125" cy="571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-4659630</wp:posOffset>
            </wp:positionV>
            <wp:extent cx="102870" cy="571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-4659630</wp:posOffset>
            </wp:positionV>
            <wp:extent cx="102870" cy="571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-4325620</wp:posOffset>
            </wp:positionV>
            <wp:extent cx="111125" cy="571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-4325620</wp:posOffset>
            </wp:positionV>
            <wp:extent cx="102870" cy="571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-4325620</wp:posOffset>
            </wp:positionV>
            <wp:extent cx="102870" cy="571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-3982720</wp:posOffset>
            </wp:positionV>
            <wp:extent cx="111125" cy="571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-3982720</wp:posOffset>
            </wp:positionV>
            <wp:extent cx="102870" cy="571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-3982720</wp:posOffset>
            </wp:positionV>
            <wp:extent cx="102870" cy="571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-3296920</wp:posOffset>
            </wp:positionV>
            <wp:extent cx="111125" cy="571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-3296920</wp:posOffset>
            </wp:positionV>
            <wp:extent cx="102870" cy="571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-3296920</wp:posOffset>
            </wp:positionV>
            <wp:extent cx="102870" cy="571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-2619375</wp:posOffset>
            </wp:positionV>
            <wp:extent cx="111125" cy="571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-2619375</wp:posOffset>
            </wp:positionV>
            <wp:extent cx="102870" cy="571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-2619375</wp:posOffset>
            </wp:positionV>
            <wp:extent cx="102870" cy="571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-2279650</wp:posOffset>
            </wp:positionV>
            <wp:extent cx="11112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-2262505</wp:posOffset>
            </wp:positionV>
            <wp:extent cx="111125"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-2279650</wp:posOffset>
            </wp:positionV>
            <wp:extent cx="10287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-2262505</wp:posOffset>
            </wp:positionV>
            <wp:extent cx="10287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-2279650</wp:posOffset>
            </wp:positionV>
            <wp:extent cx="10287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-2262505</wp:posOffset>
            </wp:positionV>
            <wp:extent cx="10287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-1590675</wp:posOffset>
            </wp:positionV>
            <wp:extent cx="111125" cy="571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-1590675</wp:posOffset>
            </wp:positionV>
            <wp:extent cx="102870" cy="571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-1590675</wp:posOffset>
            </wp:positionV>
            <wp:extent cx="102870" cy="571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-1256665</wp:posOffset>
            </wp:positionV>
            <wp:extent cx="111125" cy="571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-1256665</wp:posOffset>
            </wp:positionV>
            <wp:extent cx="102870" cy="571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-1256665</wp:posOffset>
            </wp:positionV>
            <wp:extent cx="102870" cy="571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-582295</wp:posOffset>
            </wp:positionV>
            <wp:extent cx="111125"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-565150</wp:posOffset>
            </wp:positionV>
            <wp:extent cx="111125"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-582295</wp:posOffset>
            </wp:positionV>
            <wp:extent cx="10287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-565150</wp:posOffset>
            </wp:positionV>
            <wp:extent cx="10287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-582295</wp:posOffset>
            </wp:positionV>
            <wp:extent cx="10287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-565150</wp:posOffset>
            </wp:positionV>
            <wp:extent cx="10287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95" w:right="339" w:bottom="1108" w:gutter="0" w:footer="0" w:header="0"/>
        </w:sectPr>
      </w:pPr>
    </w:p>
    <w:bookmarkStart w:id="51" w:name="page52"/>
    <w:bookmarkEnd w:id="51"/>
    <w:p>
      <w:pPr>
        <w:ind w:left="320" w:hanging="318"/>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Intersegment sales from Intermediates and Solvents are accounted for at prices that approximate fair value. All other intersegment sales are accounted for at cost.</w:t>
      </w:r>
    </w:p>
    <w:p>
      <w:pPr>
        <w:spacing w:after="0" w:line="55" w:lineRule="exact"/>
        <w:rPr>
          <w:rFonts w:ascii="Arial" w:cs="Arial" w:eastAsia="Arial" w:hAnsi="Arial"/>
          <w:sz w:val="14"/>
          <w:szCs w:val="14"/>
          <w:color w:val="auto"/>
        </w:rPr>
      </w:pPr>
    </w:p>
    <w:p>
      <w:pPr>
        <w:ind w:left="320" w:hanging="318"/>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a capital project impairment of $9 million for the nine months ended June 30, 2021 relating to a long-term capital project plan change at a plant facility.</w:t>
      </w:r>
    </w:p>
    <w:p>
      <w:pPr>
        <w:spacing w:after="0" w:line="41" w:lineRule="exact"/>
        <w:rPr>
          <w:rFonts w:ascii="Arial" w:cs="Arial" w:eastAsia="Arial" w:hAnsi="Arial"/>
          <w:sz w:val="14"/>
          <w:szCs w:val="14"/>
          <w:color w:val="auto"/>
        </w:rPr>
      </w:pPr>
    </w:p>
    <w:p>
      <w:pPr>
        <w:ind w:left="320" w:right="300" w:hanging="318"/>
        <w:spacing w:after="0" w:line="293" w:lineRule="auto"/>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Excludes income (loss) from discontinued operations, other net periodic benefit income (expense) and net income (loss) on divestitures. See the Statement of Consolidated Comprehensive Income (Loss) for applicable amounts excluded.</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Consumer Specialties</w:t>
      </w: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color w:val="auto"/>
        </w:rPr>
        <w:t>The Consumer Specialties business is comprised of the following reportable segments:</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Life Sciences</w:t>
      </w:r>
    </w:p>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Life Sciences is comprised of pharmaceuticals, nutrition, nutraceuticals, agricultural chemicals, advanced materials and fine chemicals. Pharmaceutical solutions include controlled release polymers, disintegrants, film coatings, solubilizers, and tablet binders. Nutrition solutions include thickeners, stabilizers, emulsifiers and additives for enhancing mouthfeel, controlling moisture migration, reducing oil uptake and controlling color. Nutraceutical solutions include products for weight management, joint comfort, stomach and intestinal health, sports nutrition and general wellness, and providing custom formulation, toll processing and particle engineering solutions. Customers include pharmaceutical, food, beverage, nutraceuticals and supplements manufacturers, hospitals and radiologists and industrial manufacturers.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Personal Care &amp; Household</w:t>
      </w:r>
    </w:p>
    <w:p>
      <w:pPr>
        <w:spacing w:after="0" w:line="135" w:lineRule="exact"/>
        <w:rPr>
          <w:sz w:val="20"/>
          <w:szCs w:val="20"/>
          <w:color w:val="auto"/>
        </w:rPr>
      </w:pPr>
    </w:p>
    <w:p>
      <w:pPr>
        <w:jc w:val="both"/>
        <w:spacing w:after="0" w:line="351" w:lineRule="auto"/>
        <w:rPr>
          <w:sz w:val="20"/>
          <w:szCs w:val="20"/>
          <w:color w:val="auto"/>
        </w:rPr>
      </w:pPr>
      <w:r>
        <w:rPr>
          <w:rFonts w:ascii="Arial" w:cs="Arial" w:eastAsia="Arial" w:hAnsi="Arial"/>
          <w:sz w:val="16"/>
          <w:szCs w:val="16"/>
          <w:color w:val="auto"/>
        </w:rPr>
        <w:t>Personal Care &amp; Household is comprised of biofunctionals, preservatives, skin care, sun care, oral care, hair care and household. These businesses have a broad range of nature-based, biodegradable, and performance-enhancing ingredients for customer-driven solutions to help protect, renew, moisturize and revitalize skin and hair, and provide solutions for toothpastes, mouth washes and rinses, denture cleaning and care for teeth. Household supplies nature-derived rheology ingredients, biodegradable surface wetting agents, performance encapsulates, and specialty polymers for household, industrial and institutional cleaning products. Customers include formulators at large multinational branded consumer products companies and smaller, independent boutique companies.</w:t>
      </w:r>
    </w:p>
    <w:p>
      <w:pPr>
        <w:spacing w:after="0" w:line="33"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On April 30, 2021, Ashland completed its acquisition of the Schülke personal care business. See Note B within the Notes to the Condensed Consolidated Financial Statements for more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June 2021 quarter compared to June 2020 quarter</w:t>
      </w:r>
    </w:p>
    <w:p>
      <w:pPr>
        <w:spacing w:after="0" w:line="135"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Consumer Specialties’ sales decreased $4 million to $340 million in the current quarter. Life Sciences represented an increase of $4 million, offset by a decrease of $8 million for Personal Care &amp; Household. Lower volume, net of the Schülke acquisition, decreased sales by $15 million. Favorable currency exchange and product pricing increased sales for Consumer Specialties by $10 million and $1 million, respectively.</w:t>
      </w:r>
    </w:p>
    <w:p>
      <w:pPr>
        <w:spacing w:after="0" w:line="8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Operating income decreased $3 million to income of $53 million for the current quarter. Life Sciences and Personal Care &amp; Household recorded income of $37 million and $16 million, respectively. Favorable foreign currency exchange and lower costs increased operating income by $7 million and $10 million, respectively. These increases were more than offset by an inventory adjustment related to the Schülke acquisition, unfavorable price/mix and lower volume which decreased operating income by $2 million, $10 million and $8 million, respectively. Current quarter EBITDA remained consistent at $90 million while Adjusted EBITDA increased $2 million to $92 million, of which $53 million was in Life Sciences and $39 million in Personal Care &amp; Household. Adjusted EBITDA margin increased 0.9 percentage points in the current quarter to 27.1%.</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Fiscal 2021 year-to-date compared to fiscal 2020 year-to-date</w:t>
      </w:r>
    </w:p>
    <w:p>
      <w:pPr>
        <w:spacing w:after="0" w:line="135"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Consumer Specialties’ sales decreased $22 million to $957 million in the current period. Life Sciences represented an increase of $20 million, offset by a decrease of $42 million for Personal Care &amp; Household. Favorable currency exchange increased sales for Consumer Specialties by $24 million. These increases were more than offset by product pricing and lower volume, net of the Schülke acquisition, which decreased sales by $2 million and $44 million, respectively.</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72" w:right="719" w:bottom="1440" w:gutter="0" w:footer="0" w:header="0"/>
        </w:sectPr>
      </w:pPr>
    </w:p>
    <w:bookmarkStart w:id="52" w:name="page53"/>
    <w:bookmarkEnd w:id="52"/>
    <w:p>
      <w:pPr>
        <w:jc w:val="both"/>
        <w:ind w:left="380" w:right="380"/>
        <w:spacing w:after="0" w:line="304" w:lineRule="auto"/>
        <w:rPr>
          <w:sz w:val="20"/>
          <w:szCs w:val="20"/>
          <w:color w:val="auto"/>
        </w:rPr>
      </w:pPr>
      <w:r>
        <w:rPr>
          <w:rFonts w:ascii="Arial" w:cs="Arial" w:eastAsia="Arial" w:hAnsi="Arial"/>
          <w:sz w:val="18"/>
          <w:szCs w:val="18"/>
          <w:color w:val="auto"/>
        </w:rPr>
        <w:t>Operating income increased $362 million to income of $150 million for the current period. Life Sciences and Personal Care &amp; Household recorded income of $101 million and $49 million, respectively. Favorable foreign currency exchange, lower costs, a prior year goodwill impairment and prior year restructuring costs increased operating income by $18 million, $20 million, $356 million and $1 million, respectively. These increases were partially offset by an inventory adjustment related to the Schülke acquisition, lower volume, unfavorable price/mix and storm related unplanned plant shutdown costs which decreased operating income by $2 million, $18 million, $2 million and $11 million, respectively. Current period EBITDA increased $366 million to $256 million, and Adjusted EBITDA increased $11 million to $258 million of which $5 million was in Life Sciences and $6 million in Personal Care &amp; Household. Adjusted EBITDA margin increased 1.8 percentage points in the current period to 27.0%.</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EBITDA and Adjusted EBITDA reconciliation</w:t>
      </w:r>
    </w:p>
    <w:p>
      <w:pPr>
        <w:spacing w:after="0" w:line="135" w:lineRule="exact"/>
        <w:rPr>
          <w:sz w:val="20"/>
          <w:szCs w:val="20"/>
          <w:color w:val="auto"/>
        </w:rPr>
      </w:pPr>
    </w:p>
    <w:p>
      <w:pPr>
        <w:jc w:val="both"/>
        <w:ind w:left="380" w:right="380"/>
        <w:spacing w:after="0" w:line="270" w:lineRule="auto"/>
        <w:rPr>
          <w:sz w:val="20"/>
          <w:szCs w:val="20"/>
          <w:color w:val="auto"/>
        </w:rPr>
      </w:pPr>
      <w:r>
        <w:rPr>
          <w:rFonts w:ascii="Arial" w:cs="Arial" w:eastAsia="Arial" w:hAnsi="Arial"/>
          <w:sz w:val="20"/>
          <w:szCs w:val="20"/>
          <w:color w:val="auto"/>
        </w:rPr>
        <w:t>The EBITDA and Adjusted EBITDA amounts presented within this business section are provided as a means to enhance the understanding of financial measurements that Ashland has internally determined to be relevant measures of comparison for each segment. Each of these non-GAAP measures is defined as follows: EBITDA (operating income plus depreciation and amortization), Adjusted EBITDA (EBITDA adjusted for key items, which may include pro forma effects for significant acquisitions or divestitures, as applicable), and Adjusted EBITDA margin (Adjusted EBITDA, which may include pro forma adjustments, divided by sales or sales adjusted for pro forma results). Ashland does not allocate items to each reportable segment below operating income, such as interest expense and income taxes. As a result, reportable segment EBITDA and Adjusted EBITDA are reconciled directly to operating income since it is the most directly comparable Statements of Consolidated Comprehensive Income (Loss) caption.</w:t>
      </w:r>
    </w:p>
    <w:p>
      <w:pPr>
        <w:spacing w:after="0" w:line="88" w:lineRule="exact"/>
        <w:rPr>
          <w:sz w:val="20"/>
          <w:szCs w:val="20"/>
          <w:color w:val="auto"/>
        </w:rPr>
      </w:pPr>
    </w:p>
    <w:p>
      <w:pPr>
        <w:jc w:val="both"/>
        <w:ind w:left="380" w:right="380"/>
        <w:spacing w:after="0" w:line="309" w:lineRule="auto"/>
        <w:rPr>
          <w:sz w:val="20"/>
          <w:szCs w:val="20"/>
          <w:color w:val="auto"/>
        </w:rPr>
      </w:pPr>
      <w:r>
        <w:rPr>
          <w:rFonts w:ascii="Arial" w:cs="Arial" w:eastAsia="Arial" w:hAnsi="Arial"/>
          <w:sz w:val="18"/>
          <w:szCs w:val="18"/>
          <w:color w:val="auto"/>
        </w:rPr>
        <w:t>The following EBITDA presentation for the three and nine months ended June 30, 2021 and 2020 is provided as a means to enhance the understanding of financial measurements that Ashland has internally determined to be relevant measures of comparison for the results of Consumer Specialties. The key items during the three and nine months ended June 30, 2021 related to inventory adjustments within Personal Care &amp; Household. The key items during the nine months ended June 30, 2020 related to a goodwill impairment of $356 million for Personal Care &amp; Household and $1 million in restructuring costs for Life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55880</wp:posOffset>
            </wp:positionV>
            <wp:extent cx="662622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Life Sciences</w:t>
            </w:r>
          </w:p>
        </w:tc>
        <w:tc>
          <w:tcPr>
            <w:tcW w:w="5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8"/>
                <w:szCs w:val="18"/>
                <w:color w:val="auto"/>
                <w:w w:val="92"/>
              </w:rPr>
              <w:t>Personal Care &amp; Household</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color w:val="auto"/>
                <w:w w:val="89"/>
              </w:rPr>
              <w:t>Consumer Specialties</w:t>
            </w:r>
          </w:p>
        </w:tc>
        <w:tc>
          <w:tcPr>
            <w:tcW w:w="400" w:type="dxa"/>
            <w:vAlign w:val="bottom"/>
          </w:tcPr>
          <w:p>
            <w:pPr>
              <w:spacing w:after="0"/>
              <w:rPr>
                <w:sz w:val="20"/>
                <w:szCs w:val="20"/>
                <w:color w:val="auto"/>
              </w:rPr>
            </w:pPr>
          </w:p>
        </w:tc>
      </w:tr>
      <w:tr>
        <w:trPr>
          <w:trHeight w:val="244"/>
        </w:trPr>
        <w:tc>
          <w:tcPr>
            <w:tcW w:w="42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7"/>
          </w:tcPr>
          <w:p>
            <w:pPr>
              <w:jc w:val="right"/>
              <w:ind w:right="210"/>
              <w:spacing w:after="0"/>
              <w:rPr>
                <w:sz w:val="20"/>
                <w:szCs w:val="20"/>
                <w:color w:val="auto"/>
              </w:rPr>
            </w:pPr>
            <w:r>
              <w:rPr>
                <w:rFonts w:ascii="Arial" w:cs="Arial" w:eastAsia="Arial" w:hAnsi="Arial"/>
                <w:sz w:val="18"/>
                <w:szCs w:val="18"/>
                <w:color w:val="auto"/>
                <w:w w:val="89"/>
              </w:rPr>
              <w:t>Three months ended June 30</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0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400" w:type="dxa"/>
            <w:vAlign w:val="bottom"/>
          </w:tcPr>
          <w:p>
            <w:pPr>
              <w:spacing w:after="0"/>
              <w:rPr>
                <w:sz w:val="21"/>
                <w:szCs w:val="21"/>
                <w:color w:val="auto"/>
              </w:rPr>
            </w:pPr>
          </w:p>
        </w:tc>
      </w:tr>
      <w:tr>
        <w:trPr>
          <w:trHeight w:val="256"/>
        </w:trPr>
        <w:tc>
          <w:tcPr>
            <w:tcW w:w="420" w:type="dxa"/>
            <w:vAlign w:val="bottom"/>
          </w:tcPr>
          <w:p>
            <w:pPr>
              <w:spacing w:after="0"/>
              <w:rPr>
                <w:sz w:val="22"/>
                <w:szCs w:val="22"/>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w:t>
            </w:r>
          </w:p>
        </w:tc>
        <w:tc>
          <w:tcPr>
            <w:tcW w:w="620" w:type="dxa"/>
            <w:vAlign w:val="bottom"/>
            <w:gridSpan w:val="2"/>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520" w:type="dxa"/>
            <w:vAlign w:val="bottom"/>
            <w:gridSpan w:val="3"/>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c>
          <w:tcPr>
            <w:tcW w:w="4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16</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53</w:t>
            </w:r>
          </w:p>
        </w:tc>
        <w:tc>
          <w:tcPr>
            <w:tcW w:w="3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56</w:t>
            </w:r>
          </w:p>
        </w:tc>
        <w:tc>
          <w:tcPr>
            <w:tcW w:w="400" w:type="dxa"/>
            <w:vAlign w:val="bottom"/>
          </w:tcPr>
          <w:p>
            <w:pPr>
              <w:spacing w:after="0"/>
              <w:rPr>
                <w:sz w:val="22"/>
                <w:szCs w:val="22"/>
                <w:color w:val="auto"/>
              </w:rPr>
            </w:pPr>
          </w:p>
        </w:tc>
      </w:tr>
      <w:tr>
        <w:trPr>
          <w:trHeight w:val="257"/>
        </w:trPr>
        <w:tc>
          <w:tcPr>
            <w:tcW w:w="420" w:type="dxa"/>
            <w:vAlign w:val="bottom"/>
          </w:tcPr>
          <w:p>
            <w:pPr>
              <w:spacing w:after="0"/>
              <w:rPr>
                <w:sz w:val="22"/>
                <w:szCs w:val="22"/>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22"/>
                <w:szCs w:val="22"/>
                <w:color w:val="auto"/>
              </w:rPr>
            </w:pPr>
          </w:p>
        </w:tc>
      </w:tr>
      <w:tr>
        <w:trPr>
          <w:trHeight w:val="290"/>
        </w:trPr>
        <w:tc>
          <w:tcPr>
            <w:tcW w:w="420" w:type="dxa"/>
            <w:vAlign w:val="bottom"/>
          </w:tcPr>
          <w:p>
            <w:pPr>
              <w:spacing w:after="0"/>
              <w:rPr>
                <w:sz w:val="24"/>
                <w:szCs w:val="24"/>
                <w:color w:val="auto"/>
              </w:rPr>
            </w:pPr>
          </w:p>
        </w:tc>
        <w:tc>
          <w:tcPr>
            <w:tcW w:w="3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EBITDA</w:t>
            </w:r>
          </w:p>
        </w:tc>
        <w:tc>
          <w:tcPr>
            <w:tcW w:w="340" w:type="dxa"/>
            <w:vAlign w:val="bottom"/>
            <w:tcBorders>
              <w:bottom w:val="single" w:sz="8" w:color="auto"/>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6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4"/>
                <w:szCs w:val="24"/>
                <w:color w:val="auto"/>
              </w:rPr>
            </w:pPr>
          </w:p>
        </w:tc>
        <w:tc>
          <w:tcPr>
            <w:tcW w:w="6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90</w:t>
            </w:r>
          </w:p>
        </w:tc>
        <w:tc>
          <w:tcPr>
            <w:tcW w:w="400" w:type="dxa"/>
            <w:vAlign w:val="bottom"/>
          </w:tcPr>
          <w:p>
            <w:pPr>
              <w:spacing w:after="0"/>
              <w:rPr>
                <w:sz w:val="24"/>
                <w:szCs w:val="24"/>
                <w:color w:val="auto"/>
              </w:rPr>
            </w:pPr>
          </w:p>
        </w:tc>
      </w:tr>
      <w:tr>
        <w:trPr>
          <w:trHeight w:val="230"/>
        </w:trPr>
        <w:tc>
          <w:tcPr>
            <w:tcW w:w="420" w:type="dxa"/>
            <w:vAlign w:val="bottom"/>
          </w:tcPr>
          <w:p>
            <w:pPr>
              <w:spacing w:after="0"/>
              <w:rPr>
                <w:sz w:val="20"/>
                <w:szCs w:val="20"/>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Restructuring and other costs</w:t>
            </w:r>
          </w:p>
        </w:tc>
        <w:tc>
          <w:tcPr>
            <w:tcW w:w="34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r>
      <w:tr>
        <w:trPr>
          <w:trHeight w:val="263"/>
        </w:trPr>
        <w:tc>
          <w:tcPr>
            <w:tcW w:w="420" w:type="dxa"/>
            <w:vAlign w:val="bottom"/>
          </w:tcPr>
          <w:p>
            <w:pPr>
              <w:spacing w:after="0"/>
              <w:rPr>
                <w:sz w:val="22"/>
                <w:szCs w:val="22"/>
                <w:color w:val="auto"/>
              </w:rPr>
            </w:pPr>
          </w:p>
        </w:tc>
        <w:tc>
          <w:tcPr>
            <w:tcW w:w="37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Inventory adjustment</w:t>
            </w:r>
          </w:p>
        </w:tc>
        <w:tc>
          <w:tcPr>
            <w:tcW w:w="340" w:type="dxa"/>
            <w:vAlign w:val="bottom"/>
            <w:tcBorders>
              <w:bottom w:val="single" w:sz="8" w:color="auto"/>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r>
      <w:tr>
        <w:trPr>
          <w:trHeight w:val="250"/>
        </w:trPr>
        <w:tc>
          <w:tcPr>
            <w:tcW w:w="420" w:type="dxa"/>
            <w:vAlign w:val="bottom"/>
          </w:tcPr>
          <w:p>
            <w:pPr>
              <w:spacing w:after="0"/>
              <w:rPr>
                <w:sz w:val="21"/>
                <w:szCs w:val="21"/>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w:t>
            </w:r>
          </w:p>
        </w:tc>
        <w:tc>
          <w:tcPr>
            <w:tcW w:w="400" w:type="dxa"/>
            <w:vAlign w:val="bottom"/>
          </w:tcPr>
          <w:p>
            <w:pPr>
              <w:spacing w:after="0"/>
              <w:rPr>
                <w:sz w:val="21"/>
                <w:szCs w:val="21"/>
                <w:color w:val="auto"/>
              </w:rPr>
            </w:pPr>
          </w:p>
        </w:tc>
      </w:tr>
      <w:tr>
        <w:trPr>
          <w:trHeight w:val="20"/>
        </w:trPr>
        <w:tc>
          <w:tcPr>
            <w:tcW w:w="4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5"/>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spacing w:after="0"/>
              <w:rPr>
                <w:sz w:val="20"/>
                <w:szCs w:val="20"/>
                <w:color w:val="auto"/>
              </w:rPr>
            </w:pPr>
          </w:p>
        </w:tc>
        <w:tc>
          <w:tcPr>
            <w:tcW w:w="400" w:type="dxa"/>
            <w:vAlign w:val="bottom"/>
          </w:tcPr>
          <w:p>
            <w:pPr>
              <w:spacing w:after="0"/>
              <w:rPr>
                <w:sz w:val="20"/>
                <w:szCs w:val="20"/>
                <w:color w:val="auto"/>
              </w:rPr>
            </w:pPr>
          </w:p>
        </w:tc>
      </w:tr>
      <w:tr>
        <w:trPr>
          <w:trHeight w:val="243"/>
        </w:trPr>
        <w:tc>
          <w:tcPr>
            <w:tcW w:w="42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Life Sciences</w:t>
            </w:r>
          </w:p>
        </w:tc>
        <w:tc>
          <w:tcPr>
            <w:tcW w:w="5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4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8"/>
                <w:szCs w:val="18"/>
                <w:color w:val="auto"/>
                <w:w w:val="92"/>
              </w:rPr>
              <w:t>Personal Care &amp; Household</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color w:val="auto"/>
                <w:w w:val="89"/>
              </w:rPr>
              <w:t>Consumer Specialties</w:t>
            </w:r>
          </w:p>
        </w:tc>
        <w:tc>
          <w:tcPr>
            <w:tcW w:w="40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6"/>
          </w:tcPr>
          <w:p>
            <w:pPr>
              <w:jc w:val="right"/>
              <w:ind w:right="250"/>
              <w:spacing w:after="0"/>
              <w:rPr>
                <w:sz w:val="20"/>
                <w:szCs w:val="20"/>
                <w:color w:val="auto"/>
              </w:rPr>
            </w:pPr>
            <w:r>
              <w:rPr>
                <w:rFonts w:ascii="Arial" w:cs="Arial" w:eastAsia="Arial" w:hAnsi="Arial"/>
                <w:sz w:val="18"/>
                <w:szCs w:val="18"/>
                <w:color w:val="auto"/>
                <w:w w:val="88"/>
              </w:rPr>
              <w:t>Nine months ended June 30</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0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400" w:type="dxa"/>
            <w:vAlign w:val="bottom"/>
          </w:tcPr>
          <w:p>
            <w:pPr>
              <w:spacing w:after="0"/>
              <w:rPr>
                <w:sz w:val="21"/>
                <w:szCs w:val="21"/>
                <w:color w:val="auto"/>
              </w:rPr>
            </w:pPr>
          </w:p>
        </w:tc>
      </w:tr>
      <w:tr>
        <w:trPr>
          <w:trHeight w:val="256"/>
        </w:trPr>
        <w:tc>
          <w:tcPr>
            <w:tcW w:w="420" w:type="dxa"/>
            <w:vAlign w:val="bottom"/>
          </w:tcPr>
          <w:p>
            <w:pPr>
              <w:spacing w:after="0"/>
              <w:rPr>
                <w:sz w:val="22"/>
                <w:szCs w:val="22"/>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101</w:t>
            </w:r>
          </w:p>
        </w:tc>
        <w:tc>
          <w:tcPr>
            <w:tcW w:w="620" w:type="dxa"/>
            <w:vAlign w:val="bottom"/>
            <w:gridSpan w:val="2"/>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520" w:type="dxa"/>
            <w:vAlign w:val="bottom"/>
            <w:gridSpan w:val="3"/>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49</w:t>
            </w:r>
          </w:p>
        </w:tc>
        <w:tc>
          <w:tcPr>
            <w:tcW w:w="4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(309 )</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150</w:t>
            </w:r>
          </w:p>
        </w:tc>
        <w:tc>
          <w:tcPr>
            <w:tcW w:w="3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(212 )</w:t>
            </w:r>
          </w:p>
        </w:tc>
        <w:tc>
          <w:tcPr>
            <w:tcW w:w="400" w:type="dxa"/>
            <w:vAlign w:val="bottom"/>
          </w:tcPr>
          <w:p>
            <w:pPr>
              <w:spacing w:after="0"/>
              <w:rPr>
                <w:sz w:val="22"/>
                <w:szCs w:val="22"/>
                <w:color w:val="auto"/>
              </w:rPr>
            </w:pPr>
          </w:p>
        </w:tc>
      </w:tr>
      <w:tr>
        <w:trPr>
          <w:trHeight w:val="257"/>
        </w:trPr>
        <w:tc>
          <w:tcPr>
            <w:tcW w:w="420" w:type="dxa"/>
            <w:vAlign w:val="bottom"/>
          </w:tcPr>
          <w:p>
            <w:pPr>
              <w:spacing w:after="0"/>
              <w:rPr>
                <w:sz w:val="22"/>
                <w:szCs w:val="22"/>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22"/>
                <w:szCs w:val="22"/>
                <w:color w:val="auto"/>
              </w:rPr>
            </w:pPr>
          </w:p>
        </w:tc>
      </w:tr>
      <w:tr>
        <w:trPr>
          <w:trHeight w:val="290"/>
        </w:trPr>
        <w:tc>
          <w:tcPr>
            <w:tcW w:w="420" w:type="dxa"/>
            <w:vAlign w:val="bottom"/>
          </w:tcPr>
          <w:p>
            <w:pPr>
              <w:spacing w:after="0"/>
              <w:rPr>
                <w:sz w:val="24"/>
                <w:szCs w:val="24"/>
                <w:color w:val="auto"/>
              </w:rPr>
            </w:pPr>
          </w:p>
        </w:tc>
        <w:tc>
          <w:tcPr>
            <w:tcW w:w="3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EBITDA</w:t>
            </w:r>
          </w:p>
        </w:tc>
        <w:tc>
          <w:tcPr>
            <w:tcW w:w="340" w:type="dxa"/>
            <w:vAlign w:val="bottom"/>
            <w:tcBorders>
              <w:bottom w:val="single" w:sz="8" w:color="auto"/>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6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(252 )</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4"/>
                <w:szCs w:val="2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(110 )</w:t>
            </w:r>
          </w:p>
        </w:tc>
        <w:tc>
          <w:tcPr>
            <w:tcW w:w="400" w:type="dxa"/>
            <w:vAlign w:val="bottom"/>
          </w:tcPr>
          <w:p>
            <w:pPr>
              <w:spacing w:after="0"/>
              <w:rPr>
                <w:sz w:val="24"/>
                <w:szCs w:val="24"/>
                <w:color w:val="auto"/>
              </w:rPr>
            </w:pPr>
          </w:p>
        </w:tc>
      </w:tr>
      <w:tr>
        <w:trPr>
          <w:trHeight w:val="230"/>
        </w:trPr>
        <w:tc>
          <w:tcPr>
            <w:tcW w:w="420" w:type="dxa"/>
            <w:vAlign w:val="bottom"/>
          </w:tcPr>
          <w:p>
            <w:pPr>
              <w:spacing w:after="0"/>
              <w:rPr>
                <w:sz w:val="20"/>
                <w:szCs w:val="20"/>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Restructuring and other costs</w:t>
            </w:r>
          </w:p>
        </w:tc>
        <w:tc>
          <w:tcPr>
            <w:tcW w:w="34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0"/>
                <w:szCs w:val="20"/>
                <w:color w:val="auto"/>
              </w:rPr>
            </w:pPr>
          </w:p>
        </w:tc>
      </w:tr>
      <w:tr>
        <w:trPr>
          <w:trHeight w:val="263"/>
        </w:trPr>
        <w:tc>
          <w:tcPr>
            <w:tcW w:w="420" w:type="dxa"/>
            <w:vAlign w:val="bottom"/>
          </w:tcPr>
          <w:p>
            <w:pPr>
              <w:spacing w:after="0"/>
              <w:rPr>
                <w:sz w:val="22"/>
                <w:szCs w:val="22"/>
                <w:color w:val="auto"/>
              </w:rPr>
            </w:pPr>
          </w:p>
        </w:tc>
        <w:tc>
          <w:tcPr>
            <w:tcW w:w="37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Goodwill impairment</w:t>
            </w:r>
          </w:p>
        </w:tc>
        <w:tc>
          <w:tcPr>
            <w:tcW w:w="340" w:type="dxa"/>
            <w:vAlign w:val="bottom"/>
            <w:shd w:val="clear" w:color="auto" w:fill="CFF0FC"/>
          </w:tcPr>
          <w:p>
            <w:pPr>
              <w:spacing w:after="0"/>
              <w:rPr>
                <w:sz w:val="22"/>
                <w:szCs w:val="22"/>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356</w:t>
            </w:r>
          </w:p>
        </w:tc>
        <w:tc>
          <w:tcPr>
            <w:tcW w:w="400" w:type="dxa"/>
            <w:vAlign w:val="bottom"/>
          </w:tcPr>
          <w:p>
            <w:pPr>
              <w:spacing w:after="0"/>
              <w:rPr>
                <w:sz w:val="22"/>
                <w:szCs w:val="22"/>
                <w:color w:val="auto"/>
              </w:rPr>
            </w:pPr>
          </w:p>
        </w:tc>
      </w:tr>
      <w:tr>
        <w:trPr>
          <w:trHeight w:val="256"/>
        </w:trPr>
        <w:tc>
          <w:tcPr>
            <w:tcW w:w="420" w:type="dxa"/>
            <w:vAlign w:val="bottom"/>
          </w:tcPr>
          <w:p>
            <w:pPr>
              <w:spacing w:after="0"/>
              <w:rPr>
                <w:sz w:val="22"/>
                <w:szCs w:val="22"/>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Inventory adjustment</w:t>
            </w:r>
          </w:p>
        </w:tc>
        <w:tc>
          <w:tcPr>
            <w:tcW w:w="3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r>
      <w:tr>
        <w:trPr>
          <w:trHeight w:val="290"/>
        </w:trPr>
        <w:tc>
          <w:tcPr>
            <w:tcW w:w="420" w:type="dxa"/>
            <w:vAlign w:val="bottom"/>
          </w:tcPr>
          <w:p>
            <w:pPr>
              <w:spacing w:after="0"/>
              <w:rPr>
                <w:sz w:val="24"/>
                <w:szCs w:val="24"/>
                <w:color w:val="auto"/>
              </w:rPr>
            </w:pPr>
          </w:p>
        </w:tc>
        <w:tc>
          <w:tcPr>
            <w:tcW w:w="3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6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247</w:t>
            </w:r>
          </w:p>
        </w:tc>
        <w:tc>
          <w:tcPr>
            <w:tcW w:w="400" w:type="dxa"/>
            <w:vAlign w:val="bottom"/>
          </w:tcPr>
          <w:p>
            <w:pPr>
              <w:spacing w:after="0"/>
              <w:rPr>
                <w:sz w:val="24"/>
                <w:szCs w:val="24"/>
                <w:color w:val="auto"/>
              </w:rPr>
            </w:pPr>
          </w:p>
        </w:tc>
      </w:tr>
      <w:tr>
        <w:trPr>
          <w:trHeight w:val="548"/>
        </w:trPr>
        <w:tc>
          <w:tcPr>
            <w:tcW w:w="4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gridSpan w:val="2"/>
          </w:tcPr>
          <w:p>
            <w:pPr>
              <w:jc w:val="right"/>
              <w:ind w:right="10"/>
              <w:spacing w:after="0"/>
              <w:rPr>
                <w:sz w:val="20"/>
                <w:szCs w:val="20"/>
                <w:color w:val="auto"/>
              </w:rPr>
            </w:pPr>
            <w:r>
              <w:rPr>
                <w:rFonts w:ascii="Arial" w:cs="Arial" w:eastAsia="Arial" w:hAnsi="Arial"/>
                <w:sz w:val="18"/>
                <w:szCs w:val="18"/>
                <w:color w:val="auto"/>
              </w:rPr>
              <w:t>53</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-2887980</wp:posOffset>
            </wp:positionV>
            <wp:extent cx="6858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-2870835</wp:posOffset>
            </wp:positionV>
            <wp:extent cx="6858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-2887980</wp:posOffset>
            </wp:positionV>
            <wp:extent cx="6858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-2870835</wp:posOffset>
            </wp:positionV>
            <wp:extent cx="6858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-2887980</wp:posOffset>
            </wp:positionV>
            <wp:extent cx="6858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-2870835</wp:posOffset>
            </wp:positionV>
            <wp:extent cx="6858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-2887980</wp:posOffset>
            </wp:positionV>
            <wp:extent cx="6032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-2870835</wp:posOffset>
            </wp:positionV>
            <wp:extent cx="60325"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-2887980</wp:posOffset>
            </wp:positionV>
            <wp:extent cx="6032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-2870835</wp:posOffset>
            </wp:positionV>
            <wp:extent cx="60325"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-2533650</wp:posOffset>
            </wp:positionV>
            <wp:extent cx="68580" cy="571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-2533650</wp:posOffset>
            </wp:positionV>
            <wp:extent cx="68580" cy="571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-2533650</wp:posOffset>
            </wp:positionV>
            <wp:extent cx="68580" cy="571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-2533650</wp:posOffset>
            </wp:positionV>
            <wp:extent cx="60325" cy="571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-2533650</wp:posOffset>
            </wp:positionV>
            <wp:extent cx="60325" cy="571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-1156335</wp:posOffset>
            </wp:positionV>
            <wp:extent cx="6858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-1139190</wp:posOffset>
            </wp:positionV>
            <wp:extent cx="6858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-1156335</wp:posOffset>
            </wp:positionV>
            <wp:extent cx="6858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-1139190</wp:posOffset>
            </wp:positionV>
            <wp:extent cx="6858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-1156335</wp:posOffset>
            </wp:positionV>
            <wp:extent cx="6858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-1139190</wp:posOffset>
            </wp:positionV>
            <wp:extent cx="6858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-1156335</wp:posOffset>
            </wp:positionV>
            <wp:extent cx="6032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-1139190</wp:posOffset>
            </wp:positionV>
            <wp:extent cx="6032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-1156335</wp:posOffset>
            </wp:positionV>
            <wp:extent cx="6032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-1139190</wp:posOffset>
            </wp:positionV>
            <wp:extent cx="6032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-471170</wp:posOffset>
            </wp:positionV>
            <wp:extent cx="6858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-453390</wp:posOffset>
            </wp:positionV>
            <wp:extent cx="6858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-471170</wp:posOffset>
            </wp:positionV>
            <wp:extent cx="6858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-453390</wp:posOffset>
            </wp:positionV>
            <wp:extent cx="6858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-471170</wp:posOffset>
            </wp:positionV>
            <wp:extent cx="6858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-453390</wp:posOffset>
            </wp:positionV>
            <wp:extent cx="6858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-471170</wp:posOffset>
            </wp:positionV>
            <wp:extent cx="60325"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-453390</wp:posOffset>
            </wp:positionV>
            <wp:extent cx="60325"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-471170</wp:posOffset>
            </wp:positionV>
            <wp:extent cx="60325"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-453390</wp:posOffset>
            </wp:positionV>
            <wp:extent cx="60325"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53" w:name="page54"/>
    <w:bookmarkEnd w:id="53"/>
    <w:p>
      <w:pPr>
        <w:spacing w:after="0"/>
        <w:rPr>
          <w:sz w:val="20"/>
          <w:szCs w:val="20"/>
          <w:color w:val="auto"/>
        </w:rPr>
      </w:pPr>
      <w:r>
        <w:rPr>
          <w:rFonts w:ascii="Arial" w:cs="Arial" w:eastAsia="Arial" w:hAnsi="Arial"/>
          <w:sz w:val="20"/>
          <w:szCs w:val="20"/>
          <w:b w:val="1"/>
          <w:bCs w:val="1"/>
          <w:color w:val="auto"/>
        </w:rPr>
        <w:t>Industrial Specialties</w:t>
      </w: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color w:val="auto"/>
        </w:rPr>
        <w:t>The Industrial Specialties business is comprised of the below reportable segments:</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Specialty Additives</w:t>
      </w:r>
    </w:p>
    <w:p>
      <w:pPr>
        <w:spacing w:after="0" w:line="135"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Specialty Additives is comprised of rheology- and performance-enhancing additives serving the coatings, construction, energy, automotive and various industrial markets. Solutions include coatings additives for architectural paints, finishes and lacquers, cement- and gypsum- based dry mortars, ready-mixed joint compounds, synthetic plasters for commercial and residential construction, and specialty materials for industrial applications. Products include rheology modifiers (cellulosic and associative thickeners), foam-control agents, surfactants and wetting agents, pH neutralizers, advanced ceramics used in catalytic converters, and environmental filters, ingredients that aid the manufacturing process of ceramic capacitors, plasma display panels and solar cells, ingredients for textile printing, thermoplastic metals and alloys for welding. Products help improve desired functional outcomes through rheology modification and control, water retention, workability, adhesive strength, binding power, film formation, deposition and suspension and emulsification. Customers include global paint manufacturers, electronics and automotive manufacturers, textile mills, the construction industry, and welders.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Performance Adhesives</w:t>
      </w:r>
    </w:p>
    <w:p>
      <w:pPr>
        <w:spacing w:after="0" w:line="135"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Performance Adhesives is comprised of adhesives used in packaging, converting and structural applications. Packaging adhesives has an extensive line of pressure sensitive adhesives, functional coatings and primers combined with innovative technology solutions for narrow-, mid- and wide-web applications. Products meet stringent requirements in food and beverage safety, shipping, transportation, health and beauty, industrial, postage and security printing. Structural adhesives include light weighting vehicles and eliminating VOCs in buildings. Customers include converters of packaging materials, manufacturers of building materials and tier one suppliers to transportation industry.</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June 2021 quarter compared to June 2020 quarter</w:t>
      </w:r>
    </w:p>
    <w:p>
      <w:pPr>
        <w:spacing w:after="0" w:line="135" w:lineRule="exact"/>
        <w:rPr>
          <w:sz w:val="20"/>
          <w:szCs w:val="20"/>
          <w:color w:val="auto"/>
        </w:rPr>
      </w:pPr>
    </w:p>
    <w:p>
      <w:pPr>
        <w:jc w:val="both"/>
        <w:spacing w:after="0" w:line="299" w:lineRule="auto"/>
        <w:rPr>
          <w:sz w:val="20"/>
          <w:szCs w:val="20"/>
          <w:color w:val="auto"/>
        </w:rPr>
      </w:pPr>
      <w:r>
        <w:rPr>
          <w:rFonts w:ascii="Arial" w:cs="Arial" w:eastAsia="Arial" w:hAnsi="Arial"/>
          <w:sz w:val="19"/>
          <w:szCs w:val="19"/>
          <w:color w:val="auto"/>
        </w:rPr>
        <w:t>Industrial Specialties’ sales increased $58 million to $263 million in the current quarter. Specialty Additives represented and increase of $34 million and Performance Adhesives showed an increase of $24 million. Higher volume, favorable currency exchange and product pricing increased sales by $43 million, $8 million and $7 million, respectively.</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Operating income remained consistent at $28 million for the current quarter. Specialty Additives and Performance Adhesives recorded income of $15 million and $13 million, respectively. Higher volume, favorable price/mix, and foreign currency exchange increased operating income by $12 million, $2 million and $1 million, respectively. These increases were offset by higher production costs and increased environmental of $14 million and $1 million, respectively. Current quarter EBITDA remained consistent at $52 million while Adjusted EBITDA increased $1 million to $55 million, of which $39 million and $16 million originated from Specialty Additives and Performance Adhesives, respectively. Adjusted EBITDA margin decreased 5.4 percentage points in the current quarter to 20.9%.</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Fiscal 2021 year-to-date compared to fiscal 2020 year-to-date</w:t>
      </w:r>
    </w:p>
    <w:p>
      <w:pPr>
        <w:spacing w:after="0" w:line="135"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Industrial Specialties’ sales increased $83 million to $741 million in the current period. Specialty Additives and Performance Adhesives represented $45 million and $38 million of the increase, respectively. Higher volume, favorable currency exchange and product pricing increased sales by $60 million, $20 and $3 million, respectively.</w:t>
      </w:r>
    </w:p>
    <w:p>
      <w:pPr>
        <w:spacing w:after="0" w:line="78"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Operating income increased $185 million to $88 million for the current period. Specialty Additives and Performance Adhesives recorded income of $36 million and $52 million, respectively, up $173 million and $12 million from the prior year period, respectively. Higher volume, favorable price/mix, foreign currency exchange and a prior year goodwill impairment increased operating income by $15 million, $11 million, $2 million and $174 million, respectively. Those improvements were partially offset by higher production costs, a capital project impairment and an environmental reserve adjustment of $7 million, $9 million and $1 million, respectively. Current period EBITDA increased $187 million to $161 million, $99 million income in Specialty Additives and $62 million income in Performance Adhesives. Adjusted EBITDA increased $23 million to $173 million, of which $111 million and $62</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68" w:right="719" w:bottom="1440" w:gutter="0" w:footer="0" w:header="0"/>
        </w:sectPr>
      </w:pPr>
    </w:p>
    <w:bookmarkStart w:id="54" w:name="page55"/>
    <w:bookmarkEnd w:id="54"/>
    <w:p>
      <w:pPr>
        <w:jc w:val="both"/>
        <w:spacing w:after="0" w:line="288" w:lineRule="auto"/>
        <w:rPr>
          <w:sz w:val="20"/>
          <w:szCs w:val="20"/>
          <w:color w:val="auto"/>
        </w:rPr>
      </w:pPr>
      <w:r>
        <w:rPr>
          <w:rFonts w:ascii="Arial" w:cs="Arial" w:eastAsia="Arial" w:hAnsi="Arial"/>
          <w:sz w:val="20"/>
          <w:szCs w:val="20"/>
          <w:color w:val="auto"/>
        </w:rPr>
        <w:t>million originated from Specialty Additives and Performance Adhesives, respectively. Adjusted EBITDA margin increased 0.6 percentage points in the current period to 23.4%.</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EBITDA and adjusted EBITDA reconciliation</w:t>
      </w:r>
    </w:p>
    <w:p>
      <w:pPr>
        <w:spacing w:after="0" w:line="135" w:lineRule="exact"/>
        <w:rPr>
          <w:sz w:val="20"/>
          <w:szCs w:val="20"/>
          <w:color w:val="auto"/>
        </w:rPr>
      </w:pPr>
    </w:p>
    <w:p>
      <w:pPr>
        <w:jc w:val="both"/>
        <w:spacing w:after="0" w:line="305" w:lineRule="auto"/>
        <w:rPr>
          <w:sz w:val="20"/>
          <w:szCs w:val="20"/>
          <w:color w:val="auto"/>
        </w:rPr>
      </w:pPr>
      <w:r>
        <w:rPr>
          <w:rFonts w:ascii="Arial" w:cs="Arial" w:eastAsia="Arial" w:hAnsi="Arial"/>
          <w:sz w:val="18"/>
          <w:szCs w:val="18"/>
          <w:color w:val="auto"/>
        </w:rPr>
        <w:t>The following EBITDA and Adjusted EBITDA presentation (as defined and described in the section above) for the three and nine months ended June 30, 2021 and 2020 below is provided as a means to enhance the understanding of financial measurements that Ashland has internally determined to be relevant measures of comparison for the results of Industrial Specialties. Adjusted EBITDA results have been prepared to illustrate the ongoing effects of Ashland’s operations, which exclude certain key items. The key items during the three and nine months ended June 30, 2021 related to a capital project impairment and environmental reserve adjustments within Specialty Additives. The key items during the three and nine months ended June 30, 2020 related to a goodwill impairment and environmental reserve adjustments for Specialty Additives.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204470</wp:posOffset>
            </wp:positionV>
            <wp:extent cx="662622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Specialty Additives</w:t>
            </w:r>
          </w:p>
        </w:tc>
        <w:tc>
          <w:tcPr>
            <w:tcW w:w="4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color w:val="auto"/>
                <w:w w:val="91"/>
              </w:rPr>
              <w:t>Performance Adhesives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color w:val="auto"/>
                <w:w w:val="93"/>
              </w:rPr>
              <w:t>Industrial Specialties</w:t>
            </w:r>
          </w:p>
        </w:tc>
      </w:tr>
      <w:tr>
        <w:trPr>
          <w:trHeight w:val="243"/>
        </w:trPr>
        <w:tc>
          <w:tcPr>
            <w:tcW w:w="37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7"/>
          </w:tcPr>
          <w:p>
            <w:pPr>
              <w:jc w:val="right"/>
              <w:ind w:right="190"/>
              <w:spacing w:after="0"/>
              <w:rPr>
                <w:sz w:val="20"/>
                <w:szCs w:val="20"/>
                <w:color w:val="auto"/>
              </w:rPr>
            </w:pPr>
            <w:r>
              <w:rPr>
                <w:rFonts w:ascii="Arial" w:cs="Arial" w:eastAsia="Arial" w:hAnsi="Arial"/>
                <w:sz w:val="18"/>
                <w:szCs w:val="18"/>
                <w:color w:val="auto"/>
                <w:w w:val="87"/>
              </w:rPr>
              <w:t>Three months ended June 30</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r>
      <w:tr>
        <w:trPr>
          <w:trHeight w:val="250"/>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4"/>
              </w:rPr>
              <w:t>2020</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r>
      <w:tr>
        <w:trPr>
          <w:trHeight w:val="250"/>
        </w:trPr>
        <w:tc>
          <w:tcPr>
            <w:tcW w:w="3720" w:type="dxa"/>
            <w:vAlign w:val="bottom"/>
          </w:tcPr>
          <w:p>
            <w:pPr>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70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63"/>
        </w:trPr>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FF0FC"/>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20</w:t>
            </w:r>
          </w:p>
        </w:tc>
        <w:tc>
          <w:tcPr>
            <w:tcW w:w="40" w:type="dxa"/>
            <w:vAlign w:val="bottom"/>
            <w:tcBorders>
              <w:bottom w:val="single" w:sz="8" w:color="auto"/>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24</w:t>
            </w:r>
          </w:p>
        </w:tc>
      </w:tr>
      <w:tr>
        <w:trPr>
          <w:trHeight w:val="250"/>
        </w:trPr>
        <w:tc>
          <w:tcPr>
            <w:tcW w:w="3720" w:type="dxa"/>
            <w:vAlign w:val="bottom"/>
          </w:tcPr>
          <w:p>
            <w:pPr>
              <w:spacing w:after="0"/>
              <w:rPr>
                <w:sz w:val="20"/>
                <w:szCs w:val="20"/>
                <w:color w:val="auto"/>
              </w:rPr>
            </w:pPr>
            <w:r>
              <w:rPr>
                <w:rFonts w:ascii="Arial" w:cs="Arial" w:eastAsia="Arial" w:hAnsi="Arial"/>
                <w:sz w:val="18"/>
                <w:szCs w:val="18"/>
                <w:color w:val="auto"/>
              </w:rPr>
              <w:t>EBITDA</w:t>
            </w: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w:t>
            </w:r>
          </w:p>
        </w:tc>
        <w:tc>
          <w:tcPr>
            <w:tcW w:w="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w:t>
            </w:r>
          </w:p>
        </w:tc>
      </w:tr>
      <w:tr>
        <w:trPr>
          <w:trHeight w:val="20"/>
        </w:trPr>
        <w:tc>
          <w:tcPr>
            <w:tcW w:w="3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37"/>
        </w:trPr>
        <w:tc>
          <w:tcPr>
            <w:tcW w:w="37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Environmental reserve adjustments</w:t>
            </w:r>
          </w:p>
        </w:tc>
        <w:tc>
          <w:tcPr>
            <w:tcW w:w="2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r>
      <w:tr>
        <w:trPr>
          <w:trHeight w:val="250"/>
        </w:trPr>
        <w:tc>
          <w:tcPr>
            <w:tcW w:w="3720" w:type="dxa"/>
            <w:vAlign w:val="bottom"/>
          </w:tcPr>
          <w:p>
            <w:pPr>
              <w:spacing w:after="0"/>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w:t>
            </w:r>
          </w:p>
        </w:tc>
        <w:tc>
          <w:tcPr>
            <w:tcW w:w="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w:t>
            </w:r>
          </w:p>
        </w:tc>
      </w:tr>
      <w:tr>
        <w:trPr>
          <w:trHeight w:val="20"/>
        </w:trPr>
        <w:tc>
          <w:tcPr>
            <w:tcW w:w="3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r>
      <w:tr>
        <w:trPr>
          <w:trHeight w:val="237"/>
        </w:trPr>
        <w:tc>
          <w:tcPr>
            <w:tcW w:w="3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spacing w:after="0"/>
              <w:rPr>
                <w:sz w:val="20"/>
                <w:szCs w:val="20"/>
                <w:color w:val="auto"/>
              </w:rPr>
            </w:pPr>
          </w:p>
        </w:tc>
      </w:tr>
      <w:tr>
        <w:trPr>
          <w:trHeight w:val="243"/>
        </w:trPr>
        <w:tc>
          <w:tcPr>
            <w:tcW w:w="37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Specialty Additives</w:t>
            </w:r>
          </w:p>
        </w:tc>
        <w:tc>
          <w:tcPr>
            <w:tcW w:w="4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color w:val="auto"/>
                <w:w w:val="91"/>
              </w:rPr>
              <w:t>Performance Adhesives</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color w:val="auto"/>
                <w:w w:val="93"/>
              </w:rPr>
              <w:t>Industrial Specialties</w:t>
            </w:r>
          </w:p>
        </w:tc>
      </w:tr>
      <w:tr>
        <w:trPr>
          <w:trHeight w:val="250"/>
        </w:trPr>
        <w:tc>
          <w:tcPr>
            <w:tcW w:w="37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8"/>
                <w:szCs w:val="18"/>
                <w:color w:val="auto"/>
                <w:w w:val="87"/>
              </w:rPr>
              <w:t>Nine months ended June 30</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r>
      <w:tr>
        <w:trPr>
          <w:trHeight w:val="250"/>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4"/>
              </w:rPr>
              <w:t>2020</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r>
      <w:tr>
        <w:trPr>
          <w:trHeight w:val="250"/>
        </w:trPr>
        <w:tc>
          <w:tcPr>
            <w:tcW w:w="3720" w:type="dxa"/>
            <w:vAlign w:val="bottom"/>
          </w:tcPr>
          <w:p>
            <w:pPr>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36</w:t>
            </w:r>
          </w:p>
        </w:tc>
        <w:tc>
          <w:tcPr>
            <w:tcW w:w="70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(137 )</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(97 )</w:t>
            </w:r>
          </w:p>
        </w:tc>
      </w:tr>
      <w:tr>
        <w:trPr>
          <w:trHeight w:val="263"/>
        </w:trPr>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FF0FC"/>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60</w:t>
            </w:r>
          </w:p>
        </w:tc>
        <w:tc>
          <w:tcPr>
            <w:tcW w:w="40" w:type="dxa"/>
            <w:vAlign w:val="bottom"/>
            <w:tcBorders>
              <w:bottom w:val="single" w:sz="8" w:color="auto"/>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71</w:t>
            </w:r>
          </w:p>
        </w:tc>
      </w:tr>
      <w:tr>
        <w:trPr>
          <w:trHeight w:val="250"/>
        </w:trPr>
        <w:tc>
          <w:tcPr>
            <w:tcW w:w="3720" w:type="dxa"/>
            <w:vAlign w:val="bottom"/>
          </w:tcPr>
          <w:p>
            <w:pPr>
              <w:spacing w:after="0"/>
              <w:rPr>
                <w:sz w:val="20"/>
                <w:szCs w:val="20"/>
                <w:color w:val="auto"/>
              </w:rPr>
            </w:pPr>
            <w:r>
              <w:rPr>
                <w:rFonts w:ascii="Arial" w:cs="Arial" w:eastAsia="Arial" w:hAnsi="Arial"/>
                <w:sz w:val="18"/>
                <w:szCs w:val="18"/>
                <w:color w:val="auto"/>
              </w:rPr>
              <w:t>EBITDA</w:t>
            </w: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(77 )</w:t>
            </w:r>
          </w:p>
        </w:tc>
        <w:tc>
          <w:tcPr>
            <w:tcW w:w="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(26 )</w:t>
            </w:r>
          </w:p>
        </w:tc>
      </w:tr>
      <w:tr>
        <w:trPr>
          <w:trHeight w:val="20"/>
        </w:trPr>
        <w:tc>
          <w:tcPr>
            <w:tcW w:w="3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37"/>
        </w:trPr>
        <w:tc>
          <w:tcPr>
            <w:tcW w:w="3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Capital project impairment</w:t>
            </w: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3720" w:type="dxa"/>
            <w:vAlign w:val="bottom"/>
          </w:tcPr>
          <w:p>
            <w:pPr>
              <w:ind w:left="120"/>
              <w:spacing w:after="0"/>
              <w:rPr>
                <w:sz w:val="20"/>
                <w:szCs w:val="20"/>
                <w:color w:val="auto"/>
              </w:rPr>
            </w:pPr>
            <w:r>
              <w:rPr>
                <w:rFonts w:ascii="Arial" w:cs="Arial" w:eastAsia="Arial" w:hAnsi="Arial"/>
                <w:sz w:val="18"/>
                <w:szCs w:val="18"/>
                <w:color w:val="auto"/>
              </w:rPr>
              <w:t>Goodwill impairment</w:t>
            </w:r>
          </w:p>
        </w:tc>
        <w:tc>
          <w:tcPr>
            <w:tcW w:w="24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174</w:t>
            </w:r>
          </w:p>
        </w:tc>
      </w:tr>
      <w:tr>
        <w:trPr>
          <w:trHeight w:val="263"/>
        </w:trPr>
        <w:tc>
          <w:tcPr>
            <w:tcW w:w="37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Environmental reserve adjustments</w:t>
            </w:r>
          </w:p>
        </w:tc>
        <w:tc>
          <w:tcPr>
            <w:tcW w:w="24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auto"/>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r>
      <w:tr>
        <w:trPr>
          <w:trHeight w:val="250"/>
        </w:trPr>
        <w:tc>
          <w:tcPr>
            <w:tcW w:w="3720" w:type="dxa"/>
            <w:vAlign w:val="bottom"/>
          </w:tcPr>
          <w:p>
            <w:pPr>
              <w:spacing w:after="0"/>
              <w:rPr>
                <w:sz w:val="20"/>
                <w:szCs w:val="20"/>
                <w:color w:val="auto"/>
              </w:rPr>
            </w:pPr>
            <w:r>
              <w:rPr>
                <w:rFonts w:ascii="Arial" w:cs="Arial" w:eastAsia="Arial" w:hAnsi="Arial"/>
                <w:sz w:val="18"/>
                <w:szCs w:val="18"/>
                <w:color w:val="auto"/>
              </w:rPr>
              <w:t>Adjusted EBITDA</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111</w:t>
            </w:r>
          </w:p>
        </w:tc>
        <w:tc>
          <w:tcPr>
            <w:tcW w:w="70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173</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150</w:t>
            </w:r>
          </w:p>
        </w:tc>
      </w:tr>
      <w:tr>
        <w:trPr>
          <w:trHeight w:val="20"/>
        </w:trPr>
        <w:tc>
          <w:tcPr>
            <w:tcW w:w="3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3081020</wp:posOffset>
            </wp:positionH>
            <wp:positionV relativeFrom="paragraph">
              <wp:posOffset>-2447925</wp:posOffset>
            </wp:positionV>
            <wp:extent cx="68580" cy="571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3844290</wp:posOffset>
            </wp:positionH>
            <wp:positionV relativeFrom="paragraph">
              <wp:posOffset>-2447925</wp:posOffset>
            </wp:positionV>
            <wp:extent cx="68580" cy="571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4598670</wp:posOffset>
            </wp:positionH>
            <wp:positionV relativeFrom="paragraph">
              <wp:posOffset>-2447925</wp:posOffset>
            </wp:positionV>
            <wp:extent cx="60325" cy="571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5327015</wp:posOffset>
            </wp:positionH>
            <wp:positionV relativeFrom="paragraph">
              <wp:posOffset>-2447925</wp:posOffset>
            </wp:positionV>
            <wp:extent cx="60325" cy="571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5987415</wp:posOffset>
            </wp:positionH>
            <wp:positionV relativeFrom="paragraph">
              <wp:posOffset>-2447925</wp:posOffset>
            </wp:positionV>
            <wp:extent cx="60325" cy="571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3081020</wp:posOffset>
            </wp:positionH>
            <wp:positionV relativeFrom="paragraph">
              <wp:posOffset>-2087880</wp:posOffset>
            </wp:positionV>
            <wp:extent cx="68580" cy="571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3844290</wp:posOffset>
            </wp:positionH>
            <wp:positionV relativeFrom="paragraph">
              <wp:posOffset>-2087880</wp:posOffset>
            </wp:positionV>
            <wp:extent cx="68580" cy="571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4598670</wp:posOffset>
            </wp:positionH>
            <wp:positionV relativeFrom="paragraph">
              <wp:posOffset>-2087880</wp:posOffset>
            </wp:positionV>
            <wp:extent cx="60325" cy="571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5327015</wp:posOffset>
            </wp:positionH>
            <wp:positionV relativeFrom="paragraph">
              <wp:posOffset>-2087880</wp:posOffset>
            </wp:positionV>
            <wp:extent cx="60325" cy="571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5987415</wp:posOffset>
            </wp:positionH>
            <wp:positionV relativeFrom="paragraph">
              <wp:posOffset>-2087880</wp:posOffset>
            </wp:positionV>
            <wp:extent cx="60325" cy="571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3081020</wp:posOffset>
            </wp:positionH>
            <wp:positionV relativeFrom="paragraph">
              <wp:posOffset>-879475</wp:posOffset>
            </wp:positionV>
            <wp:extent cx="68580" cy="571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3844290</wp:posOffset>
            </wp:positionH>
            <wp:positionV relativeFrom="paragraph">
              <wp:posOffset>-879475</wp:posOffset>
            </wp:positionV>
            <wp:extent cx="68580" cy="571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4598670</wp:posOffset>
            </wp:positionH>
            <wp:positionV relativeFrom="paragraph">
              <wp:posOffset>-879475</wp:posOffset>
            </wp:positionV>
            <wp:extent cx="60325" cy="571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5327015</wp:posOffset>
            </wp:positionH>
            <wp:positionV relativeFrom="paragraph">
              <wp:posOffset>-879475</wp:posOffset>
            </wp:positionV>
            <wp:extent cx="60325" cy="571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5987415</wp:posOffset>
            </wp:positionH>
            <wp:positionV relativeFrom="paragraph">
              <wp:posOffset>-879475</wp:posOffset>
            </wp:positionV>
            <wp:extent cx="60325" cy="571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3081020</wp:posOffset>
            </wp:positionH>
            <wp:positionV relativeFrom="paragraph">
              <wp:posOffset>-193675</wp:posOffset>
            </wp:positionV>
            <wp:extent cx="68580" cy="571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3844290</wp:posOffset>
            </wp:positionH>
            <wp:positionV relativeFrom="paragraph">
              <wp:posOffset>-193675</wp:posOffset>
            </wp:positionV>
            <wp:extent cx="68580" cy="571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4598670</wp:posOffset>
            </wp:positionH>
            <wp:positionV relativeFrom="paragraph">
              <wp:posOffset>-193675</wp:posOffset>
            </wp:positionV>
            <wp:extent cx="60325" cy="571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5327015</wp:posOffset>
            </wp:positionH>
            <wp:positionV relativeFrom="paragraph">
              <wp:posOffset>-193675</wp:posOffset>
            </wp:positionV>
            <wp:extent cx="60325" cy="571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5987415</wp:posOffset>
            </wp:positionH>
            <wp:positionV relativeFrom="paragraph">
              <wp:posOffset>-193675</wp:posOffset>
            </wp:positionV>
            <wp:extent cx="60325" cy="571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Intermediates and Solvents</w:t>
      </w:r>
    </w:p>
    <w:p>
      <w:pPr>
        <w:spacing w:after="0" w:line="141"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Intermediates and Solvents is comprised of the production of 1,4 butanediol (BDO) and related derivatives, including n-methylpyrrolidone. These products are used as chemical intermediates in the production of engineering polymers and polyurethanes, and as specialty process solvents in a wide array of applications including electronics, pharmaceuticals, water filtration membranes and more. Butanediol is also provided to Life Sciences, Personal Care, and Specialty Additives for use as a raw material.</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June 2021 quarter compared to June 2020 quarter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Intermediates and Solvents’ sales increased $12 million to $49 million in the current period primarily due to higher product pricing.</w:t>
      </w:r>
    </w:p>
    <w:p>
      <w:pPr>
        <w:spacing w:after="0" w:line="158" w:lineRule="exact"/>
        <w:rPr>
          <w:sz w:val="20"/>
          <w:szCs w:val="20"/>
          <w:color w:val="auto"/>
        </w:rPr>
      </w:pPr>
    </w:p>
    <w:p>
      <w:pPr>
        <w:jc w:val="both"/>
        <w:spacing w:after="0" w:line="322" w:lineRule="auto"/>
        <w:rPr>
          <w:sz w:val="20"/>
          <w:szCs w:val="20"/>
          <w:color w:val="auto"/>
        </w:rPr>
      </w:pPr>
      <w:r>
        <w:rPr>
          <w:rFonts w:ascii="Arial" w:cs="Arial" w:eastAsia="Arial" w:hAnsi="Arial"/>
          <w:sz w:val="18"/>
          <w:szCs w:val="18"/>
          <w:color w:val="auto"/>
        </w:rPr>
        <w:t>Operating income/loss increased $4 million to $11 million for the current quarter. Price/mix increased operating income by $9 million and was partially offset by higher production costs which decreased operating income by $5 million. Current quarter EBITDA and Adjusted EBITDA increased $4 million to $15 million. Adjusted EBITDA margin for the current quarter was 30.6%.</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Fiscal 2021 year-to-date compared to fiscal 2020 year-to-date</w:t>
      </w:r>
    </w:p>
    <w:p>
      <w:pPr>
        <w:spacing w:after="0" w:line="135"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Intermediates and Solvents’ sales increased $16 million to $118 million in the current period primarily due to product pricing and higher volume.</w:t>
      </w:r>
    </w:p>
    <w:p>
      <w:pPr>
        <w:spacing w:after="0" w:line="69"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Operating income/loss increased $24 million to $17 million for the current period. Pricing/mix, lower production costs and prior year inventory adjustments increased operating income by $10 million, $13 million and $4 million,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74" w:right="719" w:bottom="1440" w:gutter="0" w:footer="0" w:header="0"/>
        </w:sectPr>
      </w:pPr>
    </w:p>
    <w:bookmarkStart w:id="55" w:name="page56"/>
    <w:bookmarkEnd w:id="55"/>
    <w:p>
      <w:pPr>
        <w:jc w:val="both"/>
        <w:spacing w:after="0" w:line="278" w:lineRule="auto"/>
        <w:rPr>
          <w:sz w:val="20"/>
          <w:szCs w:val="20"/>
          <w:color w:val="auto"/>
        </w:rPr>
      </w:pPr>
      <w:r>
        <w:rPr>
          <w:rFonts w:ascii="Arial" w:cs="Arial" w:eastAsia="Arial" w:hAnsi="Arial"/>
          <w:sz w:val="20"/>
          <w:szCs w:val="20"/>
          <w:color w:val="auto"/>
        </w:rPr>
        <w:t>respectively. This increase was partially offset by unfavorable volume which decreased operating income by $3 million. Current period EBITDA increased $24 million to $27 million, while Adjusted EBITDA increased $20 million to $27 million. Adjusted EBITDA margin for the current period was 22.9%.</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EBITDA and Adjusted EBITDA reconciliation</w:t>
      </w:r>
    </w:p>
    <w:p>
      <w:pPr>
        <w:spacing w:after="0" w:line="135"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The following EBITDA presentation (as defined and described in the section above) for the three and nine months ended June 30, 2021 and 2020 is provided as a means to enhance the understanding of financial measurements that Ashland has internally determined to be relevant measures of comparison for the results of Intermediates and Solvents. Key items for the nine months ended June 30, 2020 included an inventory adjustment of $4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55245</wp:posOffset>
            </wp:positionV>
            <wp:extent cx="662622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9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gridSpan w:val="3"/>
          </w:tcPr>
          <w:p>
            <w:pPr>
              <w:jc w:val="right"/>
              <w:ind w:right="50"/>
              <w:spacing w:after="0"/>
              <w:rPr>
                <w:sz w:val="20"/>
                <w:szCs w:val="20"/>
                <w:color w:val="auto"/>
              </w:rPr>
            </w:pPr>
            <w:r>
              <w:rPr>
                <w:rFonts w:ascii="Arial" w:cs="Arial" w:eastAsia="Arial" w:hAnsi="Arial"/>
                <w:sz w:val="18"/>
                <w:szCs w:val="18"/>
                <w:color w:val="auto"/>
              </w:rPr>
              <w:t>Three months ended</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20" w:type="dxa"/>
            <w:vAlign w:val="bottom"/>
            <w:gridSpan w:val="3"/>
          </w:tcPr>
          <w:p>
            <w:pPr>
              <w:jc w:val="right"/>
              <w:ind w:right="140"/>
              <w:spacing w:after="0"/>
              <w:rPr>
                <w:sz w:val="20"/>
                <w:szCs w:val="20"/>
                <w:color w:val="auto"/>
              </w:rPr>
            </w:pPr>
            <w:r>
              <w:rPr>
                <w:rFonts w:ascii="Arial" w:cs="Arial" w:eastAsia="Arial" w:hAnsi="Arial"/>
                <w:sz w:val="18"/>
                <w:szCs w:val="18"/>
                <w:color w:val="auto"/>
              </w:rPr>
              <w:t>Nine months ended</w:t>
            </w:r>
          </w:p>
        </w:tc>
        <w:tc>
          <w:tcPr>
            <w:tcW w:w="600" w:type="dxa"/>
            <w:vAlign w:val="bottom"/>
          </w:tcPr>
          <w:p>
            <w:pPr>
              <w:spacing w:after="0"/>
              <w:rPr>
                <w:sz w:val="20"/>
                <w:szCs w:val="20"/>
                <w:color w:val="auto"/>
              </w:rPr>
            </w:pPr>
          </w:p>
        </w:tc>
      </w:tr>
      <w:tr>
        <w:trPr>
          <w:trHeight w:val="263"/>
        </w:trPr>
        <w:tc>
          <w:tcPr>
            <w:tcW w:w="46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color w:val="auto"/>
              </w:rPr>
              <w:t>June 30</w:t>
            </w:r>
          </w:p>
        </w:tc>
        <w:tc>
          <w:tcPr>
            <w:tcW w:w="6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8"/>
                <w:szCs w:val="18"/>
                <w:color w:val="auto"/>
              </w:rPr>
              <w:t>June 30</w:t>
            </w:r>
          </w:p>
        </w:tc>
        <w:tc>
          <w:tcPr>
            <w:tcW w:w="600" w:type="dxa"/>
            <w:vAlign w:val="bottom"/>
            <w:tcBorders>
              <w:bottom w:val="single" w:sz="8" w:color="auto"/>
            </w:tcBorders>
          </w:tcPr>
          <w:p>
            <w:pPr>
              <w:spacing w:after="0"/>
              <w:rPr>
                <w:sz w:val="22"/>
                <w:szCs w:val="22"/>
                <w:color w:val="auto"/>
              </w:rPr>
            </w:pPr>
          </w:p>
        </w:tc>
      </w:tr>
      <w:tr>
        <w:trPr>
          <w:trHeight w:val="250"/>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r>
      <w:tr>
        <w:trPr>
          <w:trHeight w:val="256"/>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c>
          <w:tcPr>
            <w:tcW w:w="880" w:type="dxa"/>
            <w:vAlign w:val="bottom"/>
            <w:gridSpan w:val="2"/>
            <w:shd w:val="clear" w:color="auto" w:fill="CFF0FC"/>
          </w:tcPr>
          <w:p>
            <w:pPr>
              <w:jc w:val="right"/>
              <w:ind w:right="5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4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c>
          <w:tcPr>
            <w:tcW w:w="840" w:type="dxa"/>
            <w:vAlign w:val="bottom"/>
            <w:gridSpan w:val="2"/>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(7 )</w:t>
            </w:r>
          </w:p>
        </w:tc>
      </w:tr>
      <w:tr>
        <w:trPr>
          <w:trHeight w:val="257"/>
        </w:trPr>
        <w:tc>
          <w:tcPr>
            <w:tcW w:w="46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r>
      <w:tr>
        <w:trPr>
          <w:trHeight w:val="29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EBITDA</w:t>
            </w:r>
          </w:p>
        </w:tc>
        <w:tc>
          <w:tcPr>
            <w:tcW w:w="360" w:type="dxa"/>
            <w:vAlign w:val="bottom"/>
            <w:shd w:val="clear" w:color="auto" w:fill="CFF0FC"/>
          </w:tcPr>
          <w:p>
            <w:pPr>
              <w:spacing w:after="0"/>
              <w:rPr>
                <w:sz w:val="24"/>
                <w:szCs w:val="24"/>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c>
          <w:tcPr>
            <w:tcW w:w="4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w:t>
            </w:r>
          </w:p>
        </w:tc>
        <w:tc>
          <w:tcPr>
            <w:tcW w:w="840" w:type="dxa"/>
            <w:vAlign w:val="bottom"/>
            <w:gridSpan w:val="2"/>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r>
      <w:tr>
        <w:trPr>
          <w:trHeight w:val="237"/>
        </w:trPr>
        <w:tc>
          <w:tcPr>
            <w:tcW w:w="4660" w:type="dxa"/>
            <w:vAlign w:val="bottom"/>
            <w:tcBorders>
              <w:top w:val="single" w:sz="8" w:color="CFF0FC"/>
            </w:tcBorders>
          </w:tcPr>
          <w:p>
            <w:pPr>
              <w:ind w:left="120"/>
              <w:spacing w:after="0"/>
              <w:rPr>
                <w:sz w:val="20"/>
                <w:szCs w:val="20"/>
                <w:color w:val="auto"/>
              </w:rPr>
            </w:pPr>
            <w:r>
              <w:rPr>
                <w:rFonts w:ascii="Arial" w:cs="Arial" w:eastAsia="Arial" w:hAnsi="Arial"/>
                <w:sz w:val="18"/>
                <w:szCs w:val="18"/>
                <w:color w:val="auto"/>
              </w:rPr>
              <w:t>Inventory adjustment</w:t>
            </w:r>
          </w:p>
        </w:tc>
        <w:tc>
          <w:tcPr>
            <w:tcW w:w="3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r>
      <w:tr>
        <w:trPr>
          <w:trHeight w:val="27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23"/>
                <w:szCs w:val="23"/>
                <w:color w:val="auto"/>
              </w:rPr>
            </w:pPr>
          </w:p>
        </w:tc>
        <w:tc>
          <w:tcPr>
            <w:tcW w:w="74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23"/>
                <w:szCs w:val="23"/>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w:t>
            </w:r>
          </w:p>
        </w:tc>
        <w:tc>
          <w:tcPr>
            <w:tcW w:w="840" w:type="dxa"/>
            <w:vAlign w:val="bottom"/>
            <w:gridSpan w:val="2"/>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w:t>
            </w:r>
          </w:p>
        </w:tc>
      </w:tr>
      <w:tr>
        <w:trPr>
          <w:trHeight w:val="20"/>
        </w:trPr>
        <w:tc>
          <w:tcPr>
            <w:tcW w:w="46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-385445</wp:posOffset>
            </wp:positionV>
            <wp:extent cx="8572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3852545</wp:posOffset>
            </wp:positionH>
            <wp:positionV relativeFrom="paragraph">
              <wp:posOffset>-368300</wp:posOffset>
            </wp:positionV>
            <wp:extent cx="85725"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4795520</wp:posOffset>
            </wp:positionH>
            <wp:positionV relativeFrom="paragraph">
              <wp:posOffset>-385445</wp:posOffset>
            </wp:positionV>
            <wp:extent cx="7747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4795520</wp:posOffset>
            </wp:positionH>
            <wp:positionV relativeFrom="paragraph">
              <wp:posOffset>-368300</wp:posOffset>
            </wp:positionV>
            <wp:extent cx="7747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5721350</wp:posOffset>
            </wp:positionH>
            <wp:positionV relativeFrom="paragraph">
              <wp:posOffset>-385445</wp:posOffset>
            </wp:positionV>
            <wp:extent cx="7747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5721350</wp:posOffset>
            </wp:positionH>
            <wp:positionV relativeFrom="paragraph">
              <wp:posOffset>-368300</wp:posOffset>
            </wp:positionV>
            <wp:extent cx="7747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3852545</wp:posOffset>
            </wp:positionH>
            <wp:positionV relativeFrom="paragraph">
              <wp:posOffset>-25400</wp:posOffset>
            </wp:positionV>
            <wp:extent cx="85725"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3852545</wp:posOffset>
            </wp:positionH>
            <wp:positionV relativeFrom="paragraph">
              <wp:posOffset>-7620</wp:posOffset>
            </wp:positionV>
            <wp:extent cx="8572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4795520</wp:posOffset>
            </wp:positionH>
            <wp:positionV relativeFrom="paragraph">
              <wp:posOffset>-25400</wp:posOffset>
            </wp:positionV>
            <wp:extent cx="7747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4795520</wp:posOffset>
            </wp:positionH>
            <wp:positionV relativeFrom="paragraph">
              <wp:posOffset>-7620</wp:posOffset>
            </wp:positionV>
            <wp:extent cx="7747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5721350</wp:posOffset>
            </wp:positionH>
            <wp:positionV relativeFrom="paragraph">
              <wp:posOffset>-25400</wp:posOffset>
            </wp:positionV>
            <wp:extent cx="7747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5721350</wp:posOffset>
            </wp:positionH>
            <wp:positionV relativeFrom="paragraph">
              <wp:posOffset>-7620</wp:posOffset>
            </wp:positionV>
            <wp:extent cx="7747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Unallocated and other</w:t>
      </w:r>
    </w:p>
    <w:p>
      <w:pPr>
        <w:spacing w:after="0" w:line="141"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The following table summarizes the key components of the Unallocated and other segment’s operating income (loss) for the three and nine months ended June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62865</wp:posOffset>
            </wp:positionV>
            <wp:extent cx="662622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gridSpan w:val="3"/>
          </w:tcPr>
          <w:p>
            <w:pPr>
              <w:jc w:val="right"/>
              <w:ind w:right="140"/>
              <w:spacing w:after="0"/>
              <w:rPr>
                <w:sz w:val="20"/>
                <w:szCs w:val="20"/>
                <w:color w:val="auto"/>
              </w:rPr>
            </w:pPr>
            <w:r>
              <w:rPr>
                <w:rFonts w:ascii="Arial" w:cs="Arial" w:eastAsia="Arial" w:hAnsi="Arial"/>
                <w:sz w:val="18"/>
                <w:szCs w:val="18"/>
                <w:color w:val="auto"/>
              </w:rPr>
              <w:t>Three months ended</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20" w:type="dxa"/>
            <w:vAlign w:val="bottom"/>
            <w:gridSpan w:val="3"/>
          </w:tcPr>
          <w:p>
            <w:pPr>
              <w:jc w:val="right"/>
              <w:ind w:right="140"/>
              <w:spacing w:after="0"/>
              <w:rPr>
                <w:sz w:val="20"/>
                <w:szCs w:val="20"/>
                <w:color w:val="auto"/>
              </w:rPr>
            </w:pPr>
            <w:r>
              <w:rPr>
                <w:rFonts w:ascii="Arial" w:cs="Arial" w:eastAsia="Arial" w:hAnsi="Arial"/>
                <w:sz w:val="18"/>
                <w:szCs w:val="18"/>
                <w:color w:val="auto"/>
              </w:rPr>
              <w:t>Nine months ended</w:t>
            </w:r>
          </w:p>
        </w:tc>
        <w:tc>
          <w:tcPr>
            <w:tcW w:w="600" w:type="dxa"/>
            <w:vAlign w:val="bottom"/>
          </w:tcPr>
          <w:p>
            <w:pPr>
              <w:spacing w:after="0"/>
              <w:rPr>
                <w:sz w:val="20"/>
                <w:szCs w:val="20"/>
                <w:color w:val="auto"/>
              </w:rPr>
            </w:pPr>
          </w:p>
        </w:tc>
      </w:tr>
      <w:tr>
        <w:trPr>
          <w:trHeight w:val="263"/>
        </w:trPr>
        <w:tc>
          <w:tcPr>
            <w:tcW w:w="46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8"/>
                <w:szCs w:val="18"/>
                <w:color w:val="auto"/>
              </w:rPr>
              <w:t>June 30</w:t>
            </w:r>
          </w:p>
        </w:tc>
        <w:tc>
          <w:tcPr>
            <w:tcW w:w="6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8"/>
                <w:szCs w:val="18"/>
                <w:color w:val="auto"/>
              </w:rPr>
              <w:t>June 30</w:t>
            </w:r>
          </w:p>
        </w:tc>
        <w:tc>
          <w:tcPr>
            <w:tcW w:w="600" w:type="dxa"/>
            <w:vAlign w:val="bottom"/>
            <w:tcBorders>
              <w:bottom w:val="single" w:sz="8" w:color="auto"/>
            </w:tcBorders>
          </w:tcPr>
          <w:p>
            <w:pPr>
              <w:spacing w:after="0"/>
              <w:rPr>
                <w:sz w:val="22"/>
                <w:szCs w:val="22"/>
                <w:color w:val="auto"/>
              </w:rPr>
            </w:pPr>
          </w:p>
        </w:tc>
      </w:tr>
      <w:tr>
        <w:trPr>
          <w:trHeight w:val="250"/>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r>
      <w:tr>
        <w:trPr>
          <w:trHeight w:val="256"/>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Restructuring activities</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880" w:type="dxa"/>
            <w:vAlign w:val="bottom"/>
            <w:gridSpan w:val="2"/>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(14 )</w:t>
            </w:r>
          </w:p>
        </w:tc>
        <w:tc>
          <w:tcPr>
            <w:tcW w:w="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(10 )</w:t>
            </w:r>
          </w:p>
        </w:tc>
        <w:tc>
          <w:tcPr>
            <w:tcW w:w="840" w:type="dxa"/>
            <w:vAlign w:val="bottom"/>
            <w:gridSpan w:val="2"/>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(36 )</w:t>
            </w:r>
          </w:p>
        </w:tc>
      </w:tr>
      <w:tr>
        <w:trPr>
          <w:trHeight w:val="250"/>
        </w:trPr>
        <w:tc>
          <w:tcPr>
            <w:tcW w:w="4660" w:type="dxa"/>
            <w:vAlign w:val="bottom"/>
          </w:tcPr>
          <w:p>
            <w:pPr>
              <w:spacing w:after="0"/>
              <w:rPr>
                <w:sz w:val="20"/>
                <w:szCs w:val="20"/>
                <w:color w:val="auto"/>
              </w:rPr>
            </w:pPr>
            <w:r>
              <w:rPr>
                <w:rFonts w:ascii="Arial" w:cs="Arial" w:eastAsia="Arial" w:hAnsi="Arial"/>
                <w:sz w:val="18"/>
                <w:szCs w:val="18"/>
                <w:color w:val="auto"/>
              </w:rPr>
              <w:t>Environmental expenses</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(18 )</w:t>
            </w: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(30 )</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63"/>
        </w:trPr>
        <w:tc>
          <w:tcPr>
            <w:tcW w:w="4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5"/>
              </w:rPr>
              <w:t>Other expenses (primarily governance and legacy expenses)</w:t>
            </w:r>
          </w:p>
        </w:tc>
        <w:tc>
          <w:tcPr>
            <w:tcW w:w="36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(14 )</w:t>
            </w:r>
          </w:p>
        </w:tc>
        <w:tc>
          <w:tcPr>
            <w:tcW w:w="14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(41 )</w:t>
            </w:r>
          </w:p>
        </w:tc>
        <w:tc>
          <w:tcPr>
            <w:tcW w:w="120" w:type="dxa"/>
            <w:vAlign w:val="bottom"/>
            <w:tcBorders>
              <w:bottom w:val="single" w:sz="8" w:color="CFF0FC"/>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(25 )</w:t>
            </w:r>
          </w:p>
        </w:tc>
      </w:tr>
      <w:tr>
        <w:trPr>
          <w:trHeight w:val="250"/>
        </w:trPr>
        <w:tc>
          <w:tcPr>
            <w:tcW w:w="4660" w:type="dxa"/>
            <w:vAlign w:val="bottom"/>
          </w:tcPr>
          <w:p>
            <w:pPr>
              <w:spacing w:after="0"/>
              <w:rPr>
                <w:sz w:val="20"/>
                <w:szCs w:val="20"/>
                <w:color w:val="auto"/>
              </w:rPr>
            </w:pPr>
            <w:r>
              <w:rPr>
                <w:rFonts w:ascii="Arial" w:cs="Arial" w:eastAsia="Arial" w:hAnsi="Arial"/>
                <w:sz w:val="18"/>
                <w:szCs w:val="18"/>
                <w:color w:val="auto"/>
              </w:rPr>
              <w:t>Total expense</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(30 )</w:t>
            </w:r>
          </w:p>
        </w:tc>
        <w:tc>
          <w:tcPr>
            <w:tcW w:w="8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(43 )</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(81 )</w:t>
            </w:r>
          </w:p>
        </w:tc>
        <w:tc>
          <w:tcPr>
            <w:tcW w:w="8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(87 )</w:t>
            </w:r>
          </w:p>
        </w:tc>
      </w:tr>
      <w:tr>
        <w:trPr>
          <w:trHeight w:val="20"/>
        </w:trPr>
        <w:tc>
          <w:tcPr>
            <w:tcW w:w="4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-193675</wp:posOffset>
            </wp:positionV>
            <wp:extent cx="85725" cy="571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4795520</wp:posOffset>
            </wp:positionH>
            <wp:positionV relativeFrom="paragraph">
              <wp:posOffset>-193675</wp:posOffset>
            </wp:positionV>
            <wp:extent cx="77470" cy="571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5721350</wp:posOffset>
            </wp:positionH>
            <wp:positionV relativeFrom="paragraph">
              <wp:posOffset>-193675</wp:posOffset>
            </wp:positionV>
            <wp:extent cx="77470" cy="571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7470" cy="571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June 2021 quarter compared to June 2020 quarter</w:t>
      </w:r>
    </w:p>
    <w:p>
      <w:pPr>
        <w:spacing w:after="0" w:line="135"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Unallocated and other recorded expense of $30 million and $43 million for the three months ended June 30, 2021 and 2020, respectively. The current and prior year quarters included income of $2 million and charges of $14 million, respectively, for restructuring activities mainly comprised of severance, lease abandonment and other restructuring costs related to company-wide cost reduction programs during the current and prior year quarters, respectively.</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The current quarter and prior year quarter included $18 million for environmental expenses.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Other expenses increase of $3 million is primarily as a result of higher deferred compensation expense and incentive accruals.</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Fiscal 2021 year-to-date compared to fiscal 2020 year-to-date</w:t>
      </w:r>
    </w:p>
    <w:p>
      <w:pPr>
        <w:spacing w:after="0" w:line="135"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Unallocated and other recorded expense of $81 million and $87 million for the nine months ended June 30, 2021 and 2020, respectively. The current and prior year periods included charges for restructuring activities of $10 million and $36 million, respectively, which were comprised of severance, lease abandonment and other restructuring costs related to company-wide cost reduction programs during the current and prior year periods.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The current and prior year periods included $30 million and $26 million for environmental expenses, respectively.</w:t>
      </w:r>
    </w:p>
    <w:p>
      <w:pPr>
        <w:spacing w:after="0" w:line="135"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Other expenses increased $16 million primarily as a result of unfavorable foreign currency and higher employee incentive compensation expenses.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74" w:right="719" w:bottom="1440" w:gutter="0" w:footer="0" w:header="0"/>
        </w:sectPr>
      </w:pPr>
    </w:p>
    <w:bookmarkStart w:id="56" w:name="page57"/>
    <w:bookmarkEnd w:id="56"/>
    <w:p>
      <w:pPr>
        <w:spacing w:after="0"/>
        <w:rPr>
          <w:sz w:val="20"/>
          <w:szCs w:val="20"/>
          <w:color w:val="auto"/>
        </w:rPr>
      </w:pPr>
      <w:r>
        <w:rPr>
          <w:rFonts w:ascii="Arial" w:cs="Arial" w:eastAsia="Arial" w:hAnsi="Arial"/>
          <w:sz w:val="20"/>
          <w:szCs w:val="20"/>
          <w:b w:val="1"/>
          <w:bCs w:val="1"/>
          <w:color w:val="auto"/>
        </w:rPr>
        <w:t>FINANCIAL POSITION</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Liquidity</w:t>
      </w:r>
    </w:p>
    <w:p>
      <w:pPr>
        <w:spacing w:after="0" w:line="141" w:lineRule="exact"/>
        <w:rPr>
          <w:sz w:val="20"/>
          <w:szCs w:val="20"/>
          <w:color w:val="auto"/>
        </w:rPr>
      </w:pPr>
    </w:p>
    <w:p>
      <w:pPr>
        <w:jc w:val="both"/>
        <w:ind w:left="380" w:right="380"/>
        <w:spacing w:after="0" w:line="272" w:lineRule="auto"/>
        <w:rPr>
          <w:sz w:val="20"/>
          <w:szCs w:val="20"/>
          <w:color w:val="auto"/>
        </w:rPr>
      </w:pPr>
      <w:r>
        <w:rPr>
          <w:rFonts w:ascii="Arial" w:cs="Arial" w:eastAsia="Arial" w:hAnsi="Arial"/>
          <w:sz w:val="20"/>
          <w:szCs w:val="20"/>
          <w:color w:val="auto"/>
        </w:rPr>
        <w:t>Ashland had $262 million in cash and cash equivalents as of June 30, 2021, of which $227 million was held by foreign subsidiaries and had no significant limitations that would prohibit remitting the funds to satisfy corporate obligations. In certain circumstances, if such amounts were repatriated to the United States, additional taxes might need to be accrued and paid depending on the source of the earnings remitted. Ashland currently has no plans to repatriate any amounts for which additional taxes would need to be accrued.</w:t>
      </w:r>
    </w:p>
    <w:p>
      <w:pPr>
        <w:spacing w:after="0" w:line="87" w:lineRule="exact"/>
        <w:rPr>
          <w:sz w:val="20"/>
          <w:szCs w:val="20"/>
          <w:color w:val="auto"/>
        </w:rPr>
      </w:pPr>
    </w:p>
    <w:p>
      <w:pPr>
        <w:jc w:val="both"/>
        <w:ind w:left="380" w:right="380"/>
        <w:spacing w:after="0" w:line="301" w:lineRule="auto"/>
        <w:rPr>
          <w:sz w:val="20"/>
          <w:szCs w:val="20"/>
          <w:color w:val="auto"/>
        </w:rPr>
      </w:pPr>
      <w:r>
        <w:rPr>
          <w:rFonts w:ascii="Arial" w:cs="Arial" w:eastAsia="Arial" w:hAnsi="Arial"/>
          <w:sz w:val="18"/>
          <w:szCs w:val="18"/>
          <w:color w:val="auto"/>
        </w:rPr>
        <w:t>Ashland has taken actions and may continue to take actions intended to increase its cash position and preserve financial flexibility in light of current uncertainty in the global markets. On March 17, 2021, Ashland terminated its U.S. accounts receivable securitization facility and entered into an agreement with a group of entities to sell certain trade receivables, without recourse, of two U.S. based Ashland subsidiaries. Under the agreement, Ashland can transfer whole receivables up to a limit established by the buyer. As of June 30, 2021, Ashland has sold $90 million of receivables under this agreement against the buyers’ limit, which was at $117 million at June 30, 2021. See Note H for more information. In January 2020, Ashland renewed and extended its Revolving Credit Agreement through 2025 and issued new 2.00% senior notes in Europe for €500 million which mature in 2028. During the nine months ended June 30, 2021, Ashland elected not to access funds on its Revolving Credit Facility. As of June 30, 2021, Ashland has total remaining borrowing capacity of $614 million, comprised of amounts remaining available under the Revolving Credit Facility and foreign Accounts Receivable Securitization Facility. Ashland also had an additional $27 million available liquidity under the U.S. Accounts Receivable Sales Program as of June 30, 2021. Ashland has no significant maturities related to our term loans, revolving credit facilities or bonds until August 2022.</w:t>
      </w:r>
    </w:p>
    <w:p>
      <w:pPr>
        <w:spacing w:after="0" w:line="71" w:lineRule="exact"/>
        <w:rPr>
          <w:sz w:val="20"/>
          <w:szCs w:val="20"/>
          <w:color w:val="auto"/>
        </w:rPr>
      </w:pPr>
    </w:p>
    <w:p>
      <w:pPr>
        <w:jc w:val="both"/>
        <w:ind w:left="380" w:right="380"/>
        <w:spacing w:after="0" w:line="271" w:lineRule="auto"/>
        <w:rPr>
          <w:sz w:val="20"/>
          <w:szCs w:val="20"/>
          <w:color w:val="auto"/>
        </w:rPr>
      </w:pPr>
      <w:r>
        <w:rPr>
          <w:rFonts w:ascii="Arial" w:cs="Arial" w:eastAsia="Arial" w:hAnsi="Arial"/>
          <w:sz w:val="20"/>
          <w:szCs w:val="20"/>
          <w:color w:val="auto"/>
        </w:rPr>
        <w:t>Ashland believes that cash flow from operations, availability under existing credit facilities and arrangements, current cash and investment balances and the ability to obtain other financing, if necessary, will provide adequate cash funds for Ashland’s foreseeable working capital needs, capital expenditures at existing facilities, dividend payments and debt service obligations. Ashland’s cash requirements are subject to change as business conditions warrant and opportunities arise. The timing and size of any new business ventures or acquisitions that the Company may complete may also impact its cash requirements. For information regarding the impact of COVID-19 on the Company, including on its liquidity and capital resources, please see item 1A, in Ashland’s most recent Form 10-K filed with the SEC.</w:t>
      </w:r>
    </w:p>
    <w:p>
      <w:pPr>
        <w:spacing w:after="0" w:line="86" w:lineRule="exact"/>
        <w:rPr>
          <w:sz w:val="20"/>
          <w:szCs w:val="20"/>
          <w:color w:val="auto"/>
        </w:rPr>
      </w:pPr>
    </w:p>
    <w:p>
      <w:pPr>
        <w:jc w:val="both"/>
        <w:ind w:left="380" w:right="380"/>
        <w:spacing w:after="0" w:line="288" w:lineRule="auto"/>
        <w:rPr>
          <w:sz w:val="20"/>
          <w:szCs w:val="20"/>
          <w:color w:val="auto"/>
        </w:rPr>
      </w:pPr>
      <w:r>
        <w:rPr>
          <w:rFonts w:ascii="Arial" w:cs="Arial" w:eastAsia="Arial" w:hAnsi="Arial"/>
          <w:sz w:val="20"/>
          <w:szCs w:val="20"/>
          <w:color w:val="auto"/>
        </w:rPr>
        <w:t>Ashland’s cash flows from operating, investing and financing activities, as reflected in the Statements of Condensed Consolidated Cash Flows, are summarized as follows for the nine months ended June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62865</wp:posOffset>
            </wp:positionV>
            <wp:extent cx="662622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40" w:type="dxa"/>
            <w:vAlign w:val="bottom"/>
            <w:gridSpan w:val="3"/>
          </w:tcPr>
          <w:p>
            <w:pPr>
              <w:jc w:val="right"/>
              <w:ind w:right="20"/>
              <w:spacing w:after="0"/>
              <w:rPr>
                <w:sz w:val="20"/>
                <w:szCs w:val="20"/>
                <w:color w:val="auto"/>
              </w:rPr>
            </w:pPr>
            <w:r>
              <w:rPr>
                <w:rFonts w:ascii="Arial" w:cs="Arial" w:eastAsia="Arial" w:hAnsi="Arial"/>
                <w:sz w:val="18"/>
                <w:szCs w:val="18"/>
                <w:color w:val="auto"/>
              </w:rPr>
              <w:t>Nine months ended</w:t>
            </w: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63"/>
        </w:trPr>
        <w:tc>
          <w:tcPr>
            <w:tcW w:w="420" w:type="dxa"/>
            <w:vAlign w:val="bottom"/>
          </w:tcPr>
          <w:p>
            <w:pPr>
              <w:spacing w:after="0"/>
              <w:rPr>
                <w:sz w:val="22"/>
                <w:szCs w:val="22"/>
                <w:color w:val="auto"/>
              </w:rPr>
            </w:pPr>
          </w:p>
        </w:tc>
        <w:tc>
          <w:tcPr>
            <w:tcW w:w="70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8"/>
                <w:szCs w:val="18"/>
                <w:color w:val="auto"/>
              </w:rPr>
              <w:t>June 30</w:t>
            </w:r>
          </w:p>
        </w:tc>
        <w:tc>
          <w:tcPr>
            <w:tcW w:w="1040" w:type="dxa"/>
            <w:vAlign w:val="bottom"/>
            <w:tcBorders>
              <w:bottom w:val="single" w:sz="8" w:color="auto"/>
            </w:tcBorders>
          </w:tcPr>
          <w:p>
            <w:pPr>
              <w:spacing w:after="0"/>
              <w:rPr>
                <w:sz w:val="22"/>
                <w:szCs w:val="22"/>
                <w:color w:val="auto"/>
              </w:rPr>
            </w:pPr>
          </w:p>
        </w:tc>
        <w:tc>
          <w:tcPr>
            <w:tcW w:w="400" w:type="dxa"/>
            <w:vAlign w:val="bottom"/>
          </w:tcPr>
          <w:p>
            <w:pPr>
              <w:spacing w:after="0"/>
              <w:rPr>
                <w:sz w:val="22"/>
                <w:szCs w:val="22"/>
                <w:color w:val="auto"/>
              </w:rPr>
            </w:pPr>
          </w:p>
        </w:tc>
      </w:tr>
      <w:tr>
        <w:trPr>
          <w:trHeight w:val="250"/>
        </w:trPr>
        <w:tc>
          <w:tcPr>
            <w:tcW w:w="420" w:type="dxa"/>
            <w:vAlign w:val="bottom"/>
          </w:tcPr>
          <w:p>
            <w:pPr>
              <w:spacing w:after="0"/>
              <w:rPr>
                <w:sz w:val="21"/>
                <w:szCs w:val="21"/>
                <w:color w:val="auto"/>
              </w:rPr>
            </w:pPr>
          </w:p>
        </w:tc>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89"/>
              </w:rPr>
              <w:t>2020</w:t>
            </w:r>
          </w:p>
        </w:tc>
        <w:tc>
          <w:tcPr>
            <w:tcW w:w="400" w:type="dxa"/>
            <w:vAlign w:val="bottom"/>
          </w:tcPr>
          <w:p>
            <w:pPr>
              <w:spacing w:after="0"/>
              <w:rPr>
                <w:sz w:val="21"/>
                <w:szCs w:val="21"/>
                <w:color w:val="auto"/>
              </w:rPr>
            </w:pPr>
          </w:p>
        </w:tc>
      </w:tr>
      <w:tr>
        <w:trPr>
          <w:trHeight w:val="256"/>
        </w:trPr>
        <w:tc>
          <w:tcPr>
            <w:tcW w:w="420" w:type="dxa"/>
            <w:vAlign w:val="bottom"/>
          </w:tcPr>
          <w:p>
            <w:pPr>
              <w:spacing w:after="0"/>
              <w:rPr>
                <w:sz w:val="22"/>
                <w:szCs w:val="22"/>
                <w:color w:val="auto"/>
              </w:rPr>
            </w:pPr>
          </w:p>
        </w:tc>
        <w:tc>
          <w:tcPr>
            <w:tcW w:w="7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provided (used) by:</w:t>
            </w:r>
          </w:p>
        </w:tc>
        <w:tc>
          <w:tcPr>
            <w:tcW w:w="34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400" w:type="dxa"/>
            <w:vAlign w:val="bottom"/>
          </w:tcPr>
          <w:p>
            <w:pPr>
              <w:spacing w:after="0"/>
              <w:rPr>
                <w:sz w:val="22"/>
                <w:szCs w:val="22"/>
                <w:color w:val="auto"/>
              </w:rPr>
            </w:pPr>
          </w:p>
        </w:tc>
      </w:tr>
      <w:tr>
        <w:trPr>
          <w:trHeight w:val="250"/>
        </w:trPr>
        <w:tc>
          <w:tcPr>
            <w:tcW w:w="420" w:type="dxa"/>
            <w:vAlign w:val="bottom"/>
          </w:tcPr>
          <w:p>
            <w:pPr>
              <w:spacing w:after="0"/>
              <w:rPr>
                <w:sz w:val="21"/>
                <w:szCs w:val="21"/>
                <w:color w:val="auto"/>
              </w:rPr>
            </w:pPr>
          </w:p>
        </w:tc>
        <w:tc>
          <w:tcPr>
            <w:tcW w:w="7000" w:type="dxa"/>
            <w:vAlign w:val="bottom"/>
          </w:tcPr>
          <w:p>
            <w:pPr>
              <w:ind w:left="260"/>
              <w:spacing w:after="0"/>
              <w:rPr>
                <w:sz w:val="20"/>
                <w:szCs w:val="20"/>
                <w:color w:val="auto"/>
              </w:rPr>
            </w:pPr>
            <w:r>
              <w:rPr>
                <w:rFonts w:ascii="Arial" w:cs="Arial" w:eastAsia="Arial" w:hAnsi="Arial"/>
                <w:sz w:val="18"/>
                <w:szCs w:val="18"/>
                <w:color w:val="auto"/>
              </w:rPr>
              <w:t>Operating activities from continuing operations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403</w:t>
            </w:r>
          </w:p>
        </w:tc>
        <w:tc>
          <w:tcPr>
            <w:tcW w:w="7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153</w:t>
            </w:r>
          </w:p>
        </w:tc>
        <w:tc>
          <w:tcPr>
            <w:tcW w:w="400" w:type="dxa"/>
            <w:vAlign w:val="bottom"/>
          </w:tcPr>
          <w:p>
            <w:pPr>
              <w:spacing w:after="0"/>
              <w:rPr>
                <w:sz w:val="21"/>
                <w:szCs w:val="21"/>
                <w:color w:val="auto"/>
              </w:rPr>
            </w:pPr>
          </w:p>
        </w:tc>
      </w:tr>
      <w:tr>
        <w:trPr>
          <w:trHeight w:val="263"/>
        </w:trPr>
        <w:tc>
          <w:tcPr>
            <w:tcW w:w="420" w:type="dxa"/>
            <w:vAlign w:val="bottom"/>
          </w:tcPr>
          <w:p>
            <w:pPr>
              <w:spacing w:after="0"/>
              <w:rPr>
                <w:sz w:val="22"/>
                <w:szCs w:val="22"/>
                <w:color w:val="auto"/>
              </w:rPr>
            </w:pPr>
          </w:p>
        </w:tc>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 from continuing operations</w:t>
            </w:r>
          </w:p>
        </w:tc>
        <w:tc>
          <w:tcPr>
            <w:tcW w:w="34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(343 )</w:t>
            </w:r>
          </w:p>
        </w:tc>
        <w:tc>
          <w:tcPr>
            <w:tcW w:w="18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(65 )</w:t>
            </w:r>
          </w:p>
        </w:tc>
        <w:tc>
          <w:tcPr>
            <w:tcW w:w="400" w:type="dxa"/>
            <w:vAlign w:val="bottom"/>
          </w:tcPr>
          <w:p>
            <w:pPr>
              <w:spacing w:after="0"/>
              <w:rPr>
                <w:sz w:val="22"/>
                <w:szCs w:val="22"/>
                <w:color w:val="auto"/>
              </w:rPr>
            </w:pPr>
          </w:p>
        </w:tc>
      </w:tr>
      <w:tr>
        <w:trPr>
          <w:trHeight w:val="250"/>
        </w:trPr>
        <w:tc>
          <w:tcPr>
            <w:tcW w:w="420" w:type="dxa"/>
            <w:vAlign w:val="bottom"/>
          </w:tcPr>
          <w:p>
            <w:pPr>
              <w:spacing w:after="0"/>
              <w:rPr>
                <w:sz w:val="21"/>
                <w:szCs w:val="21"/>
                <w:color w:val="auto"/>
              </w:rPr>
            </w:pPr>
          </w:p>
        </w:tc>
        <w:tc>
          <w:tcPr>
            <w:tcW w:w="7000" w:type="dxa"/>
            <w:vAlign w:val="bottom"/>
          </w:tcPr>
          <w:p>
            <w:pPr>
              <w:ind w:left="260"/>
              <w:spacing w:after="0"/>
              <w:rPr>
                <w:sz w:val="20"/>
                <w:szCs w:val="20"/>
                <w:color w:val="auto"/>
              </w:rPr>
            </w:pPr>
            <w:r>
              <w:rPr>
                <w:rFonts w:ascii="Arial" w:cs="Arial" w:eastAsia="Arial" w:hAnsi="Arial"/>
                <w:sz w:val="18"/>
                <w:szCs w:val="18"/>
                <w:color w:val="auto"/>
              </w:rPr>
              <w:t>Financing activities from continuing operations</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(243 )</w:t>
            </w: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192</w:t>
            </w:r>
          </w:p>
        </w:tc>
        <w:tc>
          <w:tcPr>
            <w:tcW w:w="400" w:type="dxa"/>
            <w:vAlign w:val="bottom"/>
          </w:tcPr>
          <w:p>
            <w:pPr>
              <w:spacing w:after="0"/>
              <w:rPr>
                <w:sz w:val="21"/>
                <w:szCs w:val="21"/>
                <w:color w:val="auto"/>
              </w:rPr>
            </w:pPr>
          </w:p>
        </w:tc>
      </w:tr>
      <w:tr>
        <w:trPr>
          <w:trHeight w:val="263"/>
        </w:trPr>
        <w:tc>
          <w:tcPr>
            <w:tcW w:w="420" w:type="dxa"/>
            <w:vAlign w:val="bottom"/>
          </w:tcPr>
          <w:p>
            <w:pPr>
              <w:spacing w:after="0"/>
              <w:rPr>
                <w:sz w:val="22"/>
                <w:szCs w:val="22"/>
                <w:color w:val="auto"/>
              </w:rPr>
            </w:pPr>
          </w:p>
        </w:tc>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Discontinued operations</w:t>
            </w:r>
          </w:p>
        </w:tc>
        <w:tc>
          <w:tcPr>
            <w:tcW w:w="34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(13 )</w:t>
            </w:r>
          </w:p>
        </w:tc>
        <w:tc>
          <w:tcPr>
            <w:tcW w:w="18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(97 )</w:t>
            </w:r>
          </w:p>
        </w:tc>
        <w:tc>
          <w:tcPr>
            <w:tcW w:w="400" w:type="dxa"/>
            <w:vAlign w:val="bottom"/>
          </w:tcPr>
          <w:p>
            <w:pPr>
              <w:spacing w:after="0"/>
              <w:rPr>
                <w:sz w:val="22"/>
                <w:szCs w:val="22"/>
                <w:color w:val="auto"/>
              </w:rPr>
            </w:pPr>
          </w:p>
        </w:tc>
      </w:tr>
      <w:tr>
        <w:trPr>
          <w:trHeight w:val="256"/>
        </w:trPr>
        <w:tc>
          <w:tcPr>
            <w:tcW w:w="420" w:type="dxa"/>
            <w:vAlign w:val="bottom"/>
          </w:tcPr>
          <w:p>
            <w:pPr>
              <w:spacing w:after="0"/>
              <w:rPr>
                <w:sz w:val="22"/>
                <w:szCs w:val="22"/>
                <w:color w:val="auto"/>
              </w:rPr>
            </w:pPr>
          </w:p>
        </w:tc>
        <w:tc>
          <w:tcPr>
            <w:tcW w:w="7000" w:type="dxa"/>
            <w:vAlign w:val="bottom"/>
          </w:tcPr>
          <w:p>
            <w:pPr>
              <w:ind w:left="260"/>
              <w:spacing w:after="0"/>
              <w:rPr>
                <w:sz w:val="20"/>
                <w:szCs w:val="20"/>
                <w:color w:val="auto"/>
              </w:rPr>
            </w:pPr>
            <w:r>
              <w:rPr>
                <w:rFonts w:ascii="Arial" w:cs="Arial" w:eastAsia="Arial" w:hAnsi="Arial"/>
                <w:sz w:val="18"/>
                <w:szCs w:val="18"/>
                <w:color w:val="auto"/>
              </w:rPr>
              <w:t>Effect of currency exchange rate changes on cash and cash equivalents</w:t>
            </w:r>
          </w:p>
        </w:tc>
        <w:tc>
          <w:tcPr>
            <w:tcW w:w="3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2"/>
                <w:szCs w:val="22"/>
                <w:color w:val="auto"/>
              </w:rPr>
            </w:pPr>
          </w:p>
        </w:tc>
      </w:tr>
      <w:tr>
        <w:trPr>
          <w:trHeight w:val="290"/>
        </w:trPr>
        <w:tc>
          <w:tcPr>
            <w:tcW w:w="420" w:type="dxa"/>
            <w:vAlign w:val="bottom"/>
          </w:tcPr>
          <w:p>
            <w:pPr>
              <w:spacing w:after="0"/>
              <w:rPr>
                <w:sz w:val="24"/>
                <w:szCs w:val="24"/>
                <w:color w:val="auto"/>
              </w:rPr>
            </w:pPr>
          </w:p>
        </w:tc>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(192 )</w:t>
            </w:r>
          </w:p>
        </w:tc>
        <w:tc>
          <w:tcPr>
            <w:tcW w:w="74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184</w:t>
            </w:r>
          </w:p>
        </w:tc>
        <w:tc>
          <w:tcPr>
            <w:tcW w:w="400" w:type="dxa"/>
            <w:vAlign w:val="bottom"/>
          </w:tcPr>
          <w:p>
            <w:pPr>
              <w:spacing w:after="0"/>
              <w:rPr>
                <w:sz w:val="24"/>
                <w:szCs w:val="24"/>
                <w:color w:val="auto"/>
              </w:rPr>
            </w:pPr>
          </w:p>
        </w:tc>
      </w:tr>
      <w:tr>
        <w:trPr>
          <w:trHeight w:val="548"/>
        </w:trPr>
        <w:tc>
          <w:tcPr>
            <w:tcW w:w="420" w:type="dxa"/>
            <w:vAlign w:val="bottom"/>
          </w:tcPr>
          <w:p>
            <w:pPr>
              <w:spacing w:after="0"/>
              <w:rPr>
                <w:sz w:val="24"/>
                <w:szCs w:val="24"/>
                <w:color w:val="auto"/>
              </w:rPr>
            </w:pPr>
          </w:p>
        </w:tc>
        <w:tc>
          <w:tcPr>
            <w:tcW w:w="7000" w:type="dxa"/>
            <w:vAlign w:val="bottom"/>
            <w:tcBorders>
              <w:top w:val="single" w:sz="8" w:color="CFF0FC"/>
            </w:tcBorders>
          </w:tcPr>
          <w:p>
            <w:pPr>
              <w:ind w:left="5120"/>
              <w:spacing w:after="0"/>
              <w:rPr>
                <w:sz w:val="20"/>
                <w:szCs w:val="20"/>
                <w:color w:val="auto"/>
              </w:rPr>
            </w:pPr>
            <w:r>
              <w:rPr>
                <w:rFonts w:ascii="Arial" w:cs="Arial" w:eastAsia="Arial" w:hAnsi="Arial"/>
                <w:sz w:val="18"/>
                <w:szCs w:val="18"/>
                <w:color w:val="auto"/>
              </w:rPr>
              <w:t>57</w:t>
            </w:r>
          </w:p>
        </w:tc>
        <w:tc>
          <w:tcPr>
            <w:tcW w:w="3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70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-471170</wp:posOffset>
            </wp:positionV>
            <wp:extent cx="11112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-453390</wp:posOffset>
            </wp:positionV>
            <wp:extent cx="11112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7" w:name="page58"/>
    <w:bookmarkEnd w:id="57"/>
    <w:p>
      <w:pPr>
        <w:spacing w:after="0"/>
        <w:rPr>
          <w:sz w:val="20"/>
          <w:szCs w:val="20"/>
          <w:color w:val="auto"/>
        </w:rPr>
      </w:pPr>
      <w:r>
        <w:rPr>
          <w:rFonts w:ascii="Arial" w:cs="Arial" w:eastAsia="Arial" w:hAnsi="Arial"/>
          <w:sz w:val="20"/>
          <w:szCs w:val="20"/>
          <w:i w:val="1"/>
          <w:iCs w:val="1"/>
          <w:color w:val="auto"/>
        </w:rPr>
        <w:t>Operating activities</w:t>
      </w:r>
    </w:p>
    <w:p>
      <w:pPr>
        <w:spacing w:after="0" w:line="135" w:lineRule="exact"/>
        <w:rPr>
          <w:sz w:val="20"/>
          <w:szCs w:val="20"/>
          <w:color w:val="auto"/>
        </w:rPr>
      </w:pPr>
    </w:p>
    <w:p>
      <w:pPr>
        <w:spacing w:after="0" w:line="288" w:lineRule="auto"/>
        <w:rPr>
          <w:sz w:val="20"/>
          <w:szCs w:val="20"/>
          <w:color w:val="auto"/>
        </w:rPr>
      </w:pPr>
      <w:r>
        <w:rPr>
          <w:rFonts w:ascii="Arial" w:cs="Arial" w:eastAsia="Arial" w:hAnsi="Arial"/>
          <w:sz w:val="20"/>
          <w:szCs w:val="20"/>
          <w:color w:val="auto"/>
        </w:rPr>
        <w:t>The following discloses the cash flows associated with Ashland’s operating activities for the nine months ended June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62865</wp:posOffset>
            </wp:positionV>
            <wp:extent cx="662622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100" w:type="dxa"/>
            <w:vAlign w:val="bottom"/>
            <w:gridSpan w:val="3"/>
          </w:tcPr>
          <w:p>
            <w:pPr>
              <w:jc w:val="right"/>
              <w:ind w:right="280"/>
              <w:spacing w:after="0"/>
              <w:rPr>
                <w:sz w:val="20"/>
                <w:szCs w:val="20"/>
                <w:color w:val="auto"/>
              </w:rPr>
            </w:pPr>
            <w:r>
              <w:rPr>
                <w:rFonts w:ascii="Arial" w:cs="Arial" w:eastAsia="Arial" w:hAnsi="Arial"/>
                <w:sz w:val="18"/>
                <w:szCs w:val="18"/>
                <w:color w:val="auto"/>
              </w:rPr>
              <w:t>Nine months ended</w:t>
            </w:r>
          </w:p>
        </w:tc>
        <w:tc>
          <w:tcPr>
            <w:tcW w:w="740" w:type="dxa"/>
            <w:vAlign w:val="bottom"/>
          </w:tcPr>
          <w:p>
            <w:pPr>
              <w:spacing w:after="0"/>
              <w:rPr>
                <w:sz w:val="20"/>
                <w:szCs w:val="20"/>
                <w:color w:val="auto"/>
              </w:rPr>
            </w:pPr>
          </w:p>
        </w:tc>
      </w:tr>
      <w:tr>
        <w:trPr>
          <w:trHeight w:val="263"/>
        </w:trPr>
        <w:tc>
          <w:tcPr>
            <w:tcW w:w="706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8"/>
                <w:szCs w:val="18"/>
                <w:color w:val="auto"/>
              </w:rPr>
              <w:t>June 30</w:t>
            </w:r>
          </w:p>
        </w:tc>
        <w:tc>
          <w:tcPr>
            <w:tcW w:w="740" w:type="dxa"/>
            <w:vAlign w:val="bottom"/>
            <w:tcBorders>
              <w:bottom w:val="single" w:sz="8" w:color="auto"/>
            </w:tcBorders>
          </w:tcPr>
          <w:p>
            <w:pPr>
              <w:spacing w:after="0"/>
              <w:rPr>
                <w:sz w:val="22"/>
                <w:szCs w:val="22"/>
                <w:color w:val="auto"/>
              </w:rPr>
            </w:pPr>
          </w:p>
        </w:tc>
      </w:tr>
      <w:tr>
        <w:trPr>
          <w:trHeight w:val="250"/>
        </w:trPr>
        <w:tc>
          <w:tcPr>
            <w:tcW w:w="7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5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r>
      <w:tr>
        <w:trPr>
          <w:trHeight w:val="257"/>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provided (used) by operating activities from continuing operations</w:t>
            </w:r>
          </w:p>
        </w:tc>
        <w:tc>
          <w:tcPr>
            <w:tcW w:w="52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r>
      <w:tr>
        <w:trPr>
          <w:trHeight w:val="250"/>
        </w:trPr>
        <w:tc>
          <w:tcPr>
            <w:tcW w:w="7060" w:type="dxa"/>
            <w:vAlign w:val="bottom"/>
          </w:tcPr>
          <w:p>
            <w:pPr>
              <w:ind w:left="260"/>
              <w:spacing w:after="0"/>
              <w:rPr>
                <w:sz w:val="20"/>
                <w:szCs w:val="20"/>
                <w:color w:val="auto"/>
              </w:rPr>
            </w:pPr>
            <w:r>
              <w:rPr>
                <w:rFonts w:ascii="Arial" w:cs="Arial" w:eastAsia="Arial" w:hAnsi="Arial"/>
                <w:sz w:val="18"/>
                <w:szCs w:val="18"/>
                <w:color w:val="auto"/>
              </w:rPr>
              <w:t>Net income (loss)</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176</w:t>
            </w:r>
          </w:p>
        </w:tc>
        <w:tc>
          <w:tcPr>
            <w:tcW w:w="10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(513 )</w:t>
            </w:r>
          </w:p>
        </w:tc>
      </w:tr>
      <w:tr>
        <w:trPr>
          <w:trHeight w:val="263"/>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from discontinued operations (net of income taxes)</w:t>
            </w:r>
          </w:p>
        </w:tc>
        <w:tc>
          <w:tcPr>
            <w:tcW w:w="52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22</w:t>
            </w:r>
          </w:p>
        </w:tc>
      </w:tr>
      <w:tr>
        <w:trPr>
          <w:trHeight w:val="250"/>
        </w:trPr>
        <w:tc>
          <w:tcPr>
            <w:tcW w:w="7060" w:type="dxa"/>
            <w:vAlign w:val="bottom"/>
          </w:tcPr>
          <w:p>
            <w:pPr>
              <w:ind w:left="260"/>
              <w:spacing w:after="0"/>
              <w:rPr>
                <w:sz w:val="20"/>
                <w:szCs w:val="20"/>
                <w:color w:val="auto"/>
              </w:rPr>
            </w:pPr>
            <w:r>
              <w:rPr>
                <w:rFonts w:ascii="Arial" w:cs="Arial" w:eastAsia="Arial" w:hAnsi="Arial"/>
                <w:sz w:val="18"/>
                <w:szCs w:val="18"/>
                <w:color w:val="auto"/>
              </w:rPr>
              <w:t>Adjustments to reconcile income from continuing operations to</w:t>
            </w:r>
          </w:p>
        </w:tc>
        <w:tc>
          <w:tcPr>
            <w:tcW w:w="5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63"/>
        </w:trPr>
        <w:tc>
          <w:tcPr>
            <w:tcW w:w="7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cash flows from operating activities:</w:t>
            </w:r>
          </w:p>
        </w:tc>
        <w:tc>
          <w:tcPr>
            <w:tcW w:w="52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r>
      <w:tr>
        <w:trPr>
          <w:trHeight w:val="250"/>
        </w:trPr>
        <w:tc>
          <w:tcPr>
            <w:tcW w:w="7060" w:type="dxa"/>
            <w:vAlign w:val="bottom"/>
          </w:tcPr>
          <w:p>
            <w:pPr>
              <w:ind w:left="62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189</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183</w:t>
            </w:r>
          </w:p>
        </w:tc>
      </w:tr>
      <w:tr>
        <w:trPr>
          <w:trHeight w:val="263"/>
        </w:trPr>
        <w:tc>
          <w:tcPr>
            <w:tcW w:w="7060" w:type="dxa"/>
            <w:vAlign w:val="bottom"/>
            <w:shd w:val="clear" w:color="auto" w:fill="CFF0FC"/>
          </w:tcPr>
          <w:p>
            <w:pPr>
              <w:ind w:left="620"/>
              <w:spacing w:after="0"/>
              <w:rPr>
                <w:sz w:val="20"/>
                <w:szCs w:val="20"/>
                <w:color w:val="auto"/>
              </w:rPr>
            </w:pPr>
            <w:r>
              <w:rPr>
                <w:rFonts w:ascii="Arial" w:cs="Arial" w:eastAsia="Arial" w:hAnsi="Arial"/>
                <w:sz w:val="18"/>
                <w:szCs w:val="18"/>
                <w:color w:val="auto"/>
              </w:rPr>
              <w:t>Original issue discount and debt issuance costs amortization</w:t>
            </w:r>
          </w:p>
        </w:tc>
        <w:tc>
          <w:tcPr>
            <w:tcW w:w="52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w:t>
            </w:r>
          </w:p>
        </w:tc>
      </w:tr>
      <w:tr>
        <w:trPr>
          <w:trHeight w:val="250"/>
        </w:trPr>
        <w:tc>
          <w:tcPr>
            <w:tcW w:w="7060" w:type="dxa"/>
            <w:vAlign w:val="bottom"/>
          </w:tcPr>
          <w:p>
            <w:pPr>
              <w:ind w:left="620"/>
              <w:spacing w:after="0"/>
              <w:rPr>
                <w:sz w:val="20"/>
                <w:szCs w:val="20"/>
                <w:color w:val="auto"/>
              </w:rPr>
            </w:pPr>
            <w:r>
              <w:rPr>
                <w:rFonts w:ascii="Arial" w:cs="Arial" w:eastAsia="Arial" w:hAnsi="Arial"/>
                <w:sz w:val="18"/>
                <w:szCs w:val="18"/>
                <w:color w:val="auto"/>
              </w:rPr>
              <w:t>Deferred income taxes</w:t>
            </w: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(3 )</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(30 )</w:t>
            </w:r>
          </w:p>
        </w:tc>
      </w:tr>
      <w:tr>
        <w:trPr>
          <w:trHeight w:val="263"/>
        </w:trPr>
        <w:tc>
          <w:tcPr>
            <w:tcW w:w="7060" w:type="dxa"/>
            <w:vAlign w:val="bottom"/>
            <w:shd w:val="clear" w:color="auto" w:fill="CFF0FC"/>
          </w:tcPr>
          <w:p>
            <w:pPr>
              <w:ind w:left="620"/>
              <w:spacing w:after="0"/>
              <w:rPr>
                <w:sz w:val="20"/>
                <w:szCs w:val="20"/>
                <w:color w:val="auto"/>
              </w:rPr>
            </w:pPr>
            <w:r>
              <w:rPr>
                <w:rFonts w:ascii="Arial" w:cs="Arial" w:eastAsia="Arial" w:hAnsi="Arial"/>
                <w:sz w:val="18"/>
                <w:szCs w:val="18"/>
                <w:color w:val="auto"/>
              </w:rPr>
              <w:t>Gain from sales of property and equipment</w:t>
            </w:r>
          </w:p>
        </w:tc>
        <w:tc>
          <w:tcPr>
            <w:tcW w:w="52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16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7060" w:type="dxa"/>
            <w:vAlign w:val="bottom"/>
          </w:tcPr>
          <w:p>
            <w:pPr>
              <w:ind w:left="620"/>
              <w:spacing w:after="0"/>
              <w:rPr>
                <w:sz w:val="20"/>
                <w:szCs w:val="20"/>
                <w:color w:val="auto"/>
              </w:rPr>
            </w:pPr>
            <w:r>
              <w:rPr>
                <w:rFonts w:ascii="Arial" w:cs="Arial" w:eastAsia="Arial" w:hAnsi="Arial"/>
                <w:sz w:val="18"/>
                <w:szCs w:val="18"/>
                <w:color w:val="auto"/>
              </w:rPr>
              <w:t>Distributions from (to) equity affiliates</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63"/>
        </w:trPr>
        <w:tc>
          <w:tcPr>
            <w:tcW w:w="7060" w:type="dxa"/>
            <w:vAlign w:val="bottom"/>
            <w:shd w:val="clear" w:color="auto" w:fill="CFF0FC"/>
          </w:tcPr>
          <w:p>
            <w:pPr>
              <w:ind w:left="620"/>
              <w:spacing w:after="0"/>
              <w:rPr>
                <w:sz w:val="20"/>
                <w:szCs w:val="20"/>
                <w:color w:val="auto"/>
              </w:rPr>
            </w:pPr>
            <w:r>
              <w:rPr>
                <w:rFonts w:ascii="Arial" w:cs="Arial" w:eastAsia="Arial" w:hAnsi="Arial"/>
                <w:sz w:val="18"/>
                <w:szCs w:val="18"/>
                <w:color w:val="auto"/>
              </w:rPr>
              <w:t>Stock based compensation expense</w:t>
            </w:r>
          </w:p>
        </w:tc>
        <w:tc>
          <w:tcPr>
            <w:tcW w:w="52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w:t>
            </w:r>
          </w:p>
        </w:tc>
      </w:tr>
      <w:tr>
        <w:trPr>
          <w:trHeight w:val="250"/>
        </w:trPr>
        <w:tc>
          <w:tcPr>
            <w:tcW w:w="7060" w:type="dxa"/>
            <w:vAlign w:val="bottom"/>
          </w:tcPr>
          <w:p>
            <w:pPr>
              <w:ind w:left="620"/>
              <w:spacing w:after="0"/>
              <w:rPr>
                <w:sz w:val="20"/>
                <w:szCs w:val="20"/>
                <w:color w:val="auto"/>
              </w:rPr>
            </w:pPr>
            <w:r>
              <w:rPr>
                <w:rFonts w:ascii="Arial" w:cs="Arial" w:eastAsia="Arial" w:hAnsi="Arial"/>
                <w:sz w:val="18"/>
                <w:szCs w:val="18"/>
                <w:color w:val="auto"/>
              </w:rPr>
              <w:t>(Income) loss from restricted investments</w:t>
            </w: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(36 )</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63"/>
        </w:trPr>
        <w:tc>
          <w:tcPr>
            <w:tcW w:w="7060" w:type="dxa"/>
            <w:vAlign w:val="bottom"/>
            <w:shd w:val="clear" w:color="auto" w:fill="CFF0FC"/>
          </w:tcPr>
          <w:p>
            <w:pPr>
              <w:ind w:left="620"/>
              <w:spacing w:after="0"/>
              <w:rPr>
                <w:sz w:val="20"/>
                <w:szCs w:val="20"/>
                <w:color w:val="auto"/>
              </w:rPr>
            </w:pPr>
            <w:r>
              <w:rPr>
                <w:rFonts w:ascii="Arial" w:cs="Arial" w:eastAsia="Arial" w:hAnsi="Arial"/>
                <w:sz w:val="18"/>
                <w:szCs w:val="18"/>
                <w:color w:val="auto"/>
              </w:rPr>
              <w:t>Excess tax benefit on stock based compensation</w:t>
            </w:r>
          </w:p>
        </w:tc>
        <w:tc>
          <w:tcPr>
            <w:tcW w:w="52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r>
      <w:tr>
        <w:trPr>
          <w:trHeight w:val="250"/>
        </w:trPr>
        <w:tc>
          <w:tcPr>
            <w:tcW w:w="7060" w:type="dxa"/>
            <w:vAlign w:val="bottom"/>
          </w:tcPr>
          <w:p>
            <w:pPr>
              <w:ind w:left="620"/>
              <w:spacing w:after="0"/>
              <w:rPr>
                <w:sz w:val="20"/>
                <w:szCs w:val="20"/>
                <w:color w:val="auto"/>
              </w:rPr>
            </w:pPr>
            <w:r>
              <w:rPr>
                <w:rFonts w:ascii="Arial" w:cs="Arial" w:eastAsia="Arial" w:hAnsi="Arial"/>
                <w:sz w:val="18"/>
                <w:szCs w:val="18"/>
                <w:color w:val="auto"/>
              </w:rPr>
              <w:t>Loss on early retirement of debt</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63"/>
        </w:trPr>
        <w:tc>
          <w:tcPr>
            <w:tcW w:w="7060" w:type="dxa"/>
            <w:vAlign w:val="bottom"/>
            <w:shd w:val="clear" w:color="auto" w:fill="CFF0FC"/>
          </w:tcPr>
          <w:p>
            <w:pPr>
              <w:ind w:left="620"/>
              <w:spacing w:after="0"/>
              <w:rPr>
                <w:sz w:val="20"/>
                <w:szCs w:val="20"/>
                <w:color w:val="auto"/>
              </w:rPr>
            </w:pPr>
            <w:r>
              <w:rPr>
                <w:rFonts w:ascii="Arial" w:cs="Arial" w:eastAsia="Arial" w:hAnsi="Arial"/>
                <w:sz w:val="18"/>
                <w:szCs w:val="18"/>
                <w:color w:val="auto"/>
              </w:rPr>
              <w:t>(Income) loss on acquisitions and divestitures</w:t>
            </w:r>
          </w:p>
        </w:tc>
        <w:tc>
          <w:tcPr>
            <w:tcW w:w="52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(15 )</w:t>
            </w:r>
          </w:p>
        </w:tc>
        <w:tc>
          <w:tcPr>
            <w:tcW w:w="16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7060" w:type="dxa"/>
            <w:vAlign w:val="bottom"/>
          </w:tcPr>
          <w:p>
            <w:pPr>
              <w:ind w:left="620"/>
              <w:spacing w:after="0"/>
              <w:rPr>
                <w:sz w:val="20"/>
                <w:szCs w:val="20"/>
                <w:color w:val="auto"/>
              </w:rPr>
            </w:pPr>
            <w:r>
              <w:rPr>
                <w:rFonts w:ascii="Arial" w:cs="Arial" w:eastAsia="Arial" w:hAnsi="Arial"/>
                <w:sz w:val="18"/>
                <w:szCs w:val="18"/>
                <w:color w:val="auto"/>
              </w:rPr>
              <w:t>Impairments</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530</w:t>
            </w:r>
          </w:p>
        </w:tc>
      </w:tr>
      <w:tr>
        <w:trPr>
          <w:trHeight w:val="263"/>
        </w:trPr>
        <w:tc>
          <w:tcPr>
            <w:tcW w:w="7060" w:type="dxa"/>
            <w:vAlign w:val="bottom"/>
            <w:shd w:val="clear" w:color="auto" w:fill="CFF0FC"/>
          </w:tcPr>
          <w:p>
            <w:pPr>
              <w:ind w:left="620"/>
              <w:spacing w:after="0"/>
              <w:rPr>
                <w:sz w:val="20"/>
                <w:szCs w:val="20"/>
                <w:color w:val="auto"/>
              </w:rPr>
            </w:pPr>
            <w:r>
              <w:rPr>
                <w:rFonts w:ascii="Arial" w:cs="Arial" w:eastAsia="Arial" w:hAnsi="Arial"/>
                <w:sz w:val="18"/>
                <w:szCs w:val="18"/>
                <w:color w:val="auto"/>
              </w:rPr>
              <w:t>Pension contributions</w:t>
            </w:r>
          </w:p>
        </w:tc>
        <w:tc>
          <w:tcPr>
            <w:tcW w:w="52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16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(5 )</w:t>
            </w:r>
          </w:p>
        </w:tc>
      </w:tr>
      <w:tr>
        <w:trPr>
          <w:trHeight w:val="250"/>
        </w:trPr>
        <w:tc>
          <w:tcPr>
            <w:tcW w:w="7060" w:type="dxa"/>
            <w:vAlign w:val="bottom"/>
          </w:tcPr>
          <w:p>
            <w:pPr>
              <w:ind w:left="620"/>
              <w:spacing w:after="0"/>
              <w:rPr>
                <w:sz w:val="20"/>
                <w:szCs w:val="20"/>
                <w:color w:val="auto"/>
              </w:rPr>
            </w:pPr>
            <w:r>
              <w:rPr>
                <w:rFonts w:ascii="Arial" w:cs="Arial" w:eastAsia="Arial" w:hAnsi="Arial"/>
                <w:sz w:val="18"/>
                <w:szCs w:val="18"/>
                <w:color w:val="auto"/>
              </w:rPr>
              <w:t xml:space="preserve">Change in operating assets and liabilities </w:t>
            </w:r>
            <w:r>
              <w:rPr>
                <w:rFonts w:ascii="Arial" w:cs="Arial" w:eastAsia="Arial" w:hAnsi="Arial"/>
                <w:sz w:val="14"/>
                <w:szCs w:val="14"/>
                <w:color w:val="auto"/>
              </w:rPr>
              <w:t>(a)</w:t>
            </w:r>
          </w:p>
        </w:tc>
        <w:tc>
          <w:tcPr>
            <w:tcW w:w="5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(101 )</w:t>
            </w:r>
          </w:p>
        </w:tc>
      </w:tr>
      <w:tr>
        <w:trPr>
          <w:trHeight w:val="29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Total cash flows provided by operating activities from continuing operations</w:t>
            </w: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403</w:t>
            </w:r>
          </w:p>
        </w:tc>
        <w:tc>
          <w:tcPr>
            <w:tcW w:w="1000" w:type="dxa"/>
            <w:vAlign w:val="bottom"/>
            <w:gridSpan w:val="2"/>
            <w:shd w:val="clear" w:color="auto" w:fill="CFF0FC"/>
          </w:tcPr>
          <w:p>
            <w:pPr>
              <w:jc w:val="right"/>
              <w:ind w:right="7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153</w:t>
            </w:r>
          </w:p>
        </w:tc>
      </w:tr>
      <w:tr>
        <w:trPr>
          <w:trHeight w:val="149"/>
        </w:trPr>
        <w:tc>
          <w:tcPr>
            <w:tcW w:w="7060" w:type="dxa"/>
            <w:vAlign w:val="bottom"/>
            <w:tcBorders>
              <w:top w:val="single" w:sz="8" w:color="CFF0FC"/>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CFF0FC"/>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5532755</wp:posOffset>
            </wp:positionH>
            <wp:positionV relativeFrom="paragraph">
              <wp:posOffset>-136525</wp:posOffset>
            </wp:positionV>
            <wp:extent cx="11112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5532755</wp:posOffset>
            </wp:positionH>
            <wp:positionV relativeFrom="paragraph">
              <wp:posOffset>-119380</wp:posOffset>
            </wp:positionV>
            <wp:extent cx="11112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83" w:lineRule="exact"/>
        <w:rPr>
          <w:sz w:val="20"/>
          <w:szCs w:val="20"/>
          <w:color w:val="auto"/>
        </w:rPr>
      </w:pPr>
    </w:p>
    <w:p>
      <w:pPr>
        <w:ind w:left="320" w:hanging="318"/>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Excludes changes resulting from operations acquired or sold.</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Cash flows provided from operating activities from continuing operations amounted to inflows of $403 million and $153 million in the current and prior year periods,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Activities – Operating Assets and Liabilities</w:t>
      </w:r>
    </w:p>
    <w:p>
      <w:pPr>
        <w:spacing w:after="0" w:line="135"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The cash results during each period are primarily driven by net income, excluding discontinued operation results, adjusted for certain non-cash items including depreciation and amortization (including original issue discount and debt issuance cost amortization), as well as changes in working capital, which are fluctuations within accounts receivable, inventory, trade payables and accrued expenses. Ashland continues to emphasize working capital management as a high priority and focus.</w:t>
      </w:r>
    </w:p>
    <w:p>
      <w:pPr>
        <w:spacing w:after="0" w:line="67" w:lineRule="exact"/>
        <w:rPr>
          <w:sz w:val="20"/>
          <w:szCs w:val="20"/>
          <w:color w:val="auto"/>
        </w:rPr>
      </w:pPr>
    </w:p>
    <w:p>
      <w:pPr>
        <w:jc w:val="both"/>
        <w:spacing w:after="0" w:line="347" w:lineRule="auto"/>
        <w:rPr>
          <w:sz w:val="20"/>
          <w:szCs w:val="20"/>
          <w:color w:val="auto"/>
        </w:rPr>
      </w:pPr>
      <w:r>
        <w:rPr>
          <w:rFonts w:ascii="Arial" w:cs="Arial" w:eastAsia="Arial" w:hAnsi="Arial"/>
          <w:sz w:val="18"/>
          <w:szCs w:val="18"/>
          <w:color w:val="auto"/>
        </w:rPr>
        <w:t>Changes in operating assets and liabilities accounted for inflows of $60 million compared to outflows of $101 million for the nine months ended June 30, 2021 and 2020, respectively, and were primarily driven by the following net working capital accounts:</w:t>
      </w:r>
    </w:p>
    <w:p>
      <w:pPr>
        <w:spacing w:after="0" w:line="22" w:lineRule="exact"/>
        <w:rPr>
          <w:sz w:val="20"/>
          <w:szCs w:val="20"/>
          <w:color w:val="auto"/>
        </w:rPr>
      </w:pPr>
    </w:p>
    <w:p>
      <w:pPr>
        <w:jc w:val="both"/>
        <w:ind w:left="320" w:right="440"/>
        <w:spacing w:after="0" w:line="278" w:lineRule="auto"/>
        <w:rPr>
          <w:sz w:val="20"/>
          <w:szCs w:val="20"/>
          <w:color w:val="auto"/>
        </w:rPr>
      </w:pPr>
      <w:r>
        <w:rPr>
          <w:rFonts w:ascii="Arial" w:cs="Arial" w:eastAsia="Arial" w:hAnsi="Arial"/>
          <w:sz w:val="20"/>
          <w:szCs w:val="20"/>
          <w:color w:val="auto"/>
        </w:rPr>
        <w:t>Accounts receivable – There were cash inflows of $89 million and inflows of $23 million during the current and prior year periods, respectively. The current period includes a $90 million cash inflow from accounts receivables sold under the U.S. Accounts Receivable Sales Program.</w:t>
      </w:r>
    </w:p>
    <w:p>
      <w:pPr>
        <w:spacing w:after="0" w:line="78" w:lineRule="exact"/>
        <w:rPr>
          <w:sz w:val="20"/>
          <w:szCs w:val="20"/>
          <w:color w:val="auto"/>
        </w:rPr>
      </w:pPr>
    </w:p>
    <w:p>
      <w:pPr>
        <w:ind w:left="320" w:right="500"/>
        <w:spacing w:after="0" w:line="288" w:lineRule="auto"/>
        <w:rPr>
          <w:sz w:val="20"/>
          <w:szCs w:val="20"/>
          <w:color w:val="auto"/>
        </w:rPr>
      </w:pPr>
      <w:r>
        <w:rPr>
          <w:rFonts w:ascii="Arial" w:cs="Arial" w:eastAsia="Arial" w:hAnsi="Arial"/>
          <w:sz w:val="20"/>
          <w:szCs w:val="20"/>
          <w:color w:val="auto"/>
        </w:rPr>
        <w:t>Inventory – There were cash inflows of $20 million and outflows of $21 million during the current and prior year periods, respectively.</w:t>
      </w:r>
    </w:p>
    <w:p>
      <w:pPr>
        <w:spacing w:after="0" w:line="69" w:lineRule="exact"/>
        <w:rPr>
          <w:sz w:val="20"/>
          <w:szCs w:val="20"/>
          <w:color w:val="auto"/>
        </w:rPr>
      </w:pPr>
    </w:p>
    <w:p>
      <w:pPr>
        <w:ind w:left="320" w:right="140"/>
        <w:spacing w:after="0" w:line="347" w:lineRule="auto"/>
        <w:rPr>
          <w:sz w:val="20"/>
          <w:szCs w:val="20"/>
          <w:color w:val="auto"/>
        </w:rPr>
      </w:pPr>
      <w:r>
        <w:rPr>
          <w:rFonts w:ascii="Arial" w:cs="Arial" w:eastAsia="Arial" w:hAnsi="Arial"/>
          <w:sz w:val="18"/>
          <w:szCs w:val="18"/>
          <w:color w:val="auto"/>
        </w:rPr>
        <w:t>Trade and other payables – There were cash outflows of $21 million and $91 million during the current and prior year periods, respectively, and primarily related to the timing of certain payments and management of supplier/vendor payment terms.</w:t>
      </w:r>
    </w:p>
    <w:p>
      <w:pPr>
        <w:spacing w:after="0" w:line="22"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The remaining changes to operating assets and liabilities resulted in outflows of $28 million and outflows of $12 million in the current and prior year periods, respectively, and were primarily due to income taxes paid or income tax refunds, interest paid, and adjustments to certain accruals and other long-term assets and liabilities.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366" w:right="719" w:bottom="1440" w:gutter="0" w:footer="0" w:header="0"/>
        </w:sectPr>
      </w:pPr>
    </w:p>
    <w:bookmarkStart w:id="58" w:name="page59"/>
    <w:bookmarkEnd w:id="58"/>
    <w:p>
      <w:pPr>
        <w:spacing w:after="0"/>
        <w:rPr>
          <w:sz w:val="20"/>
          <w:szCs w:val="20"/>
          <w:color w:val="auto"/>
        </w:rPr>
      </w:pPr>
      <w:r>
        <w:rPr>
          <w:rFonts w:ascii="Arial" w:cs="Arial" w:eastAsia="Arial" w:hAnsi="Arial"/>
          <w:sz w:val="20"/>
          <w:szCs w:val="20"/>
          <w:i w:val="1"/>
          <w:iCs w:val="1"/>
          <w:color w:val="auto"/>
        </w:rPr>
        <w:t>Operating Activities – Summary</w:t>
      </w:r>
    </w:p>
    <w:p>
      <w:pPr>
        <w:spacing w:after="0" w:line="135"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Operating cash flows for the current year period included income from continuing operations of $190 million. Additionally, the current period included non-cash adjustments of $189 million for depreciation and amortization, $12 million for stock-based compensation expense, $36 million of income from restricted investments, $15 million of income on acquisitions and divestitures and $9 million for impairment charges.</w:t>
      </w:r>
    </w:p>
    <w:p>
      <w:pPr>
        <w:spacing w:after="0" w:line="84" w:lineRule="exact"/>
        <w:rPr>
          <w:sz w:val="20"/>
          <w:szCs w:val="20"/>
          <w:color w:val="auto"/>
        </w:rPr>
      </w:pPr>
    </w:p>
    <w:p>
      <w:pPr>
        <w:jc w:val="both"/>
        <w:spacing w:after="0" w:line="314" w:lineRule="auto"/>
        <w:rPr>
          <w:sz w:val="20"/>
          <w:szCs w:val="20"/>
          <w:color w:val="auto"/>
        </w:rPr>
      </w:pPr>
      <w:r>
        <w:rPr>
          <w:rFonts w:ascii="Arial" w:cs="Arial" w:eastAsia="Arial" w:hAnsi="Arial"/>
          <w:sz w:val="18"/>
          <w:szCs w:val="18"/>
          <w:color w:val="auto"/>
        </w:rPr>
        <w:t>Operating cash flows for the prior year period included a loss from continuing operations of $491 million. Additionally, the prior year period included non-cash adjustments of $530 million for a goodwill impairment charge, $183 million for depreciation and amortization, $59 million loss on early retirement of debt, $14 million original issue discounts and debt issuance cost amortization, $11 million for stock-based compensation expense and $17 million income on restricted investments.</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Investing activities</w:t>
      </w:r>
    </w:p>
    <w:p>
      <w:pPr>
        <w:spacing w:after="0" w:line="135"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The following discloses the cash flows associated with Ashland’s investing activities for the nine months ended June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62865</wp:posOffset>
            </wp:positionV>
            <wp:extent cx="6626225"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100" w:type="dxa"/>
            <w:vAlign w:val="bottom"/>
            <w:gridSpan w:val="3"/>
          </w:tcPr>
          <w:p>
            <w:pPr>
              <w:jc w:val="right"/>
              <w:ind w:right="280"/>
              <w:spacing w:after="0"/>
              <w:rPr>
                <w:sz w:val="20"/>
                <w:szCs w:val="20"/>
                <w:color w:val="auto"/>
              </w:rPr>
            </w:pPr>
            <w:r>
              <w:rPr>
                <w:rFonts w:ascii="Arial" w:cs="Arial" w:eastAsia="Arial" w:hAnsi="Arial"/>
                <w:sz w:val="18"/>
                <w:szCs w:val="18"/>
                <w:color w:val="auto"/>
              </w:rPr>
              <w:t>Nine months ended</w:t>
            </w:r>
          </w:p>
        </w:tc>
        <w:tc>
          <w:tcPr>
            <w:tcW w:w="740" w:type="dxa"/>
            <w:vAlign w:val="bottom"/>
          </w:tcPr>
          <w:p>
            <w:pPr>
              <w:spacing w:after="0"/>
              <w:rPr>
                <w:sz w:val="20"/>
                <w:szCs w:val="20"/>
                <w:color w:val="auto"/>
              </w:rPr>
            </w:pPr>
          </w:p>
        </w:tc>
      </w:tr>
      <w:tr>
        <w:trPr>
          <w:trHeight w:val="263"/>
        </w:trPr>
        <w:tc>
          <w:tcPr>
            <w:tcW w:w="706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8"/>
                <w:szCs w:val="18"/>
                <w:color w:val="auto"/>
              </w:rPr>
              <w:t>June 30</w:t>
            </w:r>
          </w:p>
        </w:tc>
        <w:tc>
          <w:tcPr>
            <w:tcW w:w="740" w:type="dxa"/>
            <w:vAlign w:val="bottom"/>
            <w:tcBorders>
              <w:bottom w:val="single" w:sz="8" w:color="auto"/>
            </w:tcBorders>
          </w:tcPr>
          <w:p>
            <w:pPr>
              <w:spacing w:after="0"/>
              <w:rPr>
                <w:sz w:val="22"/>
                <w:szCs w:val="22"/>
                <w:color w:val="auto"/>
              </w:rPr>
            </w:pPr>
          </w:p>
        </w:tc>
      </w:tr>
      <w:tr>
        <w:trPr>
          <w:trHeight w:val="250"/>
        </w:trPr>
        <w:tc>
          <w:tcPr>
            <w:tcW w:w="7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5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r>
      <w:tr>
        <w:trPr>
          <w:trHeight w:val="257"/>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provided (used) by investing activities from continuing operations</w:t>
            </w:r>
          </w:p>
        </w:tc>
        <w:tc>
          <w:tcPr>
            <w:tcW w:w="52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r>
      <w:tr>
        <w:trPr>
          <w:trHeight w:val="250"/>
        </w:trPr>
        <w:tc>
          <w:tcPr>
            <w:tcW w:w="7060" w:type="dxa"/>
            <w:vAlign w:val="bottom"/>
          </w:tcPr>
          <w:p>
            <w:pPr>
              <w:ind w:left="260"/>
              <w:spacing w:after="0"/>
              <w:rPr>
                <w:sz w:val="20"/>
                <w:szCs w:val="20"/>
                <w:color w:val="auto"/>
              </w:rPr>
            </w:pPr>
            <w:r>
              <w:rPr>
                <w:rFonts w:ascii="Arial" w:cs="Arial" w:eastAsia="Arial" w:hAnsi="Arial"/>
                <w:sz w:val="18"/>
                <w:szCs w:val="18"/>
                <w:color w:val="auto"/>
              </w:rPr>
              <w:t>Additions to property, plant and equipment</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(77 )</w:t>
            </w:r>
          </w:p>
        </w:tc>
        <w:tc>
          <w:tcPr>
            <w:tcW w:w="10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(94 )</w:t>
            </w:r>
          </w:p>
        </w:tc>
      </w:tr>
      <w:tr>
        <w:trPr>
          <w:trHeight w:val="263"/>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disposal of property, plant and equipment</w:t>
            </w:r>
          </w:p>
        </w:tc>
        <w:tc>
          <w:tcPr>
            <w:tcW w:w="52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r>
      <w:tr>
        <w:trPr>
          <w:trHeight w:val="250"/>
        </w:trPr>
        <w:tc>
          <w:tcPr>
            <w:tcW w:w="7060" w:type="dxa"/>
            <w:vAlign w:val="bottom"/>
          </w:tcPr>
          <w:p>
            <w:pPr>
              <w:ind w:left="260"/>
              <w:spacing w:after="0"/>
              <w:rPr>
                <w:sz w:val="20"/>
                <w:szCs w:val="20"/>
                <w:color w:val="auto"/>
              </w:rPr>
            </w:pPr>
            <w:r>
              <w:rPr>
                <w:rFonts w:ascii="Arial" w:cs="Arial" w:eastAsia="Arial" w:hAnsi="Arial"/>
                <w:sz w:val="18"/>
                <w:szCs w:val="18"/>
                <w:color w:val="auto"/>
              </w:rPr>
              <w:t>Purchase of operations - net of cash acquired</w:t>
            </w: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(308 )</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 or restructuring of operations</w:t>
            </w:r>
          </w:p>
        </w:tc>
        <w:tc>
          <w:tcPr>
            <w:tcW w:w="52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7060" w:type="dxa"/>
            <w:vAlign w:val="bottom"/>
          </w:tcPr>
          <w:p>
            <w:pPr>
              <w:ind w:left="260"/>
              <w:spacing w:after="0"/>
              <w:rPr>
                <w:sz w:val="20"/>
                <w:szCs w:val="20"/>
                <w:color w:val="auto"/>
              </w:rPr>
            </w:pPr>
            <w:r>
              <w:rPr>
                <w:rFonts w:ascii="Arial" w:cs="Arial" w:eastAsia="Arial" w:hAnsi="Arial"/>
                <w:sz w:val="18"/>
                <w:szCs w:val="18"/>
                <w:color w:val="auto"/>
              </w:rPr>
              <w:t>Proceeds from settlement of Company-owned life insurance contracts</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63"/>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Company-owned life insurance payments</w:t>
            </w:r>
          </w:p>
        </w:tc>
        <w:tc>
          <w:tcPr>
            <w:tcW w:w="52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6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r>
      <w:tr>
        <w:trPr>
          <w:trHeight w:val="250"/>
        </w:trPr>
        <w:tc>
          <w:tcPr>
            <w:tcW w:w="7060" w:type="dxa"/>
            <w:vAlign w:val="bottom"/>
          </w:tcPr>
          <w:p>
            <w:pPr>
              <w:ind w:left="260"/>
              <w:spacing w:after="0"/>
              <w:rPr>
                <w:sz w:val="20"/>
                <w:szCs w:val="20"/>
                <w:color w:val="auto"/>
              </w:rPr>
            </w:pPr>
            <w:r>
              <w:rPr>
                <w:rFonts w:ascii="Arial" w:cs="Arial" w:eastAsia="Arial" w:hAnsi="Arial"/>
                <w:sz w:val="18"/>
                <w:szCs w:val="18"/>
                <w:color w:val="auto"/>
              </w:rPr>
              <w:t>Net purchase of funds restricted for specific transactions</w:t>
            </w: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(1 )</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63"/>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Reimbursements from restricted investments</w:t>
            </w:r>
          </w:p>
        </w:tc>
        <w:tc>
          <w:tcPr>
            <w:tcW w:w="52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26</w:t>
            </w:r>
          </w:p>
        </w:tc>
      </w:tr>
      <w:tr>
        <w:trPr>
          <w:trHeight w:val="250"/>
        </w:trPr>
        <w:tc>
          <w:tcPr>
            <w:tcW w:w="7060" w:type="dxa"/>
            <w:vAlign w:val="bottom"/>
          </w:tcPr>
          <w:p>
            <w:pPr>
              <w:ind w:left="260"/>
              <w:spacing w:after="0"/>
              <w:rPr>
                <w:sz w:val="20"/>
                <w:szCs w:val="20"/>
                <w:color w:val="auto"/>
              </w:rPr>
            </w:pPr>
            <w:r>
              <w:rPr>
                <w:rFonts w:ascii="Arial" w:cs="Arial" w:eastAsia="Arial" w:hAnsi="Arial"/>
                <w:sz w:val="18"/>
                <w:szCs w:val="18"/>
                <w:color w:val="auto"/>
              </w:rPr>
              <w:t>Proceeds from sale of securities</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57"/>
        </w:trPr>
        <w:tc>
          <w:tcPr>
            <w:tcW w:w="70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Purchases of securities</w:t>
            </w:r>
          </w:p>
        </w:tc>
        <w:tc>
          <w:tcPr>
            <w:tcW w:w="52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(56 )</w:t>
            </w:r>
          </w:p>
        </w:tc>
        <w:tc>
          <w:tcPr>
            <w:tcW w:w="16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(16 )</w:t>
            </w:r>
          </w:p>
        </w:tc>
      </w:tr>
      <w:tr>
        <w:trPr>
          <w:trHeight w:val="250"/>
        </w:trPr>
        <w:tc>
          <w:tcPr>
            <w:tcW w:w="7060" w:type="dxa"/>
            <w:vAlign w:val="bottom"/>
          </w:tcPr>
          <w:p>
            <w:pPr>
              <w:spacing w:after="0"/>
              <w:rPr>
                <w:sz w:val="20"/>
                <w:szCs w:val="20"/>
                <w:color w:val="auto"/>
              </w:rPr>
            </w:pPr>
            <w:r>
              <w:rPr>
                <w:rFonts w:ascii="Arial" w:cs="Arial" w:eastAsia="Arial" w:hAnsi="Arial"/>
                <w:sz w:val="18"/>
                <w:szCs w:val="18"/>
                <w:color w:val="auto"/>
              </w:rPr>
              <w:t>Total cash flows used by investing activities from continuing operations</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(343 )</w:t>
            </w:r>
          </w:p>
        </w:tc>
        <w:tc>
          <w:tcPr>
            <w:tcW w:w="10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(65 )</w:t>
            </w:r>
          </w:p>
        </w:tc>
      </w:tr>
      <w:tr>
        <w:trPr>
          <w:trHeight w:val="20"/>
        </w:trPr>
        <w:tc>
          <w:tcPr>
            <w:tcW w:w="70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5532755</wp:posOffset>
            </wp:positionH>
            <wp:positionV relativeFrom="paragraph">
              <wp:posOffset>-193675</wp:posOffset>
            </wp:positionV>
            <wp:extent cx="111125" cy="571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11125" cy="5715"/>
                    </a:xfrm>
                    <a:prstGeom prst="rect">
                      <a:avLst/>
                    </a:prstGeom>
                    <a:noFill/>
                  </pic:spPr>
                </pic:pic>
              </a:graphicData>
            </a:graphic>
          </wp:anchor>
        </w:drawing>
      </w:r>
    </w:p>
    <w:p>
      <w:pPr>
        <w:spacing w:after="0" w:line="301"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Cash used by investing activities was $343 million and $65 million for the current and prior year periods, respectively. The significant cash investing activities for the current period primarily related to cash outflows of $308 million for the purchase of operations related to the Schülke personal care acquisition, see Note B for more information, and cash outflows of $77 million for property additions compared to $94 million in the prior year period. Additionally, there were reimbursements from the restricted renewable annual asbestos trust of $25 million during the current period compared to $26 million in the prior year period, proceeds from disposal of property, plant and equipment of $4 million in the current period and proceeds from sale or restructuring of operations of $14 million in the current period. The current and prior year period also included a rebalancing within the asbestos trust, which resulted in $56 million and $16 million of proceeds from the sale of securities offset by $56 million and $16 million of purchases of securities, respectively.</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74" w:right="719" w:bottom="1440" w:gutter="0" w:footer="0" w:header="0"/>
        </w:sectPr>
      </w:pPr>
    </w:p>
    <w:bookmarkStart w:id="59" w:name="page60"/>
    <w:bookmarkEnd w:id="59"/>
    <w:p>
      <w:pPr>
        <w:ind w:left="40"/>
        <w:spacing w:after="0"/>
        <w:rPr>
          <w:sz w:val="20"/>
          <w:szCs w:val="20"/>
          <w:color w:val="auto"/>
        </w:rPr>
      </w:pPr>
      <w:r>
        <w:rPr>
          <w:rFonts w:ascii="Arial" w:cs="Arial" w:eastAsia="Arial" w:hAnsi="Arial"/>
          <w:sz w:val="20"/>
          <w:szCs w:val="20"/>
          <w:i w:val="1"/>
          <w:iCs w:val="1"/>
          <w:color w:val="auto"/>
        </w:rPr>
        <w:t>Financing activities</w:t>
      </w:r>
    </w:p>
    <w:p>
      <w:pPr>
        <w:spacing w:after="0" w:line="135" w:lineRule="exact"/>
        <w:rPr>
          <w:sz w:val="20"/>
          <w:szCs w:val="20"/>
          <w:color w:val="auto"/>
        </w:rPr>
      </w:pPr>
    </w:p>
    <w:p>
      <w:pPr>
        <w:jc w:val="both"/>
        <w:ind w:left="40" w:right="40"/>
        <w:spacing w:after="0" w:line="288" w:lineRule="auto"/>
        <w:rPr>
          <w:sz w:val="20"/>
          <w:szCs w:val="20"/>
          <w:color w:val="auto"/>
        </w:rPr>
      </w:pPr>
      <w:r>
        <w:rPr>
          <w:rFonts w:ascii="Arial" w:cs="Arial" w:eastAsia="Arial" w:hAnsi="Arial"/>
          <w:sz w:val="20"/>
          <w:szCs w:val="20"/>
          <w:color w:val="auto"/>
        </w:rPr>
        <w:t>The following discloses the cash flows associated with Ashland’s financing activities for the nine months ended June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670369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6703695" cy="8255"/>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140" w:type="dxa"/>
            <w:vAlign w:val="bottom"/>
            <w:gridSpan w:val="3"/>
          </w:tcPr>
          <w:p>
            <w:pPr>
              <w:jc w:val="right"/>
              <w:ind w:right="210"/>
              <w:spacing w:after="0"/>
              <w:rPr>
                <w:sz w:val="20"/>
                <w:szCs w:val="20"/>
                <w:color w:val="auto"/>
              </w:rPr>
            </w:pPr>
            <w:r>
              <w:rPr>
                <w:rFonts w:ascii="Arial" w:cs="Arial" w:eastAsia="Arial" w:hAnsi="Arial"/>
                <w:sz w:val="18"/>
                <w:szCs w:val="18"/>
                <w:color w:val="auto"/>
              </w:rPr>
              <w:t>Nine months ended</w:t>
            </w:r>
          </w:p>
        </w:tc>
        <w:tc>
          <w:tcPr>
            <w:tcW w:w="760" w:type="dxa"/>
            <w:vAlign w:val="bottom"/>
          </w:tcPr>
          <w:p>
            <w:pPr>
              <w:spacing w:after="0"/>
              <w:rPr>
                <w:sz w:val="20"/>
                <w:szCs w:val="20"/>
                <w:color w:val="auto"/>
              </w:rPr>
            </w:pPr>
          </w:p>
        </w:tc>
      </w:tr>
      <w:tr>
        <w:trPr>
          <w:trHeight w:val="263"/>
        </w:trPr>
        <w:tc>
          <w:tcPr>
            <w:tcW w:w="714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color w:val="auto"/>
              </w:rPr>
              <w:t>June 30</w:t>
            </w:r>
          </w:p>
        </w:tc>
        <w:tc>
          <w:tcPr>
            <w:tcW w:w="760" w:type="dxa"/>
            <w:vAlign w:val="bottom"/>
            <w:tcBorders>
              <w:bottom w:val="single" w:sz="8" w:color="auto"/>
            </w:tcBorders>
          </w:tcPr>
          <w:p>
            <w:pPr>
              <w:spacing w:after="0"/>
              <w:rPr>
                <w:sz w:val="22"/>
                <w:szCs w:val="22"/>
                <w:color w:val="auto"/>
              </w:rPr>
            </w:pPr>
          </w:p>
        </w:tc>
      </w:tr>
      <w:tr>
        <w:trPr>
          <w:trHeight w:val="250"/>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5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r>
      <w:tr>
        <w:trPr>
          <w:trHeight w:val="256"/>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provided (used) by financing activities from continuing operations</w:t>
            </w:r>
          </w:p>
        </w:tc>
        <w:tc>
          <w:tcPr>
            <w:tcW w:w="52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r>
      <w:tr>
        <w:trPr>
          <w:trHeight w:val="250"/>
        </w:trPr>
        <w:tc>
          <w:tcPr>
            <w:tcW w:w="7140" w:type="dxa"/>
            <w:vAlign w:val="bottom"/>
          </w:tcPr>
          <w:p>
            <w:pPr>
              <w:ind w:left="280"/>
              <w:spacing w:after="0"/>
              <w:rPr>
                <w:sz w:val="20"/>
                <w:szCs w:val="20"/>
                <w:color w:val="auto"/>
              </w:rPr>
            </w:pPr>
            <w:r>
              <w:rPr>
                <w:rFonts w:ascii="Arial" w:cs="Arial" w:eastAsia="Arial" w:hAnsi="Arial"/>
                <w:sz w:val="18"/>
                <w:szCs w:val="18"/>
                <w:color w:val="auto"/>
              </w:rPr>
              <w:t>Proceeds from issuance of long-term debt</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804</w:t>
            </w:r>
          </w:p>
        </w:tc>
      </w:tr>
      <w:tr>
        <w:trPr>
          <w:trHeight w:val="263"/>
        </w:trPr>
        <w:tc>
          <w:tcPr>
            <w:tcW w:w="71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Repayment of long-term debt</w:t>
            </w:r>
          </w:p>
        </w:tc>
        <w:tc>
          <w:tcPr>
            <w:tcW w:w="52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(767 )</w:t>
            </w:r>
          </w:p>
        </w:tc>
      </w:tr>
      <w:tr>
        <w:trPr>
          <w:trHeight w:val="250"/>
        </w:trPr>
        <w:tc>
          <w:tcPr>
            <w:tcW w:w="7140" w:type="dxa"/>
            <w:vAlign w:val="bottom"/>
          </w:tcPr>
          <w:p>
            <w:pPr>
              <w:ind w:left="280"/>
              <w:spacing w:after="0"/>
              <w:rPr>
                <w:sz w:val="20"/>
                <w:szCs w:val="20"/>
                <w:color w:val="auto"/>
              </w:rPr>
            </w:pPr>
            <w:r>
              <w:rPr>
                <w:rFonts w:ascii="Arial" w:cs="Arial" w:eastAsia="Arial" w:hAnsi="Arial"/>
                <w:sz w:val="18"/>
                <w:szCs w:val="18"/>
                <w:color w:val="auto"/>
              </w:rPr>
              <w:t>Premium on long-term debt repayment</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(59 )</w:t>
            </w:r>
          </w:p>
        </w:tc>
      </w:tr>
      <w:tr>
        <w:trPr>
          <w:trHeight w:val="263"/>
        </w:trPr>
        <w:tc>
          <w:tcPr>
            <w:tcW w:w="71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Proceeds from (repayment of) short-term debt</w:t>
            </w:r>
          </w:p>
        </w:tc>
        <w:tc>
          <w:tcPr>
            <w:tcW w:w="52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(185 )</w:t>
            </w:r>
          </w:p>
        </w:tc>
        <w:tc>
          <w:tcPr>
            <w:tcW w:w="20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281</w:t>
            </w:r>
          </w:p>
        </w:tc>
      </w:tr>
      <w:tr>
        <w:trPr>
          <w:trHeight w:val="250"/>
        </w:trPr>
        <w:tc>
          <w:tcPr>
            <w:tcW w:w="7140" w:type="dxa"/>
            <w:vAlign w:val="bottom"/>
          </w:tcPr>
          <w:p>
            <w:pPr>
              <w:ind w:left="280"/>
              <w:spacing w:after="0"/>
              <w:rPr>
                <w:sz w:val="20"/>
                <w:szCs w:val="20"/>
                <w:color w:val="auto"/>
              </w:rPr>
            </w:pPr>
            <w:r>
              <w:rPr>
                <w:rFonts w:ascii="Arial" w:cs="Arial" w:eastAsia="Arial" w:hAnsi="Arial"/>
                <w:sz w:val="18"/>
                <w:szCs w:val="18"/>
                <w:color w:val="auto"/>
              </w:rPr>
              <w:t>Debt issuance costs</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63"/>
        </w:trPr>
        <w:tc>
          <w:tcPr>
            <w:tcW w:w="71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dividends paid</w:t>
            </w:r>
          </w:p>
        </w:tc>
        <w:tc>
          <w:tcPr>
            <w:tcW w:w="52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(52 )</w:t>
            </w:r>
          </w:p>
        </w:tc>
        <w:tc>
          <w:tcPr>
            <w:tcW w:w="20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(50 )</w:t>
            </w:r>
          </w:p>
        </w:tc>
      </w:tr>
      <w:tr>
        <w:trPr>
          <w:trHeight w:val="250"/>
        </w:trPr>
        <w:tc>
          <w:tcPr>
            <w:tcW w:w="7140" w:type="dxa"/>
            <w:vAlign w:val="bottom"/>
          </w:tcPr>
          <w:p>
            <w:pPr>
              <w:ind w:left="280"/>
              <w:spacing w:after="0"/>
              <w:rPr>
                <w:sz w:val="20"/>
                <w:szCs w:val="20"/>
                <w:color w:val="auto"/>
              </w:rPr>
            </w:pPr>
            <w:r>
              <w:rPr>
                <w:rFonts w:ascii="Arial" w:cs="Arial" w:eastAsia="Arial" w:hAnsi="Arial"/>
                <w:sz w:val="18"/>
                <w:szCs w:val="18"/>
                <w:color w:val="auto"/>
              </w:rPr>
              <w:t>Stock based compensation employee withholding taxes paid in cash</w:t>
            </w:r>
          </w:p>
        </w:tc>
        <w:tc>
          <w:tcPr>
            <w:tcW w:w="5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20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(6 )</w:t>
            </w:r>
          </w:p>
        </w:tc>
      </w:tr>
      <w:tr>
        <w:trPr>
          <w:trHeight w:val="290"/>
        </w:trPr>
        <w:tc>
          <w:tcPr>
            <w:tcW w:w="7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cash flows provided (used) by financing activities from continuing operations</w:t>
            </w: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(243 )</w:t>
            </w:r>
          </w:p>
        </w:tc>
        <w:tc>
          <w:tcPr>
            <w:tcW w:w="20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5558155</wp:posOffset>
            </wp:positionH>
            <wp:positionV relativeFrom="paragraph">
              <wp:posOffset>-24765</wp:posOffset>
            </wp:positionV>
            <wp:extent cx="13716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-7620</wp:posOffset>
            </wp:positionV>
            <wp:extent cx="13716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33" w:lineRule="exact"/>
        <w:rPr>
          <w:sz w:val="20"/>
          <w:szCs w:val="20"/>
          <w:color w:val="auto"/>
        </w:rPr>
      </w:pPr>
    </w:p>
    <w:p>
      <w:pPr>
        <w:jc w:val="both"/>
        <w:ind w:left="40" w:right="40"/>
        <w:spacing w:after="0" w:line="288" w:lineRule="auto"/>
        <w:rPr>
          <w:sz w:val="20"/>
          <w:szCs w:val="20"/>
          <w:color w:val="auto"/>
        </w:rPr>
      </w:pPr>
      <w:r>
        <w:rPr>
          <w:rFonts w:ascii="Arial" w:cs="Arial" w:eastAsia="Arial" w:hAnsi="Arial"/>
          <w:sz w:val="20"/>
          <w:szCs w:val="20"/>
          <w:color w:val="auto"/>
        </w:rPr>
        <w:t>Cash flows used by financing activities resulted in an outflow of $243 million for the current period compared to an inflow of $192 million for the prior year period.</w:t>
      </w:r>
    </w:p>
    <w:p>
      <w:pPr>
        <w:spacing w:after="0" w:line="69"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20"/>
          <w:szCs w:val="20"/>
          <w:color w:val="auto"/>
        </w:rPr>
        <w:t>Significant cash financing activities for the current period included short-term debt repayments of $185 million, primarily related to the 2020 Revolving Credit Facility and accounts receivable securitization facilities. The current period included cash dividends paid of $0.850 per share, for a total of $52 million.</w:t>
      </w:r>
    </w:p>
    <w:p>
      <w:pPr>
        <w:spacing w:after="0" w:line="78" w:lineRule="exact"/>
        <w:rPr>
          <w:sz w:val="20"/>
          <w:szCs w:val="20"/>
          <w:color w:val="auto"/>
        </w:rPr>
      </w:pPr>
    </w:p>
    <w:p>
      <w:pPr>
        <w:jc w:val="both"/>
        <w:ind w:left="40" w:right="40"/>
        <w:spacing w:after="0" w:line="272" w:lineRule="auto"/>
        <w:rPr>
          <w:sz w:val="20"/>
          <w:szCs w:val="20"/>
          <w:color w:val="auto"/>
        </w:rPr>
      </w:pPr>
      <w:r>
        <w:rPr>
          <w:rFonts w:ascii="Arial" w:cs="Arial" w:eastAsia="Arial" w:hAnsi="Arial"/>
          <w:sz w:val="20"/>
          <w:szCs w:val="20"/>
          <w:color w:val="auto"/>
        </w:rPr>
        <w:t>Significant cash financing activities for the prior year period included proceeds from issuance of long-term debt, repayment of long-term debt, premiums on retirement of long-term debt, and debt issuance costs paid of $804 million, $767 million, $59 million and $11 million, respectively, all related to debt refinancing activity. The prior year period also included short-term cash inflows of $281 million, primarily related to draws on the 2020 Revolving Credit Facility. The prior year period included cash dividends paid of $0.825 per share, for a total of $50 million.</w:t>
      </w:r>
    </w:p>
    <w:p>
      <w:pPr>
        <w:spacing w:after="0" w:line="87" w:lineRule="exact"/>
        <w:rPr>
          <w:sz w:val="20"/>
          <w:szCs w:val="20"/>
          <w:color w:val="auto"/>
        </w:rPr>
      </w:pPr>
    </w:p>
    <w:p>
      <w:pPr>
        <w:jc w:val="both"/>
        <w:ind w:left="40" w:right="40"/>
        <w:spacing w:after="0" w:line="288" w:lineRule="auto"/>
        <w:rPr>
          <w:sz w:val="20"/>
          <w:szCs w:val="20"/>
          <w:color w:val="auto"/>
        </w:rPr>
      </w:pPr>
      <w:r>
        <w:rPr>
          <w:rFonts w:ascii="Arial" w:cs="Arial" w:eastAsia="Arial" w:hAnsi="Arial"/>
          <w:sz w:val="20"/>
          <w:szCs w:val="20"/>
          <w:color w:val="auto"/>
        </w:rPr>
        <w:t>The following discloses the cash flows associated with Ashland’s discontinued operations for the nine months ended June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62865</wp:posOffset>
            </wp:positionV>
            <wp:extent cx="6626225"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106"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540" w:type="dxa"/>
            <w:vAlign w:val="bottom"/>
            <w:gridSpan w:val="3"/>
          </w:tcPr>
          <w:p>
            <w:pPr>
              <w:jc w:val="right"/>
              <w:ind w:right="520"/>
              <w:spacing w:after="0"/>
              <w:rPr>
                <w:sz w:val="20"/>
                <w:szCs w:val="20"/>
                <w:color w:val="auto"/>
              </w:rPr>
            </w:pPr>
            <w:r>
              <w:rPr>
                <w:rFonts w:ascii="Arial" w:cs="Arial" w:eastAsia="Arial" w:hAnsi="Arial"/>
                <w:sz w:val="18"/>
                <w:szCs w:val="18"/>
                <w:color w:val="auto"/>
              </w:rPr>
              <w:t>Nine months ended</w:t>
            </w:r>
          </w:p>
        </w:tc>
        <w:tc>
          <w:tcPr>
            <w:tcW w:w="960" w:type="dxa"/>
            <w:vAlign w:val="bottom"/>
          </w:tcPr>
          <w:p>
            <w:pPr>
              <w:spacing w:after="0"/>
              <w:rPr>
                <w:sz w:val="20"/>
                <w:szCs w:val="20"/>
                <w:color w:val="auto"/>
              </w:rPr>
            </w:pPr>
          </w:p>
        </w:tc>
      </w:tr>
      <w:tr>
        <w:trPr>
          <w:trHeight w:val="263"/>
        </w:trPr>
        <w:tc>
          <w:tcPr>
            <w:tcW w:w="6180" w:type="dxa"/>
            <w:vAlign w:val="bottom"/>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gridSpan w:val="3"/>
          </w:tcPr>
          <w:p>
            <w:pPr>
              <w:jc w:val="right"/>
              <w:ind w:right="940"/>
              <w:spacing w:after="0"/>
              <w:rPr>
                <w:sz w:val="20"/>
                <w:szCs w:val="20"/>
                <w:color w:val="auto"/>
              </w:rPr>
            </w:pPr>
            <w:r>
              <w:rPr>
                <w:rFonts w:ascii="Arial" w:cs="Arial" w:eastAsia="Arial" w:hAnsi="Arial"/>
                <w:sz w:val="18"/>
                <w:szCs w:val="18"/>
                <w:color w:val="auto"/>
              </w:rPr>
              <w:t>June 30</w:t>
            </w:r>
          </w:p>
        </w:tc>
        <w:tc>
          <w:tcPr>
            <w:tcW w:w="960" w:type="dxa"/>
            <w:vAlign w:val="bottom"/>
            <w:tcBorders>
              <w:bottom w:val="single" w:sz="8" w:color="auto"/>
            </w:tcBorders>
          </w:tcPr>
          <w:p>
            <w:pPr>
              <w:spacing w:after="0"/>
              <w:rPr>
                <w:sz w:val="22"/>
                <w:szCs w:val="22"/>
                <w:color w:val="auto"/>
              </w:rPr>
            </w:pPr>
          </w:p>
        </w:tc>
      </w:tr>
      <w:tr>
        <w:trPr>
          <w:trHeight w:val="250"/>
        </w:trPr>
        <w:tc>
          <w:tcPr>
            <w:tcW w:w="6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7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r>
      <w:tr>
        <w:trPr>
          <w:trHeight w:val="257"/>
        </w:trPr>
        <w:tc>
          <w:tcPr>
            <w:tcW w:w="6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provided (used) by discontinued operations</w:t>
            </w:r>
          </w:p>
        </w:tc>
        <w:tc>
          <w:tcPr>
            <w:tcW w:w="74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r>
      <w:tr>
        <w:trPr>
          <w:trHeight w:val="250"/>
        </w:trPr>
        <w:tc>
          <w:tcPr>
            <w:tcW w:w="6180" w:type="dxa"/>
            <w:vAlign w:val="bottom"/>
          </w:tcPr>
          <w:p>
            <w:pPr>
              <w:ind w:left="260"/>
              <w:spacing w:after="0"/>
              <w:rPr>
                <w:sz w:val="20"/>
                <w:szCs w:val="20"/>
                <w:color w:val="auto"/>
              </w:rPr>
            </w:pPr>
            <w:r>
              <w:rPr>
                <w:rFonts w:ascii="Arial" w:cs="Arial" w:eastAsia="Arial" w:hAnsi="Arial"/>
                <w:sz w:val="18"/>
                <w:szCs w:val="18"/>
                <w:color w:val="auto"/>
              </w:rPr>
              <w:t>Operating cash flows</w:t>
            </w: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(4 )</w:t>
            </w:r>
          </w:p>
        </w:tc>
        <w:tc>
          <w:tcPr>
            <w:tcW w:w="122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(98 )</w:t>
            </w:r>
          </w:p>
        </w:tc>
      </w:tr>
      <w:tr>
        <w:trPr>
          <w:trHeight w:val="257"/>
        </w:trPr>
        <w:tc>
          <w:tcPr>
            <w:tcW w:w="61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Investing cash flows</w:t>
            </w:r>
          </w:p>
        </w:tc>
        <w:tc>
          <w:tcPr>
            <w:tcW w:w="74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(9 )</w:t>
            </w:r>
          </w:p>
        </w:tc>
        <w:tc>
          <w:tcPr>
            <w:tcW w:w="16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r>
      <w:tr>
        <w:trPr>
          <w:trHeight w:val="257"/>
        </w:trPr>
        <w:tc>
          <w:tcPr>
            <w:tcW w:w="6180" w:type="dxa"/>
            <w:vAlign w:val="bottom"/>
          </w:tcPr>
          <w:p>
            <w:pPr>
              <w:spacing w:after="0"/>
              <w:rPr>
                <w:sz w:val="20"/>
                <w:szCs w:val="20"/>
                <w:color w:val="auto"/>
              </w:rPr>
            </w:pPr>
            <w:r>
              <w:rPr>
                <w:rFonts w:ascii="Arial" w:cs="Arial" w:eastAsia="Arial" w:hAnsi="Arial"/>
                <w:sz w:val="18"/>
                <w:szCs w:val="18"/>
                <w:color w:val="auto"/>
              </w:rPr>
              <w:t>Total cash used by discontinued operations</w:t>
            </w: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(13 )</w:t>
            </w:r>
          </w:p>
        </w:tc>
        <w:tc>
          <w:tcPr>
            <w:tcW w:w="122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(97 )</w:t>
            </w:r>
          </w:p>
        </w:tc>
      </w:tr>
      <w:tr>
        <w:trPr>
          <w:trHeight w:val="20"/>
        </w:trPr>
        <w:tc>
          <w:tcPr>
            <w:tcW w:w="6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5283835</wp:posOffset>
            </wp:positionH>
            <wp:positionV relativeFrom="paragraph">
              <wp:posOffset>-193675</wp:posOffset>
            </wp:positionV>
            <wp:extent cx="102870" cy="571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02870" cy="5715"/>
                    </a:xfrm>
                    <a:prstGeom prst="rect">
                      <a:avLst/>
                    </a:prstGeom>
                    <a:noFill/>
                  </pic:spPr>
                </pic:pic>
              </a:graphicData>
            </a:graphic>
          </wp:anchor>
        </w:drawing>
      </w:r>
    </w:p>
    <w:p>
      <w:pPr>
        <w:spacing w:after="0" w:line="233"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20"/>
          <w:szCs w:val="20"/>
          <w:color w:val="auto"/>
        </w:rPr>
        <w:t>Cash flows for discontinued operations in the current period primarily related to previously divested businesses, including net payments of asbestos and environmental liabilities, and a $30 million cash inflow for a tax refund associated with the Composites divestiture.</w:t>
      </w:r>
    </w:p>
    <w:p>
      <w:pPr>
        <w:spacing w:after="0" w:line="7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20"/>
          <w:szCs w:val="20"/>
          <w:color w:val="auto"/>
        </w:rPr>
        <w:t>Cash flows for discontinued operations in the prior year period related to previously divested businesses, including net payments of asbestos, environmental liabilities and tax payments associated with the Composites divestiture, which was a $59 million cash outflow.</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70485</wp:posOffset>
            </wp:positionV>
            <wp:extent cx="7157720"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660" w:top="474" w:right="679" w:bottom="1440" w:gutter="0" w:footer="0" w:header="0"/>
        </w:sectPr>
      </w:pPr>
    </w:p>
    <w:bookmarkStart w:id="60" w:name="page61"/>
    <w:bookmarkEnd w:id="60"/>
    <w:p>
      <w:pPr>
        <w:spacing w:after="0"/>
        <w:rPr>
          <w:sz w:val="20"/>
          <w:szCs w:val="20"/>
          <w:color w:val="auto"/>
        </w:rPr>
      </w:pPr>
      <w:r>
        <w:rPr>
          <w:rFonts w:ascii="Arial" w:cs="Arial" w:eastAsia="Arial" w:hAnsi="Arial"/>
          <w:sz w:val="20"/>
          <w:szCs w:val="20"/>
          <w:i w:val="1"/>
          <w:iCs w:val="1"/>
          <w:color w:val="auto"/>
        </w:rPr>
        <w:t>Free cash flow and other liquidity resources</w:t>
      </w:r>
    </w:p>
    <w:p>
      <w:pPr>
        <w:spacing w:after="0" w:line="135" w:lineRule="exact"/>
        <w:rPr>
          <w:sz w:val="20"/>
          <w:szCs w:val="20"/>
          <w:color w:val="auto"/>
        </w:rPr>
      </w:pPr>
    </w:p>
    <w:p>
      <w:pPr>
        <w:spacing w:after="0" w:line="288" w:lineRule="auto"/>
        <w:rPr>
          <w:sz w:val="20"/>
          <w:szCs w:val="20"/>
          <w:color w:val="auto"/>
        </w:rPr>
      </w:pPr>
      <w:r>
        <w:rPr>
          <w:rFonts w:ascii="Arial" w:cs="Arial" w:eastAsia="Arial" w:hAnsi="Arial"/>
          <w:sz w:val="20"/>
          <w:szCs w:val="20"/>
          <w:color w:val="auto"/>
        </w:rPr>
        <w:t>The following represents Ashland’s calculation of free cash flow for the disclosed periods. Free cash flow does not reflect adjustments for certain non-discretionary cash flows such as mandatory debt 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62865</wp:posOffset>
            </wp:positionV>
            <wp:extent cx="662622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540" w:type="dxa"/>
            <w:vAlign w:val="bottom"/>
            <w:gridSpan w:val="3"/>
          </w:tcPr>
          <w:p>
            <w:pPr>
              <w:jc w:val="right"/>
              <w:ind w:right="520"/>
              <w:spacing w:after="0"/>
              <w:rPr>
                <w:sz w:val="20"/>
                <w:szCs w:val="20"/>
                <w:color w:val="auto"/>
              </w:rPr>
            </w:pPr>
            <w:r>
              <w:rPr>
                <w:rFonts w:ascii="Arial" w:cs="Arial" w:eastAsia="Arial" w:hAnsi="Arial"/>
                <w:sz w:val="18"/>
                <w:szCs w:val="18"/>
                <w:color w:val="auto"/>
              </w:rPr>
              <w:t>Nine months ended</w:t>
            </w:r>
          </w:p>
        </w:tc>
        <w:tc>
          <w:tcPr>
            <w:tcW w:w="960" w:type="dxa"/>
            <w:vAlign w:val="bottom"/>
          </w:tcPr>
          <w:p>
            <w:pPr>
              <w:spacing w:after="0"/>
              <w:rPr>
                <w:sz w:val="20"/>
                <w:szCs w:val="20"/>
                <w:color w:val="auto"/>
              </w:rPr>
            </w:pPr>
          </w:p>
        </w:tc>
      </w:tr>
      <w:tr>
        <w:trPr>
          <w:trHeight w:val="263"/>
        </w:trPr>
        <w:tc>
          <w:tcPr>
            <w:tcW w:w="6180" w:type="dxa"/>
            <w:vAlign w:val="bottom"/>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gridSpan w:val="3"/>
          </w:tcPr>
          <w:p>
            <w:pPr>
              <w:jc w:val="right"/>
              <w:ind w:right="940"/>
              <w:spacing w:after="0"/>
              <w:rPr>
                <w:sz w:val="20"/>
                <w:szCs w:val="20"/>
                <w:color w:val="auto"/>
              </w:rPr>
            </w:pPr>
            <w:r>
              <w:rPr>
                <w:rFonts w:ascii="Arial" w:cs="Arial" w:eastAsia="Arial" w:hAnsi="Arial"/>
                <w:sz w:val="18"/>
                <w:szCs w:val="18"/>
                <w:color w:val="auto"/>
              </w:rPr>
              <w:t>June 30</w:t>
            </w:r>
          </w:p>
        </w:tc>
        <w:tc>
          <w:tcPr>
            <w:tcW w:w="960" w:type="dxa"/>
            <w:vAlign w:val="bottom"/>
            <w:tcBorders>
              <w:bottom w:val="single" w:sz="8" w:color="auto"/>
            </w:tcBorders>
          </w:tcPr>
          <w:p>
            <w:pPr>
              <w:spacing w:after="0"/>
              <w:rPr>
                <w:sz w:val="22"/>
                <w:szCs w:val="22"/>
                <w:color w:val="auto"/>
              </w:rPr>
            </w:pPr>
          </w:p>
        </w:tc>
      </w:tr>
      <w:tr>
        <w:trPr>
          <w:trHeight w:val="250"/>
        </w:trPr>
        <w:tc>
          <w:tcPr>
            <w:tcW w:w="6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7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r>
      <w:tr>
        <w:trPr>
          <w:trHeight w:val="256"/>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Total cash flows provided by operating activities from continuing operations</w:t>
            </w:r>
          </w:p>
        </w:tc>
        <w:tc>
          <w:tcPr>
            <w:tcW w:w="74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403</w:t>
            </w:r>
          </w:p>
        </w:tc>
        <w:tc>
          <w:tcPr>
            <w:tcW w:w="1220" w:type="dxa"/>
            <w:vAlign w:val="bottom"/>
            <w:gridSpan w:val="2"/>
            <w:shd w:val="clear" w:color="auto" w:fill="CFF0FC"/>
          </w:tcPr>
          <w:p>
            <w:pPr>
              <w:jc w:val="right"/>
              <w:ind w:right="9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153</w:t>
            </w:r>
          </w:p>
        </w:tc>
      </w:tr>
      <w:tr>
        <w:trPr>
          <w:trHeight w:val="250"/>
        </w:trPr>
        <w:tc>
          <w:tcPr>
            <w:tcW w:w="6180" w:type="dxa"/>
            <w:vAlign w:val="bottom"/>
          </w:tcPr>
          <w:p>
            <w:pPr>
              <w:spacing w:after="0"/>
              <w:rPr>
                <w:sz w:val="20"/>
                <w:szCs w:val="20"/>
                <w:color w:val="auto"/>
              </w:rPr>
            </w:pPr>
            <w:r>
              <w:rPr>
                <w:rFonts w:ascii="Arial" w:cs="Arial" w:eastAsia="Arial" w:hAnsi="Arial"/>
                <w:sz w:val="18"/>
                <w:szCs w:val="18"/>
                <w:color w:val="auto"/>
              </w:rPr>
              <w:t>Adjustments:</w:t>
            </w:r>
          </w:p>
        </w:tc>
        <w:tc>
          <w:tcPr>
            <w:tcW w:w="7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7"/>
        </w:trPr>
        <w:tc>
          <w:tcPr>
            <w:tcW w:w="61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Additions to property, plant and equipment</w:t>
            </w:r>
          </w:p>
        </w:tc>
        <w:tc>
          <w:tcPr>
            <w:tcW w:w="74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(77 )</w:t>
            </w:r>
          </w:p>
        </w:tc>
        <w:tc>
          <w:tcPr>
            <w:tcW w:w="16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(94 )</w:t>
            </w:r>
          </w:p>
        </w:tc>
      </w:tr>
      <w:tr>
        <w:trPr>
          <w:trHeight w:val="250"/>
        </w:trPr>
        <w:tc>
          <w:tcPr>
            <w:tcW w:w="6180" w:type="dxa"/>
            <w:vAlign w:val="bottom"/>
          </w:tcPr>
          <w:p>
            <w:pPr>
              <w:spacing w:after="0"/>
              <w:rPr>
                <w:sz w:val="20"/>
                <w:szCs w:val="20"/>
                <w:color w:val="auto"/>
              </w:rPr>
            </w:pPr>
            <w:r>
              <w:rPr>
                <w:rFonts w:ascii="Arial" w:cs="Arial" w:eastAsia="Arial" w:hAnsi="Arial"/>
                <w:sz w:val="18"/>
                <w:szCs w:val="18"/>
                <w:color w:val="auto"/>
              </w:rPr>
              <w:t xml:space="preserve">Free cash flows </w:t>
            </w:r>
            <w:r>
              <w:rPr>
                <w:rFonts w:ascii="Arial" w:cs="Arial" w:eastAsia="Arial" w:hAnsi="Arial"/>
                <w:sz w:val="14"/>
                <w:szCs w:val="14"/>
                <w:color w:val="auto"/>
              </w:rPr>
              <w:t>(a) (b)</w:t>
            </w: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326</w:t>
            </w:r>
          </w:p>
        </w:tc>
        <w:tc>
          <w:tcPr>
            <w:tcW w:w="122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0"/>
        </w:trPr>
        <w:tc>
          <w:tcPr>
            <w:tcW w:w="6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49"/>
        </w:trPr>
        <w:tc>
          <w:tcPr>
            <w:tcW w:w="6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5258435</wp:posOffset>
            </wp:positionH>
            <wp:positionV relativeFrom="paragraph">
              <wp:posOffset>-304800</wp:posOffset>
            </wp:positionV>
            <wp:extent cx="102870" cy="571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02870" cy="5715"/>
                    </a:xfrm>
                    <a:prstGeom prst="rect">
                      <a:avLst/>
                    </a:prstGeom>
                    <a:noFill/>
                  </pic:spPr>
                </pic:pic>
              </a:graphicData>
            </a:graphic>
          </wp:anchor>
        </w:drawing>
      </w:r>
    </w:p>
    <w:p>
      <w:pPr>
        <w:spacing w:after="0" w:line="83" w:lineRule="exact"/>
        <w:rPr>
          <w:sz w:val="20"/>
          <w:szCs w:val="20"/>
          <w:color w:val="auto"/>
        </w:rPr>
      </w:pPr>
    </w:p>
    <w:p>
      <w:pPr>
        <w:ind w:left="320" w:hanging="318"/>
        <w:spacing w:after="0"/>
        <w:tabs>
          <w:tab w:leader="none" w:pos="3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$35 million and $22 million of restructuring payments for the nine months ended June 30, 2021 and 2020, respectively.</w:t>
      </w:r>
    </w:p>
    <w:p>
      <w:pPr>
        <w:spacing w:after="0" w:line="122" w:lineRule="exact"/>
        <w:rPr>
          <w:rFonts w:ascii="Arial" w:cs="Arial" w:eastAsia="Arial" w:hAnsi="Arial"/>
          <w:sz w:val="14"/>
          <w:szCs w:val="14"/>
          <w:color w:val="auto"/>
        </w:rPr>
      </w:pPr>
    </w:p>
    <w:p>
      <w:pPr>
        <w:ind w:left="320" w:hanging="318"/>
        <w:spacing w:after="0"/>
        <w:tabs>
          <w:tab w:leader="none" w:pos="3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$90 million of cash inflows for the nine months ended June 30, 2021 associated with the U.S. Accounts Receivable Sales Program.</w:t>
      </w:r>
    </w:p>
    <w:p>
      <w:pPr>
        <w:spacing w:after="0" w:line="124"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Working capital (current assets minus current liabilities, excluding long-term debt due within one year) amounted to $639 million and $734 million as of June 30, 2021 and September 30, 2020, respectively. Liquid assets (cash, cash equivalents and accounts receivable) amounted to 107% and 114% of current liabilities (excluding current liabilities held for sale) as of June 30, 2021 and September 30, 2020, respectively.</w:t>
      </w:r>
    </w:p>
    <w:p>
      <w:pPr>
        <w:spacing w:after="0" w:line="84"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The following summary reflects Ashland’s cash, unused borrowing capacity and liquidity as of June 30, 2021 and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62865</wp:posOffset>
            </wp:positionV>
            <wp:extent cx="6626225"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4840" w:type="dxa"/>
            <w:vAlign w:val="bottom"/>
          </w:tcPr>
          <w:p>
            <w:pPr>
              <w:spacing w:after="0"/>
              <w:rPr>
                <w:sz w:val="19"/>
                <w:szCs w:val="19"/>
                <w:color w:val="auto"/>
              </w:rPr>
            </w:pPr>
          </w:p>
        </w:tc>
        <w:tc>
          <w:tcPr>
            <w:tcW w:w="2800" w:type="dxa"/>
            <w:vAlign w:val="bottom"/>
          </w:tcPr>
          <w:p>
            <w:pPr>
              <w:jc w:val="right"/>
              <w:ind w:right="130"/>
              <w:spacing w:after="0"/>
              <w:rPr>
                <w:sz w:val="20"/>
                <w:szCs w:val="20"/>
                <w:color w:val="auto"/>
              </w:rPr>
            </w:pPr>
            <w:r>
              <w:rPr>
                <w:rFonts w:ascii="Arial" w:cs="Arial" w:eastAsia="Arial" w:hAnsi="Arial"/>
                <w:sz w:val="18"/>
                <w:szCs w:val="18"/>
                <w:color w:val="auto"/>
              </w:rPr>
              <w:t>June 30</w:t>
            </w: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tcPr>
          <w:p>
            <w:pPr>
              <w:jc w:val="right"/>
              <w:ind w:right="470"/>
              <w:spacing w:after="0"/>
              <w:rPr>
                <w:sz w:val="20"/>
                <w:szCs w:val="20"/>
                <w:color w:val="auto"/>
              </w:rPr>
            </w:pPr>
            <w:r>
              <w:rPr>
                <w:rFonts w:ascii="Arial" w:cs="Arial" w:eastAsia="Arial" w:hAnsi="Arial"/>
                <w:sz w:val="18"/>
                <w:szCs w:val="18"/>
                <w:color w:val="auto"/>
              </w:rPr>
              <w:t>September 30</w:t>
            </w:r>
          </w:p>
        </w:tc>
      </w:tr>
      <w:tr>
        <w:trPr>
          <w:trHeight w:val="230"/>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6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2020</w:t>
            </w:r>
          </w:p>
        </w:tc>
      </w:tr>
      <w:tr>
        <w:trPr>
          <w:trHeight w:val="250"/>
        </w:trPr>
        <w:tc>
          <w:tcPr>
            <w:tcW w:w="4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and investment securities</w:t>
            </w:r>
          </w:p>
        </w:tc>
        <w:tc>
          <w:tcPr>
            <w:tcW w:w="28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r>
      <w:tr>
        <w:trPr>
          <w:trHeight w:val="250"/>
        </w:trPr>
        <w:tc>
          <w:tcPr>
            <w:tcW w:w="48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00" w:type="dxa"/>
            <w:vAlign w:val="bottom"/>
          </w:tcPr>
          <w:p>
            <w:pPr>
              <w:jc w:val="right"/>
              <w:ind w:right="127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262</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454</w:t>
            </w:r>
          </w:p>
        </w:tc>
      </w:tr>
      <w:tr>
        <w:trPr>
          <w:trHeight w:val="263"/>
        </w:trPr>
        <w:tc>
          <w:tcPr>
            <w:tcW w:w="4840" w:type="dxa"/>
            <w:vAlign w:val="bottom"/>
            <w:shd w:val="clear" w:color="auto" w:fill="CFF0FC"/>
          </w:tcPr>
          <w:p>
            <w:pPr>
              <w:spacing w:after="0"/>
              <w:rPr>
                <w:sz w:val="22"/>
                <w:szCs w:val="22"/>
                <w:color w:val="auto"/>
              </w:rPr>
            </w:pPr>
          </w:p>
        </w:tc>
        <w:tc>
          <w:tcPr>
            <w:tcW w:w="280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740" w:type="dxa"/>
            <w:vAlign w:val="bottom"/>
            <w:shd w:val="clear" w:color="auto" w:fill="CFF0FC"/>
          </w:tcPr>
          <w:p>
            <w:pPr>
              <w:spacing w:after="0"/>
              <w:rPr>
                <w:sz w:val="22"/>
                <w:szCs w:val="22"/>
                <w:color w:val="auto"/>
              </w:rPr>
            </w:pPr>
          </w:p>
        </w:tc>
      </w:tr>
      <w:tr>
        <w:trPr>
          <w:trHeight w:val="250"/>
        </w:trPr>
        <w:tc>
          <w:tcPr>
            <w:tcW w:w="4840" w:type="dxa"/>
            <w:vAlign w:val="bottom"/>
          </w:tcPr>
          <w:p>
            <w:pPr>
              <w:spacing w:after="0"/>
              <w:rPr>
                <w:sz w:val="20"/>
                <w:szCs w:val="20"/>
                <w:color w:val="auto"/>
              </w:rPr>
            </w:pPr>
            <w:r>
              <w:rPr>
                <w:rFonts w:ascii="Arial" w:cs="Arial" w:eastAsia="Arial" w:hAnsi="Arial"/>
                <w:sz w:val="18"/>
                <w:szCs w:val="18"/>
                <w:b w:val="1"/>
                <w:bCs w:val="1"/>
                <w:color w:val="auto"/>
              </w:rPr>
              <w:t>Unused borrowing capacity and liquidity</w:t>
            </w:r>
          </w:p>
        </w:tc>
        <w:tc>
          <w:tcPr>
            <w:tcW w:w="2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63"/>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2800" w:type="dxa"/>
            <w:vAlign w:val="bottom"/>
            <w:shd w:val="clear" w:color="auto" w:fill="CFF0FC"/>
          </w:tcPr>
          <w:p>
            <w:pPr>
              <w:jc w:val="right"/>
              <w:ind w:right="127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581</w:t>
            </w:r>
          </w:p>
        </w:tc>
        <w:tc>
          <w:tcPr>
            <w:tcW w:w="4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500</w:t>
            </w:r>
          </w:p>
        </w:tc>
      </w:tr>
      <w:tr>
        <w:trPr>
          <w:trHeight w:val="250"/>
        </w:trPr>
        <w:tc>
          <w:tcPr>
            <w:tcW w:w="4840" w:type="dxa"/>
            <w:vAlign w:val="bottom"/>
          </w:tcPr>
          <w:p>
            <w:pPr>
              <w:spacing w:after="0"/>
              <w:rPr>
                <w:sz w:val="20"/>
                <w:szCs w:val="20"/>
                <w:color w:val="auto"/>
              </w:rPr>
            </w:pPr>
            <w:r>
              <w:rPr>
                <w:rFonts w:ascii="Arial" w:cs="Arial" w:eastAsia="Arial" w:hAnsi="Arial"/>
                <w:sz w:val="18"/>
                <w:szCs w:val="18"/>
                <w:color w:val="auto"/>
              </w:rPr>
              <w:t>2018 accounts receivable securitization (foreign)</w:t>
            </w:r>
          </w:p>
        </w:tc>
        <w:tc>
          <w:tcPr>
            <w:tcW w:w="2800" w:type="dxa"/>
            <w:vAlign w:val="bottom"/>
          </w:tcPr>
          <w:p>
            <w:pPr>
              <w:spacing w:after="0"/>
              <w:rPr>
                <w:sz w:val="21"/>
                <w:szCs w:val="21"/>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33</w:t>
            </w:r>
          </w:p>
        </w:tc>
        <w:tc>
          <w:tcPr>
            <w:tcW w:w="4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2012 accounts receivable securitization (U.S.)</w:t>
            </w:r>
          </w:p>
        </w:tc>
        <w:tc>
          <w:tcPr>
            <w:tcW w:w="2800" w:type="dxa"/>
            <w:vAlign w:val="bottom"/>
            <w:shd w:val="clear" w:color="auto" w:fill="CFF0FC"/>
          </w:tcPr>
          <w:p>
            <w:pPr>
              <w:spacing w:after="0"/>
              <w:rPr>
                <w:sz w:val="22"/>
                <w:szCs w:val="22"/>
                <w:color w:val="auto"/>
              </w:rPr>
            </w:pP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22"/>
                <w:szCs w:val="22"/>
                <w:color w:val="auto"/>
              </w:rPr>
            </w:pPr>
          </w:p>
        </w:tc>
        <w:tc>
          <w:tcPr>
            <w:tcW w:w="1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840" w:type="dxa"/>
            <w:vAlign w:val="bottom"/>
          </w:tcPr>
          <w:p>
            <w:pPr>
              <w:spacing w:after="0"/>
              <w:rPr>
                <w:sz w:val="20"/>
                <w:szCs w:val="20"/>
                <w:color w:val="auto"/>
              </w:rPr>
            </w:pPr>
            <w:r>
              <w:rPr>
                <w:rFonts w:ascii="Arial" w:cs="Arial" w:eastAsia="Arial" w:hAnsi="Arial"/>
                <w:sz w:val="18"/>
                <w:szCs w:val="18"/>
                <w:color w:val="auto"/>
              </w:rPr>
              <w:t>Accounts receivable sales program (U.S.)</w:t>
            </w:r>
          </w:p>
        </w:tc>
        <w:tc>
          <w:tcPr>
            <w:tcW w:w="2800" w:type="dxa"/>
            <w:vAlign w:val="bottom"/>
          </w:tcPr>
          <w:p>
            <w:pPr>
              <w:jc w:val="right"/>
              <w:ind w:right="127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27</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334"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The borrowing capacity remaining under the $600 million revolving credit facility was $581 million due to a reduction of $19 million for letters of credit outstanding at June 30, 2021. In total, Ashland’s available liquidity position, which includes cash, the revolving credit facility and foreign accounts receivable securitization facility, was $876 million at June 30, 2021, compared to $954 million at September 30, 2020. Ashland also had an additional $27 million liquidity available under the U.S. accounts receivable sales program as of June 30, 2021.</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resources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Debt</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summary reflects Ashland’s debt as of June 30, 2021 and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104775</wp:posOffset>
            </wp:positionV>
            <wp:extent cx="662622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180" w:type="dxa"/>
            <w:vAlign w:val="bottom"/>
          </w:tcPr>
          <w:p>
            <w:pPr>
              <w:spacing w:after="0"/>
              <w:rPr>
                <w:sz w:val="19"/>
                <w:szCs w:val="19"/>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June 30</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jc w:val="right"/>
              <w:ind w:right="470"/>
              <w:spacing w:after="0"/>
              <w:rPr>
                <w:sz w:val="20"/>
                <w:szCs w:val="20"/>
                <w:color w:val="auto"/>
              </w:rPr>
            </w:pPr>
            <w:r>
              <w:rPr>
                <w:rFonts w:ascii="Arial" w:cs="Arial" w:eastAsia="Arial" w:hAnsi="Arial"/>
                <w:sz w:val="18"/>
                <w:szCs w:val="18"/>
                <w:color w:val="auto"/>
              </w:rPr>
              <w:t>September 30</w:t>
            </w:r>
          </w:p>
        </w:tc>
      </w:tr>
      <w:tr>
        <w:trPr>
          <w:trHeight w:val="230"/>
        </w:trPr>
        <w:tc>
          <w:tcPr>
            <w:tcW w:w="6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2021</w:t>
            </w:r>
          </w:p>
        </w:tc>
        <w:tc>
          <w:tcPr>
            <w:tcW w:w="6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2020</w:t>
            </w:r>
          </w:p>
        </w:tc>
      </w:tr>
      <w:tr>
        <w:trPr>
          <w:trHeight w:val="250"/>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Short-term debt (includes current portion of long-term debt)</w:t>
            </w:r>
          </w:p>
        </w:tc>
        <w:tc>
          <w:tcPr>
            <w:tcW w:w="1380" w:type="dxa"/>
            <w:vAlign w:val="bottom"/>
            <w:shd w:val="clear" w:color="auto" w:fill="CFF0FC"/>
          </w:tcPr>
          <w:p>
            <w:pPr>
              <w:jc w:val="right"/>
              <w:ind w:right="119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101</w:t>
            </w:r>
          </w:p>
        </w:tc>
        <w:tc>
          <w:tcPr>
            <w:tcW w:w="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280</w:t>
            </w:r>
          </w:p>
        </w:tc>
      </w:tr>
      <w:tr>
        <w:trPr>
          <w:trHeight w:val="250"/>
        </w:trPr>
        <w:tc>
          <w:tcPr>
            <w:tcW w:w="6180" w:type="dxa"/>
            <w:vAlign w:val="bottom"/>
          </w:tcPr>
          <w:p>
            <w:pPr>
              <w:spacing w:after="0"/>
              <w:rPr>
                <w:sz w:val="20"/>
                <w:szCs w:val="20"/>
                <w:color w:val="auto"/>
              </w:rPr>
            </w:pPr>
            <w:r>
              <w:rPr>
                <w:rFonts w:ascii="Arial" w:cs="Arial" w:eastAsia="Arial" w:hAnsi="Arial"/>
                <w:sz w:val="18"/>
                <w:szCs w:val="18"/>
                <w:color w:val="auto"/>
              </w:rPr>
              <w:t>Long-term debt (less current portion and debt issuance cost discounts) (a)</w:t>
            </w:r>
          </w:p>
        </w:tc>
        <w:tc>
          <w:tcPr>
            <w:tcW w:w="13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1,578</w:t>
            </w: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1,573</w:t>
            </w:r>
          </w:p>
        </w:tc>
      </w:tr>
      <w:tr>
        <w:trPr>
          <w:trHeight w:val="290"/>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Total debt</w:t>
            </w:r>
          </w:p>
        </w:tc>
        <w:tc>
          <w:tcPr>
            <w:tcW w:w="1380" w:type="dxa"/>
            <w:vAlign w:val="bottom"/>
            <w:shd w:val="clear" w:color="auto" w:fill="CFF0FC"/>
          </w:tcPr>
          <w:p>
            <w:pPr>
              <w:jc w:val="right"/>
              <w:ind w:right="119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1,679</w:t>
            </w:r>
          </w:p>
        </w:tc>
        <w:tc>
          <w:tcPr>
            <w:tcW w:w="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1,853</w:t>
            </w:r>
          </w:p>
        </w:tc>
      </w:tr>
      <w:tr>
        <w:trPr>
          <w:trHeight w:val="149"/>
        </w:trPr>
        <w:tc>
          <w:tcPr>
            <w:tcW w:w="6180" w:type="dxa"/>
            <w:vAlign w:val="bottom"/>
            <w:tcBorders>
              <w:top w:val="single" w:sz="8" w:color="CFF0FC"/>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CFF0FC"/>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740" w:type="dxa"/>
            <w:vAlign w:val="bottom"/>
            <w:tcBorders>
              <w:top w:val="single" w:sz="8" w:color="auto"/>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5258435</wp:posOffset>
            </wp:positionH>
            <wp:positionV relativeFrom="paragraph">
              <wp:posOffset>-136525</wp:posOffset>
            </wp:positionV>
            <wp:extent cx="10287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5258435</wp:posOffset>
            </wp:positionH>
            <wp:positionV relativeFrom="paragraph">
              <wp:posOffset>-119380</wp:posOffset>
            </wp:positionV>
            <wp:extent cx="10287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ind w:left="320" w:hanging="318"/>
        <w:spacing w:after="0"/>
        <w:tabs>
          <w:tab w:leader="none" w:pos="320" w:val="left"/>
        </w:tabs>
        <w:numPr>
          <w:ilvl w:val="0"/>
          <w:numId w:val="26"/>
        </w:numPr>
        <w:rPr>
          <w:rFonts w:ascii="Arial" w:cs="Arial" w:eastAsia="Arial" w:hAnsi="Arial"/>
          <w:sz w:val="29"/>
          <w:szCs w:val="29"/>
          <w:color w:val="auto"/>
          <w:vertAlign w:val="superscript"/>
        </w:rPr>
      </w:pPr>
      <w:r>
        <w:rPr>
          <w:rFonts w:ascii="Arial" w:cs="Arial" w:eastAsia="Arial" w:hAnsi="Arial"/>
          <w:sz w:val="14"/>
          <w:szCs w:val="14"/>
          <w:color w:val="auto"/>
        </w:rPr>
        <w:t>Includes $13 million and $15 million of debt issuance cost discounts as of June 30, 2021 and September 30, 2020</w:t>
      </w:r>
      <w:r>
        <w:rPr>
          <w:rFonts w:ascii="Arial" w:cs="Arial" w:eastAsia="Arial" w:hAnsi="Arial"/>
          <w:sz w:val="17"/>
          <w:szCs w:val="17"/>
          <w:color w:val="auto"/>
        </w:rPr>
        <w:t>,</w:t>
      </w:r>
      <w:r>
        <w:rPr>
          <w:rFonts w:ascii="Arial" w:cs="Arial" w:eastAsia="Arial" w:hAnsi="Arial"/>
          <w:sz w:val="14"/>
          <w:szCs w:val="14"/>
          <w:color w:val="auto"/>
        </w:rPr>
        <w:t xml:space="preserve"> respectively.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60325</wp:posOffset>
            </wp:positionV>
            <wp:extent cx="7157720"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74" w:right="719" w:bottom="1440" w:gutter="0" w:footer="0" w:header="0"/>
        </w:sectPr>
      </w:pPr>
    </w:p>
    <w:bookmarkStart w:id="61" w:name="page62"/>
    <w:bookmarkEnd w:id="61"/>
    <w:p>
      <w:pPr>
        <w:jc w:val="both"/>
        <w:spacing w:after="0" w:line="272" w:lineRule="auto"/>
        <w:rPr>
          <w:sz w:val="20"/>
          <w:szCs w:val="20"/>
          <w:color w:val="auto"/>
        </w:rPr>
      </w:pPr>
      <w:r>
        <w:rPr>
          <w:rFonts w:ascii="Arial" w:cs="Arial" w:eastAsia="Arial" w:hAnsi="Arial"/>
          <w:sz w:val="20"/>
          <w:szCs w:val="20"/>
          <w:color w:val="auto"/>
        </w:rPr>
        <w:t>Debt as a percent of capital employed was 34% and 38% at June 30, 2021 and at September 30, 2020, respectively. At June 30, 2021, Ashland’s total debt had an outstanding principal balance of $1,733 million, discounts of $41 million, and debt issuance costs of $13 million. The scheduled aggregate maturities of long-term debt by year (including the current portion and excluding debt issuance costs) are as follows: zero remaining in 2021, $421 million in 2022, $22 million in 2023, $44 million in 2024 and $175 million in 2025.</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Ashland credit ratings</w:t>
      </w:r>
    </w:p>
    <w:p>
      <w:pPr>
        <w:spacing w:after="0" w:line="135"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Ashland’s corporate credit ratings remained unchanged at BB+ by Standard &amp; Poor’s and Ba1 by Moody’s Investor Services. As of June 30, 2021, Moody’s Investor Services outlook remained at stable, while Standard &amp; Poor's outlook remained at negative. Subsequent changes to these ratings or outlook may have an effect on Ashland’s borrowing rate or ability to access capital markets in the future.</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Ashland debt covenant restrictions</w:t>
      </w:r>
    </w:p>
    <w:p>
      <w:pPr>
        <w:spacing w:after="0" w:line="135"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Ashland's most recent credit agreement (the 2020 Credit Agreement)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June 30, 2021, Ashland is in compliance with all debt agreement covenant restrictions under the 2020 Credit Agreement.</w:t>
      </w:r>
    </w:p>
    <w:p>
      <w:pPr>
        <w:spacing w:after="0" w:line="87"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The maximum consolidated net leverage ratio permitted under the 2020 Credit Agreement is 4.0. The 2020 Credit Agreement defines the consolidated net leverage ratio as the ratio of consolidated indebtedness minus unrestricted cash and cash equivalents to consolidated EBITDA (Covenant Adjusted EBITDA) for any measurement period. In general, the 2020 Credit Agreement defines Covenant Adjusted EBITDA as net income plus consolidated interest charges, taxes, depreciation and amortization expense, fees and expenses related to capital market transactions and proposed or actual acquisitions and divestitures, restructuring and integration charges, noncash stock and equity compensation expense, and any other nonrecurring expenses or losses that do not represent a cash item in such period or any future period; less any noncash gains or other items increasing net income. The computation of Covenant Adjusted EBITDA differs from the calculation of EBITDA and Adjusted EBITDA, which have been reconciled above in the “consolidated review” section. In general, consolidated indebtedness includes debt plus all purchase money indebtedness, banker’s acceptances and bank guaranties, deferred purchase price of property or services, attributable indebtedness and guarantees. At June 30, 2021, Ashland’s calculation of the consolidated net leverage ratio was 2.6.</w:t>
      </w:r>
    </w:p>
    <w:p>
      <w:pPr>
        <w:spacing w:after="0" w:line="68"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The minimum required consolidated interest coverage ratio under the 2020 Credit Agreement is 3.0. The 2020 Credit Agreement defines the consolidated interest coverage ratio as the ratio of Covenant Adjusted EBITDA to consolidated interest charges for any measurement period. At June 30, 2021, Ashland’s calculation of the consolidated interest coverage ratio was 8.3.</w:t>
      </w:r>
    </w:p>
    <w:p>
      <w:pPr>
        <w:spacing w:after="0" w:line="4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Any change in Covenant Adjusted EBITDA of $100 million would have an approximate 0.4x effect on the consolidated net leverage ratio and a 1.5x effect on the consolidated interest coverage ratio. The change in consolidated indebtedness of $100 million would affect the consolidated leverage ratio by approximately 0.2x.</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74" w:right="719" w:bottom="1440" w:gutter="0" w:footer="0" w:header="0"/>
        </w:sectPr>
      </w:pPr>
    </w:p>
    <w:bookmarkStart w:id="62" w:name="page63"/>
    <w:bookmarkEnd w:id="62"/>
    <w:p>
      <w:pPr>
        <w:ind w:left="380"/>
        <w:spacing w:after="0"/>
        <w:rPr>
          <w:sz w:val="20"/>
          <w:szCs w:val="20"/>
          <w:color w:val="auto"/>
        </w:rPr>
      </w:pPr>
      <w:r>
        <w:rPr>
          <w:rFonts w:ascii="Arial" w:cs="Arial" w:eastAsia="Arial" w:hAnsi="Arial"/>
          <w:sz w:val="20"/>
          <w:szCs w:val="20"/>
          <w:b w:val="1"/>
          <w:bCs w:val="1"/>
          <w:color w:val="auto"/>
        </w:rPr>
        <w:t>Additional capital resources</w:t>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Cash projection</w:t>
      </w:r>
    </w:p>
    <w:p>
      <w:pPr>
        <w:spacing w:after="0" w:line="121" w:lineRule="exact"/>
        <w:rPr>
          <w:sz w:val="20"/>
          <w:szCs w:val="20"/>
          <w:color w:val="auto"/>
        </w:rPr>
      </w:pPr>
    </w:p>
    <w:p>
      <w:pPr>
        <w:jc w:val="both"/>
        <w:ind w:left="380"/>
        <w:spacing w:after="0" w:line="272" w:lineRule="auto"/>
        <w:rPr>
          <w:sz w:val="20"/>
          <w:szCs w:val="20"/>
          <w:color w:val="auto"/>
        </w:rPr>
      </w:pPr>
      <w:r>
        <w:rPr>
          <w:rFonts w:ascii="Arial" w:cs="Arial" w:eastAsia="Arial" w:hAnsi="Arial"/>
          <w:sz w:val="19"/>
          <w:szCs w:val="19"/>
          <w:color w:val="auto"/>
        </w:rPr>
        <w:t>Ashland believes that cash flow from operations, availability under existing credit facilities and arrangements, current cash and investment balances and the ability to obtain other financing, if necessary, will provide adequate cash funds for the Company’s foreseeable working capital needs, capital expenditures at existing facilities, dividend payments and debt service obligations. The Company’s cash requirements are subject to change as business conditions warrant and opportunities arise. The timing and size of any new business ventures or acquisitions that the Company may complete may also impact its cash requirements. For information regarding the impact of COVID-19 on the Company, including on its liquidity and capital resources, please see item 1A, in Ashland’s most recent Form 10-K filed with the SEC.</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Total equity</w:t>
      </w:r>
    </w:p>
    <w:p>
      <w:pPr>
        <w:spacing w:after="0" w:line="121" w:lineRule="exact"/>
        <w:rPr>
          <w:sz w:val="20"/>
          <w:szCs w:val="20"/>
          <w:color w:val="auto"/>
        </w:rPr>
      </w:pPr>
    </w:p>
    <w:p>
      <w:pPr>
        <w:jc w:val="both"/>
        <w:ind w:left="380"/>
        <w:spacing w:after="0" w:line="260" w:lineRule="auto"/>
        <w:rPr>
          <w:sz w:val="20"/>
          <w:szCs w:val="20"/>
          <w:color w:val="auto"/>
        </w:rPr>
      </w:pPr>
      <w:r>
        <w:rPr>
          <w:rFonts w:ascii="Arial" w:cs="Arial" w:eastAsia="Arial" w:hAnsi="Arial"/>
          <w:sz w:val="20"/>
          <w:szCs w:val="20"/>
          <w:color w:val="auto"/>
        </w:rPr>
        <w:t>Total equity increased by $166 million since September 30, 2020 to $3,202 million at June 30, 2021. The increase of $166 million was due to net income of $176 million, deferred translation gain of $37 million and $7 million of common shares issued under stock incentive plans, offset by $52 million of dividends and $2 million related to the adoption of new accounting guidance around the measurement of credit losses.</w:t>
      </w:r>
    </w:p>
    <w:p>
      <w:pPr>
        <w:spacing w:after="0" w:line="83"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Stockholder dividends</w:t>
      </w:r>
    </w:p>
    <w:p>
      <w:pPr>
        <w:spacing w:after="0" w:line="121" w:lineRule="exact"/>
        <w:rPr>
          <w:sz w:val="20"/>
          <w:szCs w:val="20"/>
          <w:color w:val="auto"/>
        </w:rPr>
      </w:pPr>
    </w:p>
    <w:p>
      <w:pPr>
        <w:jc w:val="both"/>
        <w:ind w:left="380"/>
        <w:spacing w:after="0" w:line="260" w:lineRule="auto"/>
        <w:rPr>
          <w:sz w:val="20"/>
          <w:szCs w:val="20"/>
          <w:color w:val="auto"/>
        </w:rPr>
      </w:pPr>
      <w:r>
        <w:rPr>
          <w:rFonts w:ascii="Arial" w:cs="Arial" w:eastAsia="Arial" w:hAnsi="Arial"/>
          <w:sz w:val="20"/>
          <w:szCs w:val="20"/>
          <w:color w:val="auto"/>
        </w:rPr>
        <w:t>In May 2021, the Board of Directors of Ashland announced a quarterly cash dividend of 30 cents per share to eligible stockholders of record, which was paid in the third quarter of fiscal 2021. This dividend represented a 9% increase over the previous quarter's dividend. Dividends of 27.5 cents per share were paid in the first two quarters of fiscal 2021, each quarter of fiscal 2020 and the third and fourth quarters of fiscal 2019.</w:t>
      </w:r>
    </w:p>
    <w:p>
      <w:pPr>
        <w:spacing w:after="0" w:line="83"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Capital expenditures</w:t>
      </w:r>
    </w:p>
    <w:p>
      <w:pPr>
        <w:spacing w:after="0" w:line="121" w:lineRule="exact"/>
        <w:rPr>
          <w:sz w:val="20"/>
          <w:szCs w:val="20"/>
          <w:color w:val="auto"/>
        </w:rPr>
      </w:pPr>
    </w:p>
    <w:p>
      <w:pPr>
        <w:jc w:val="both"/>
        <w:ind w:left="380"/>
        <w:spacing w:after="0" w:line="274" w:lineRule="auto"/>
        <w:rPr>
          <w:sz w:val="20"/>
          <w:szCs w:val="20"/>
          <w:color w:val="auto"/>
        </w:rPr>
      </w:pPr>
      <w:r>
        <w:rPr>
          <w:rFonts w:ascii="Arial" w:cs="Arial" w:eastAsia="Arial" w:hAnsi="Arial"/>
          <w:sz w:val="20"/>
          <w:szCs w:val="20"/>
          <w:color w:val="auto"/>
        </w:rPr>
        <w:t>Capital expenditures were $77 million for the nine months ended June 30, 2021 compared to $94 million for the nine months ended June 30, 2020.</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w:t>
      </w:r>
    </w:p>
    <w:p>
      <w:pPr>
        <w:spacing w:after="0" w:line="127" w:lineRule="exact"/>
        <w:rPr>
          <w:sz w:val="20"/>
          <w:szCs w:val="20"/>
          <w:color w:val="auto"/>
        </w:rPr>
      </w:pPr>
    </w:p>
    <w:p>
      <w:pPr>
        <w:jc w:val="both"/>
        <w:ind w:left="380"/>
        <w:spacing w:after="0" w:line="287" w:lineRule="auto"/>
        <w:rPr>
          <w:sz w:val="20"/>
          <w:szCs w:val="20"/>
          <w:color w:val="auto"/>
        </w:rPr>
      </w:pPr>
      <w:r>
        <w:rPr>
          <w:rFonts w:ascii="Arial" w:cs="Arial" w:eastAsia="Arial" w:hAnsi="Arial"/>
          <w:sz w:val="18"/>
          <w:szCs w:val="18"/>
          <w:color w:val="auto"/>
        </w:rPr>
        <w:t>The preparation of Ashland’s Condensed Consolidated Financial Statements in conformity with U.S. GAAP requires management to make estimates and assumptions that affect the reported amounts of assets, liabilities, sales and expenses, and the disclosures of contingent assets and liabilities. Significant items that are subject to such estimates and assumptions include, but are not limited to, long-lived assets (including goodwill and other intangible assets), income taxes, other liabilities and receivables associated with asbestos litigation and environmental remediation. These accounting policies are discussed in detail in “Management’s Discussion and Analysis – Critical Accounting Policies” in Ashland’s Annual Report on Form 10-K for the fiscal year ended September 30, 2020. Although management bases its estimates on historical experience and various other assumptions that are believed to be reasonable under the circumstances, actual results could differ significantly from the estimates under different assumptions or conditions. Management has reviewed the estimates affecting these items with the Audit Committee of Ashland’s Board of Directors. No material changes have been made to the valuation techniques during the nine months ended June 30, 2021.</w:t>
      </w:r>
    </w:p>
    <w:p>
      <w:pPr>
        <w:spacing w:after="0" w:line="200" w:lineRule="exact"/>
        <w:rPr>
          <w:sz w:val="20"/>
          <w:szCs w:val="20"/>
          <w:color w:val="auto"/>
        </w:rPr>
      </w:pPr>
    </w:p>
    <w:p>
      <w:pPr>
        <w:spacing w:after="0" w:line="2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468" w:right="719" w:bottom="1440" w:gutter="0" w:footer="0" w:header="0"/>
        </w:sectPr>
      </w:pPr>
    </w:p>
    <w:bookmarkStart w:id="63" w:name="page64"/>
    <w:bookmarkEnd w:id="63"/>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141" w:lineRule="exact"/>
        <w:rPr>
          <w:sz w:val="20"/>
          <w:szCs w:val="20"/>
          <w:color w:val="auto"/>
        </w:rPr>
      </w:pPr>
    </w:p>
    <w:p>
      <w:pPr>
        <w:jc w:val="both"/>
        <w:ind w:left="380"/>
        <w:spacing w:after="0" w:line="288" w:lineRule="auto"/>
        <w:rPr>
          <w:sz w:val="20"/>
          <w:szCs w:val="20"/>
          <w:color w:val="auto"/>
        </w:rPr>
      </w:pPr>
      <w:r>
        <w:rPr>
          <w:rFonts w:ascii="Arial" w:cs="Arial" w:eastAsia="Arial" w:hAnsi="Arial"/>
          <w:sz w:val="20"/>
          <w:szCs w:val="20"/>
          <w:color w:val="auto"/>
        </w:rPr>
        <w:t>Ashland’s market risk exposure at June 30, 2021 is generally consistent with the types of market risk exposures presented in Ashland’s Annual Report on Form 10-K for the fiscal year ended September 30, 2020.</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141" w:lineRule="exact"/>
        <w:rPr>
          <w:sz w:val="20"/>
          <w:szCs w:val="20"/>
          <w:color w:val="auto"/>
        </w:rPr>
      </w:pPr>
    </w:p>
    <w:p>
      <w:pPr>
        <w:jc w:val="both"/>
        <w:ind w:left="380"/>
        <w:spacing w:after="0" w:line="309" w:lineRule="auto"/>
        <w:rPr>
          <w:sz w:val="20"/>
          <w:szCs w:val="20"/>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 As of the end of the period covered by this quarterly report, Ashland, under the supervision</w:t>
      </w:r>
      <w:r>
        <w:rPr>
          <w:rFonts w:ascii="Arial" w:cs="Arial" w:eastAsia="Arial" w:hAnsi="Arial"/>
          <w:sz w:val="18"/>
          <w:szCs w:val="18"/>
          <w:i w:val="1"/>
          <w:iCs w:val="1"/>
          <w:color w:val="auto"/>
        </w:rPr>
        <w:t xml:space="preserve"> </w:t>
      </w:r>
      <w:r>
        <w:rPr>
          <w:rFonts w:ascii="Arial" w:cs="Arial" w:eastAsia="Arial" w:hAnsi="Arial"/>
          <w:sz w:val="18"/>
          <w:szCs w:val="18"/>
          <w:color w:val="auto"/>
        </w:rPr>
        <w:t>and with the participation of its management, including Ashland’s Chief Executive Officer and its Chief Financial Officer, evaluated the effectiveness of Ashland’s disclosure controls and procedures pursuant to Rule 13a-15(b) and 15d-15(b) promulgated under the Securities Exchange Act of 1934, as amended. Based upon that evaluation, the Chief Executive Officer and Chief Financial Officer concluded that the disclosure controls and procedures were effective as of June 30, 2021.</w:t>
      </w:r>
    </w:p>
    <w:p>
      <w:pPr>
        <w:spacing w:after="0" w:line="58" w:lineRule="exact"/>
        <w:rPr>
          <w:sz w:val="20"/>
          <w:szCs w:val="20"/>
          <w:color w:val="auto"/>
        </w:rPr>
      </w:pPr>
    </w:p>
    <w:p>
      <w:pPr>
        <w:jc w:val="both"/>
        <w:ind w:left="380"/>
        <w:spacing w:after="0" w:line="286" w:lineRule="auto"/>
        <w:rPr>
          <w:sz w:val="20"/>
          <w:szCs w:val="20"/>
          <w:color w:val="auto"/>
        </w:rPr>
      </w:pPr>
      <w:r>
        <w:rPr>
          <w:rFonts w:ascii="Arial" w:cs="Arial" w:eastAsia="Arial" w:hAnsi="Arial"/>
          <w:sz w:val="19"/>
          <w:szCs w:val="19"/>
          <w:i w:val="1"/>
          <w:iCs w:val="1"/>
          <w:color w:val="auto"/>
        </w:rPr>
        <w:t xml:space="preserve">Changes in Internal Control over Financial Reporting </w:t>
      </w:r>
      <w:r>
        <w:rPr>
          <w:rFonts w:ascii="Arial" w:cs="Arial" w:eastAsia="Arial" w:hAnsi="Arial"/>
          <w:sz w:val="19"/>
          <w:szCs w:val="19"/>
          <w:color w:val="auto"/>
        </w:rPr>
        <w:t>- During the nine months ended June 30, 2021, Ashland completed its</w:t>
      </w:r>
      <w:r>
        <w:rPr>
          <w:rFonts w:ascii="Arial" w:cs="Arial" w:eastAsia="Arial" w:hAnsi="Arial"/>
          <w:sz w:val="19"/>
          <w:szCs w:val="19"/>
          <w:i w:val="1"/>
          <w:iCs w:val="1"/>
          <w:color w:val="auto"/>
        </w:rPr>
        <w:t xml:space="preserve"> </w:t>
      </w:r>
      <w:r>
        <w:rPr>
          <w:rFonts w:ascii="Arial" w:cs="Arial" w:eastAsia="Arial" w:hAnsi="Arial"/>
          <w:sz w:val="19"/>
          <w:szCs w:val="19"/>
          <w:color w:val="auto"/>
        </w:rPr>
        <w:t>purchase of Schülke. Although management believes appropriate internal controls and procedures have been maintained, Schülke's controls and procedures for recording, processing and summarizing of financial information have not been fully evaluated by Ashland's management as of June 30, 2021. As such, there is a risk that deficiencies may exist which have not yet been identified that could constitute significant deficiencies or in the aggregate, a material weakness related to the Schülke business. Otherwise, there were no other significant changes in Ashland’s internal control over financial reporting, or in other factors, that occurred during the period covered by this quarterly report that have materially affected, or are reasonably likely to materially affect, Ashland’s internal control over financial reporting.</w:t>
      </w:r>
    </w:p>
    <w:p>
      <w:pPr>
        <w:spacing w:after="0" w:line="8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360" w:right="719" w:bottom="1440" w:gutter="0" w:footer="0" w:header="0"/>
        </w:sectPr>
      </w:pPr>
    </w:p>
    <w:bookmarkStart w:id="64" w:name="page65"/>
    <w:bookmarkEnd w:id="64"/>
    <w:p>
      <w:pPr>
        <w:jc w:val="center"/>
        <w:ind w:right="-379"/>
        <w:spacing w:after="0"/>
        <w:rPr>
          <w:sz w:val="20"/>
          <w:szCs w:val="20"/>
          <w:color w:val="auto"/>
        </w:rPr>
      </w:pPr>
      <w:r>
        <w:rPr>
          <w:rFonts w:ascii="Arial" w:cs="Arial" w:eastAsia="Arial" w:hAnsi="Arial"/>
          <w:sz w:val="20"/>
          <w:szCs w:val="20"/>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127" w:lineRule="exact"/>
        <w:rPr>
          <w:sz w:val="20"/>
          <w:szCs w:val="20"/>
          <w:color w:val="auto"/>
        </w:rPr>
      </w:pPr>
    </w:p>
    <w:p>
      <w:pPr>
        <w:jc w:val="both"/>
        <w:ind w:left="380"/>
        <w:spacing w:after="0" w:line="332" w:lineRule="auto"/>
        <w:rPr>
          <w:sz w:val="20"/>
          <w:szCs w:val="20"/>
          <w:color w:val="auto"/>
        </w:rPr>
      </w:pPr>
      <w:r>
        <w:rPr>
          <w:rFonts w:ascii="Arial" w:cs="Arial" w:eastAsia="Arial" w:hAnsi="Arial"/>
          <w:sz w:val="18"/>
          <w:szCs w:val="18"/>
          <w:color w:val="auto"/>
        </w:rPr>
        <w:t>The following is a description of Ashland’s material legal proceedings. Ashland’s threshold for disclosing material environmental legal proceedings involving a governmental authority where potential monetary sanctions are involved is $1 million.</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20"/>
          <w:szCs w:val="20"/>
          <w:b w:val="1"/>
          <w:bCs w:val="1"/>
          <w:i w:val="1"/>
          <w:iCs w:val="1"/>
          <w:color w:val="auto"/>
        </w:rPr>
        <w:t>Asbestos-Related Litigation</w:t>
      </w:r>
    </w:p>
    <w:p>
      <w:pPr>
        <w:spacing w:after="0" w:line="121" w:lineRule="exact"/>
        <w:rPr>
          <w:sz w:val="20"/>
          <w:szCs w:val="20"/>
          <w:color w:val="auto"/>
        </w:rPr>
      </w:pPr>
    </w:p>
    <w:p>
      <w:pPr>
        <w:jc w:val="both"/>
        <w:ind w:left="380"/>
        <w:spacing w:after="0" w:line="260" w:lineRule="auto"/>
        <w:rPr>
          <w:sz w:val="20"/>
          <w:szCs w:val="20"/>
          <w:color w:val="auto"/>
        </w:rPr>
      </w:pPr>
      <w:r>
        <w:rPr>
          <w:rFonts w:ascii="Arial" w:cs="Arial" w:eastAsia="Arial" w:hAnsi="Arial"/>
          <w:sz w:val="20"/>
          <w:szCs w:val="20"/>
          <w:color w:val="auto"/>
        </w:rPr>
        <w:t>Ashland is subject to liabilities from claims alleging personal injury caused by exposure to asbestos. Such claims result primarily from indemnification obligations undertaken in 1990 in connection with the sale of Riley Stoker Corporation (Riley), a former subsidiary. Although Riley was neither a producer nor a manufacturer of asbestos, its industrial boilers contained some asbestos-containing components provided by other companies.</w:t>
      </w:r>
    </w:p>
    <w:p>
      <w:pPr>
        <w:spacing w:after="0" w:line="83" w:lineRule="exact"/>
        <w:rPr>
          <w:sz w:val="20"/>
          <w:szCs w:val="20"/>
          <w:color w:val="auto"/>
        </w:rPr>
      </w:pPr>
    </w:p>
    <w:p>
      <w:pPr>
        <w:jc w:val="both"/>
        <w:ind w:left="380"/>
        <w:spacing w:after="0" w:line="306" w:lineRule="auto"/>
        <w:rPr>
          <w:sz w:val="20"/>
          <w:szCs w:val="20"/>
          <w:color w:val="auto"/>
        </w:rPr>
      </w:pPr>
      <w:r>
        <w:rPr>
          <w:rFonts w:ascii="Arial" w:cs="Arial" w:eastAsia="Arial" w:hAnsi="Arial"/>
          <w:sz w:val="18"/>
          <w:szCs w:val="18"/>
          <w:color w:val="auto"/>
        </w:rPr>
        <w:t>Hercules LLC (formerly Hercules Incorporated), an indirect wholly-owned subsidiary of Ashland, is also subject to liabilities from asbestos-related personal injury lawsuits involving claims which typically arise from alleged exposure to asbestos fibers from resin encapsulated pipe and tank products which were sold by one of Hercules’ former subsidiaries to a limited industrial market.</w:t>
      </w:r>
    </w:p>
    <w:p>
      <w:pPr>
        <w:spacing w:after="0" w:line="45" w:lineRule="exact"/>
        <w:rPr>
          <w:sz w:val="20"/>
          <w:szCs w:val="20"/>
          <w:color w:val="auto"/>
        </w:rPr>
      </w:pPr>
    </w:p>
    <w:p>
      <w:pPr>
        <w:jc w:val="both"/>
        <w:ind w:left="380"/>
        <w:spacing w:after="0" w:line="274" w:lineRule="auto"/>
        <w:rPr>
          <w:sz w:val="20"/>
          <w:szCs w:val="20"/>
          <w:color w:val="auto"/>
        </w:rPr>
      </w:pPr>
      <w:r>
        <w:rPr>
          <w:rFonts w:ascii="Arial" w:cs="Arial" w:eastAsia="Arial" w:hAnsi="Arial"/>
          <w:sz w:val="20"/>
          <w:szCs w:val="20"/>
          <w:color w:val="auto"/>
        </w:rPr>
        <w:t>Ashland and Hercules are also defendants in lawsuits alleging exposure to asbestos at facilities formerly or presently owned or operated by Ashland or Hercules.</w:t>
      </w:r>
    </w:p>
    <w:p>
      <w:pPr>
        <w:spacing w:after="0" w:line="69" w:lineRule="exact"/>
        <w:rPr>
          <w:sz w:val="20"/>
          <w:szCs w:val="20"/>
          <w:color w:val="auto"/>
        </w:rPr>
      </w:pPr>
    </w:p>
    <w:p>
      <w:pPr>
        <w:jc w:val="both"/>
        <w:ind w:left="380"/>
        <w:spacing w:after="0" w:line="274" w:lineRule="auto"/>
        <w:rPr>
          <w:sz w:val="20"/>
          <w:szCs w:val="20"/>
          <w:color w:val="auto"/>
        </w:rPr>
      </w:pPr>
      <w:r>
        <w:rPr>
          <w:rFonts w:ascii="Arial" w:cs="Arial" w:eastAsia="Arial" w:hAnsi="Arial"/>
          <w:sz w:val="20"/>
          <w:szCs w:val="20"/>
          <w:color w:val="auto"/>
        </w:rPr>
        <w:t>For additional detailed information regarding liabilities arising from asbestos-related litigation, see Note L of Notes to Condensed Consolidated Financial Statements in this quarterly report on Form 10-Q.</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20"/>
          <w:szCs w:val="20"/>
          <w:b w:val="1"/>
          <w:bCs w:val="1"/>
          <w:i w:val="1"/>
          <w:iCs w:val="1"/>
          <w:color w:val="auto"/>
        </w:rPr>
        <w:t>Environmental Proceedings</w:t>
      </w:r>
    </w:p>
    <w:p>
      <w:pPr>
        <w:spacing w:after="0" w:line="121" w:lineRule="exact"/>
        <w:rPr>
          <w:sz w:val="20"/>
          <w:szCs w:val="20"/>
          <w:color w:val="auto"/>
        </w:rPr>
      </w:pPr>
    </w:p>
    <w:p>
      <w:pPr>
        <w:jc w:val="both"/>
        <w:ind w:left="380" w:firstLine="2"/>
        <w:spacing w:after="0" w:line="270" w:lineRule="auto"/>
        <w:tabs>
          <w:tab w:leader="none" w:pos="664" w:val="left"/>
        </w:tabs>
        <w:numPr>
          <w:ilvl w:val="0"/>
          <w:numId w:val="27"/>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CERCLA and Similar State Law Sites - </w:t>
      </w:r>
      <w:r>
        <w:rPr>
          <w:rFonts w:ascii="Arial" w:cs="Arial" w:eastAsia="Arial" w:hAnsi="Arial"/>
          <w:sz w:val="19"/>
          <w:szCs w:val="19"/>
          <w:color w:val="auto"/>
        </w:rPr>
        <w:t>Under the Comprehensive Environmental Response, Compensation and Liability Act of</w:t>
      </w:r>
      <w:r>
        <w:rPr>
          <w:rFonts w:ascii="Arial" w:cs="Arial" w:eastAsia="Arial" w:hAnsi="Arial"/>
          <w:sz w:val="19"/>
          <w:szCs w:val="19"/>
          <w:i w:val="1"/>
          <w:iCs w:val="1"/>
          <w:color w:val="auto"/>
        </w:rPr>
        <w:t xml:space="preserve"> </w:t>
      </w:r>
      <w:r>
        <w:rPr>
          <w:rFonts w:ascii="Arial" w:cs="Arial" w:eastAsia="Arial" w:hAnsi="Arial"/>
          <w:sz w:val="19"/>
          <w:szCs w:val="19"/>
          <w:color w:val="auto"/>
        </w:rPr>
        <w:t>1980 and similar state laws, Ashland and its subsidiaries may be subject to joint and several liability for cleanup costs in connection with alleged releases of hazardous substances at sites where it has been identified as a “potentially responsible party” (PRP). As of June 30, 2021, Ashland and its subsidiaries have been identified as a PRP by U.S. federal and state authorities, or by private parties seeking contribution, for the cost of environmental investigation and/or cleanup at 82 sites. These sites are currently subject to ongoing investigation and remedial activities, overseen by the United States Environmental Protection Agency (USEPA) or a state agency, in which Ashland or its subsidiaries are typically participating as a member of a PRP group. Generally, the types of relief sought include remediation of contaminated soil and/or groundwater, reimbursement for past costs of site cleanup and administrative oversight and/or long-term monitoring of environmental conditions at the sites. The ultimate costs are not predictable with assurance.</w:t>
      </w:r>
    </w:p>
    <w:p>
      <w:pPr>
        <w:spacing w:after="0" w:line="80" w:lineRule="exact"/>
        <w:rPr>
          <w:rFonts w:ascii="Arial" w:cs="Arial" w:eastAsia="Arial" w:hAnsi="Arial"/>
          <w:sz w:val="19"/>
          <w:szCs w:val="19"/>
          <w:i w:val="1"/>
          <w:iCs w:val="1"/>
          <w:color w:val="auto"/>
        </w:rPr>
      </w:pPr>
    </w:p>
    <w:p>
      <w:pPr>
        <w:jc w:val="both"/>
        <w:ind w:left="380" w:firstLine="2"/>
        <w:spacing w:after="0" w:line="285" w:lineRule="auto"/>
        <w:tabs>
          <w:tab w:leader="none" w:pos="685"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Lower Passaic River, New Jersey Matters - </w:t>
      </w:r>
      <w:r>
        <w:rPr>
          <w:rFonts w:ascii="Arial" w:cs="Arial" w:eastAsia="Arial" w:hAnsi="Arial"/>
          <w:sz w:val="18"/>
          <w:szCs w:val="18"/>
          <w:color w:val="auto"/>
        </w:rPr>
        <w:t>Ashland, through two formerly owned facilities, and ISP, through a now-closed</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have been identified as PRPs, along with approximately 70 other companies (the Cooperating Parties Group or the CPG), in a May 2007 Administrative Order of Consent (AOC) with the USEPA. The parties are required to perform a remedial investigation and feasibility study (RI/FS) of the entire 17 miles of the Passaic River. In June 2007, the USEPA separately commenced a Focused Feasibility Study (FFS) as an interim measure. In accordance with the 2007 AOC, in June 2012 the CPG voluntarily entered into another AOC for an interim removal action focused solely at mile 10.9 of the Passaic River. The allocations for the 2007 AOC and the 2012 removal action are based on interim allocations, are immaterial and have been accrued. In April 2014, the USEPA released the FFS. The CPG submitted the Draft RI/FS Report on April 30, 2015. The USEPA has released the FFS Record of Decision for the lower 8 miles and recently reached an agreement with another chemical company to conduct and pay for the remedial design. This chemical company has sued Ashland, ISP and numerous other defendants to recover past and future costs pursuant to the CERCLA. Ashland, ISP and numerous other defendants have filed a Motion to Dismiss all of the claims. Ashland and ISP are participating in an USEPA allocation process. The release of the FFS Record of Decision, the current allocations proceedings and the lawsuit are not expected to be material to Ashland.</w:t>
      </w:r>
    </w:p>
    <w:p>
      <w:pPr>
        <w:spacing w:after="0" w:line="72" w:lineRule="exact"/>
        <w:rPr>
          <w:sz w:val="20"/>
          <w:szCs w:val="20"/>
          <w:color w:val="auto"/>
        </w:rPr>
      </w:pPr>
    </w:p>
    <w:p>
      <w:pPr>
        <w:ind w:left="380"/>
        <w:spacing w:after="0" w:line="274" w:lineRule="auto"/>
        <w:rPr>
          <w:sz w:val="20"/>
          <w:szCs w:val="20"/>
          <w:color w:val="auto"/>
        </w:rPr>
      </w:pPr>
      <w:r>
        <w:rPr>
          <w:rFonts w:ascii="Arial" w:cs="Arial" w:eastAsia="Arial" w:hAnsi="Arial"/>
          <w:sz w:val="20"/>
          <w:szCs w:val="20"/>
          <w:color w:val="auto"/>
        </w:rPr>
        <w:t>For additional information regarding environmental matters and reserves, see Note L of Notes to Condensed Consolidated Financial Statements in this quarterly report on Form 10-Q.</w:t>
      </w:r>
    </w:p>
    <w:p>
      <w:pPr>
        <w:spacing w:after="0" w:line="7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360" w:right="719" w:bottom="1440" w:gutter="0" w:footer="0" w:header="0"/>
        </w:sectPr>
      </w:pPr>
    </w:p>
    <w:bookmarkStart w:id="65" w:name="page66"/>
    <w:bookmarkEnd w:id="65"/>
    <w:p>
      <w:pPr>
        <w:spacing w:after="0"/>
        <w:rPr>
          <w:sz w:val="20"/>
          <w:szCs w:val="20"/>
          <w:color w:val="auto"/>
        </w:rPr>
      </w:pPr>
      <w:r>
        <w:rPr>
          <w:rFonts w:ascii="Arial" w:cs="Arial" w:eastAsia="Arial" w:hAnsi="Arial"/>
          <w:sz w:val="20"/>
          <w:szCs w:val="20"/>
          <w:b w:val="1"/>
          <w:bCs w:val="1"/>
          <w:i w:val="1"/>
          <w:iCs w:val="1"/>
          <w:color w:val="auto"/>
        </w:rPr>
        <w:t>Other Pending Legal Proceedings</w:t>
      </w:r>
    </w:p>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Ashland cannot predict with certainty the outcome of such actions, it believes that adequate reserves have been recorded and losses already recognized with respect to such actions were immaterial as of June 30, 2021. There is a reasonable possibility that a loss exceeding amounts already recognized may be incurred related to these actions; however, Ashland believes that such potential losses were immaterial as of June 30, 2021.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74" w:right="719" w:bottom="1440" w:gutter="0" w:footer="0" w:header="0"/>
        </w:sectPr>
      </w:pPr>
    </w:p>
    <w:bookmarkStart w:id="66" w:name="page67"/>
    <w:bookmarkEnd w:id="66"/>
    <w:p>
      <w:pPr>
        <w:spacing w:after="0"/>
        <w:rPr>
          <w:sz w:val="20"/>
          <w:szCs w:val="20"/>
          <w:color w:val="auto"/>
        </w:rPr>
      </w:pPr>
      <w:r>
        <w:rPr>
          <w:rFonts w:ascii="Arial" w:cs="Arial" w:eastAsia="Arial" w:hAnsi="Arial"/>
          <w:sz w:val="20"/>
          <w:szCs w:val="20"/>
          <w:b w:val="1"/>
          <w:bCs w:val="1"/>
          <w:color w:val="auto"/>
        </w:rPr>
        <w:t>ITEM 1A. RISK FACTORS</w:t>
      </w:r>
    </w:p>
    <w:p>
      <w:pPr>
        <w:spacing w:after="0" w:line="141" w:lineRule="exact"/>
        <w:rPr>
          <w:sz w:val="20"/>
          <w:szCs w:val="20"/>
          <w:color w:val="auto"/>
        </w:rPr>
      </w:pPr>
    </w:p>
    <w:p>
      <w:pPr>
        <w:ind w:left="380"/>
        <w:spacing w:after="0" w:line="288" w:lineRule="auto"/>
        <w:rPr>
          <w:sz w:val="20"/>
          <w:szCs w:val="20"/>
          <w:color w:val="auto"/>
        </w:rPr>
      </w:pPr>
      <w:r>
        <w:rPr>
          <w:rFonts w:ascii="Arial" w:cs="Arial" w:eastAsia="Arial" w:hAnsi="Arial"/>
          <w:sz w:val="20"/>
          <w:szCs w:val="20"/>
          <w:color w:val="auto"/>
        </w:rPr>
        <w:t>During the period covered by this report, there were no material changes from the risk factors previously disclosed in Ashland’s Annual Report on Form 10-K for the fiscal year ended September 30, 2020.</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There was no share repurchase activity during the three months ended June 30, 2021.</w:t>
      </w:r>
    </w:p>
    <w:p>
      <w:pPr>
        <w:spacing w:after="0" w:line="178"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3620" w:type="dxa"/>
            <w:vAlign w:val="bottom"/>
            <w:gridSpan w:val="3"/>
          </w:tcPr>
          <w:p>
            <w:pPr>
              <w:ind w:left="380"/>
              <w:spacing w:after="0"/>
              <w:rPr>
                <w:sz w:val="20"/>
                <w:szCs w:val="20"/>
                <w:color w:val="auto"/>
              </w:rPr>
            </w:pPr>
            <w:r>
              <w:rPr>
                <w:rFonts w:ascii="Arial" w:cs="Arial" w:eastAsia="Arial" w:hAnsi="Arial"/>
                <w:sz w:val="18"/>
                <w:szCs w:val="18"/>
                <w:color w:val="auto"/>
              </w:rPr>
              <w:t>Issuer Purchases of Equity Securities</w:t>
            </w:r>
          </w:p>
        </w:tc>
        <w:tc>
          <w:tcPr>
            <w:tcW w:w="1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56"/>
        </w:trPr>
        <w:tc>
          <w:tcPr>
            <w:tcW w:w="34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jc w:val="center"/>
              <w:ind w:right="110"/>
              <w:spacing w:after="0"/>
              <w:rPr>
                <w:sz w:val="20"/>
                <w:szCs w:val="20"/>
                <w:color w:val="auto"/>
              </w:rPr>
            </w:pPr>
            <w:r>
              <w:rPr>
                <w:rFonts w:ascii="Arial" w:cs="Arial" w:eastAsia="Arial" w:hAnsi="Arial"/>
                <w:sz w:val="18"/>
                <w:szCs w:val="18"/>
                <w:color w:val="auto"/>
                <w:w w:val="93"/>
              </w:rPr>
              <w:t>Dollar Value of</w:t>
            </w:r>
          </w:p>
        </w:tc>
      </w:tr>
      <w:tr>
        <w:trPr>
          <w:trHeight w:val="230"/>
        </w:trPr>
        <w:tc>
          <w:tcPr>
            <w:tcW w:w="34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700" w:type="dxa"/>
            <w:vAlign w:val="bottom"/>
          </w:tcPr>
          <w:p>
            <w:pPr>
              <w:jc w:val="center"/>
              <w:ind w:right="10"/>
              <w:spacing w:after="0"/>
              <w:rPr>
                <w:sz w:val="20"/>
                <w:szCs w:val="20"/>
                <w:color w:val="auto"/>
              </w:rPr>
            </w:pPr>
            <w:r>
              <w:rPr>
                <w:rFonts w:ascii="Arial" w:cs="Arial" w:eastAsia="Arial" w:hAnsi="Arial"/>
                <w:sz w:val="18"/>
                <w:szCs w:val="18"/>
                <w:color w:val="auto"/>
                <w:w w:val="92"/>
              </w:rPr>
              <w:t>Total Number of</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center"/>
              <w:ind w:right="110"/>
              <w:spacing w:after="0"/>
              <w:rPr>
                <w:sz w:val="20"/>
                <w:szCs w:val="20"/>
                <w:color w:val="auto"/>
              </w:rPr>
            </w:pPr>
            <w:r>
              <w:rPr>
                <w:rFonts w:ascii="Arial" w:cs="Arial" w:eastAsia="Arial" w:hAnsi="Arial"/>
                <w:sz w:val="18"/>
                <w:szCs w:val="18"/>
                <w:color w:val="auto"/>
                <w:w w:val="89"/>
              </w:rPr>
              <w:t>Shares that May</w:t>
            </w:r>
          </w:p>
        </w:tc>
      </w:tr>
      <w:tr>
        <w:trPr>
          <w:trHeight w:val="229"/>
        </w:trPr>
        <w:tc>
          <w:tcPr>
            <w:tcW w:w="34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60" w:type="dxa"/>
            <w:vAlign w:val="bottom"/>
          </w:tcPr>
          <w:p>
            <w:pPr>
              <w:jc w:val="center"/>
              <w:ind w:right="330"/>
              <w:spacing w:after="0"/>
              <w:rPr>
                <w:sz w:val="20"/>
                <w:szCs w:val="20"/>
                <w:color w:val="auto"/>
              </w:rPr>
            </w:pPr>
            <w:r>
              <w:rPr>
                <w:rFonts w:ascii="Arial" w:cs="Arial" w:eastAsia="Arial" w:hAnsi="Arial"/>
                <w:sz w:val="18"/>
                <w:szCs w:val="18"/>
                <w:color w:val="auto"/>
                <w:w w:val="90"/>
              </w:rPr>
              <w:t>Average Price</w:t>
            </w:r>
          </w:p>
        </w:tc>
        <w:tc>
          <w:tcPr>
            <w:tcW w:w="1700" w:type="dxa"/>
            <w:vAlign w:val="bottom"/>
          </w:tcPr>
          <w:p>
            <w:pPr>
              <w:jc w:val="center"/>
              <w:spacing w:after="0"/>
              <w:rPr>
                <w:sz w:val="20"/>
                <w:szCs w:val="20"/>
                <w:color w:val="auto"/>
              </w:rPr>
            </w:pPr>
            <w:r>
              <w:rPr>
                <w:rFonts w:ascii="Arial" w:cs="Arial" w:eastAsia="Arial" w:hAnsi="Arial"/>
                <w:sz w:val="18"/>
                <w:szCs w:val="18"/>
                <w:color w:val="auto"/>
                <w:w w:val="85"/>
              </w:rPr>
              <w:t>Shares Purchased</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center"/>
              <w:ind w:right="110"/>
              <w:spacing w:after="0"/>
              <w:rPr>
                <w:sz w:val="20"/>
                <w:szCs w:val="20"/>
                <w:color w:val="auto"/>
              </w:rPr>
            </w:pPr>
            <w:r>
              <w:rPr>
                <w:rFonts w:ascii="Arial" w:cs="Arial" w:eastAsia="Arial" w:hAnsi="Arial"/>
                <w:sz w:val="18"/>
                <w:szCs w:val="18"/>
                <w:color w:val="auto"/>
                <w:w w:val="86"/>
              </w:rPr>
              <w:t>Be Purchased</w:t>
            </w:r>
          </w:p>
        </w:tc>
      </w:tr>
      <w:tr>
        <w:trPr>
          <w:trHeight w:val="229"/>
        </w:trPr>
        <w:tc>
          <w:tcPr>
            <w:tcW w:w="34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60" w:type="dxa"/>
            <w:vAlign w:val="bottom"/>
          </w:tcPr>
          <w:p>
            <w:pPr>
              <w:jc w:val="center"/>
              <w:ind w:right="330"/>
              <w:spacing w:after="0"/>
              <w:rPr>
                <w:sz w:val="20"/>
                <w:szCs w:val="20"/>
                <w:color w:val="auto"/>
              </w:rPr>
            </w:pPr>
            <w:r>
              <w:rPr>
                <w:rFonts w:ascii="Arial" w:cs="Arial" w:eastAsia="Arial" w:hAnsi="Arial"/>
                <w:sz w:val="18"/>
                <w:szCs w:val="18"/>
                <w:color w:val="auto"/>
                <w:w w:val="86"/>
              </w:rPr>
              <w:t>Paid Per Share,</w:t>
            </w:r>
          </w:p>
        </w:tc>
        <w:tc>
          <w:tcPr>
            <w:tcW w:w="1700" w:type="dxa"/>
            <w:vAlign w:val="bottom"/>
          </w:tcPr>
          <w:p>
            <w:pPr>
              <w:jc w:val="center"/>
              <w:ind w:right="10"/>
              <w:spacing w:after="0"/>
              <w:rPr>
                <w:sz w:val="20"/>
                <w:szCs w:val="20"/>
                <w:color w:val="auto"/>
              </w:rPr>
            </w:pPr>
            <w:r>
              <w:rPr>
                <w:rFonts w:ascii="Arial" w:cs="Arial" w:eastAsia="Arial" w:hAnsi="Arial"/>
                <w:sz w:val="18"/>
                <w:szCs w:val="18"/>
                <w:color w:val="auto"/>
                <w:w w:val="91"/>
              </w:rPr>
              <w:t>as Part of Publicly</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center"/>
              <w:ind w:right="110"/>
              <w:spacing w:after="0"/>
              <w:rPr>
                <w:sz w:val="20"/>
                <w:szCs w:val="20"/>
                <w:color w:val="auto"/>
              </w:rPr>
            </w:pPr>
            <w:r>
              <w:rPr>
                <w:rFonts w:ascii="Arial" w:cs="Arial" w:eastAsia="Arial" w:hAnsi="Arial"/>
                <w:sz w:val="18"/>
                <w:szCs w:val="18"/>
                <w:color w:val="auto"/>
                <w:w w:val="88"/>
              </w:rPr>
              <w:t>Under the Plans</w:t>
            </w:r>
          </w:p>
        </w:tc>
      </w:tr>
      <w:tr>
        <w:trPr>
          <w:trHeight w:val="230"/>
        </w:trPr>
        <w:tc>
          <w:tcPr>
            <w:tcW w:w="3440" w:type="dxa"/>
            <w:vAlign w:val="bottom"/>
          </w:tcPr>
          <w:p>
            <w:pPr>
              <w:spacing w:after="0"/>
              <w:rPr>
                <w:sz w:val="19"/>
                <w:szCs w:val="19"/>
                <w:color w:val="auto"/>
              </w:rPr>
            </w:pPr>
          </w:p>
        </w:tc>
        <w:tc>
          <w:tcPr>
            <w:tcW w:w="1620" w:type="dxa"/>
            <w:vAlign w:val="bottom"/>
          </w:tcPr>
          <w:p>
            <w:pPr>
              <w:ind w:left="140"/>
              <w:spacing w:after="0"/>
              <w:rPr>
                <w:sz w:val="20"/>
                <w:szCs w:val="20"/>
                <w:color w:val="auto"/>
              </w:rPr>
            </w:pPr>
            <w:r>
              <w:rPr>
                <w:rFonts w:ascii="Arial" w:cs="Arial" w:eastAsia="Arial" w:hAnsi="Arial"/>
                <w:sz w:val="18"/>
                <w:szCs w:val="18"/>
                <w:color w:val="auto"/>
              </w:rPr>
              <w:t>Total Number of</w:t>
            </w:r>
          </w:p>
        </w:tc>
        <w:tc>
          <w:tcPr>
            <w:tcW w:w="440" w:type="dxa"/>
            <w:vAlign w:val="bottom"/>
          </w:tcPr>
          <w:p>
            <w:pPr>
              <w:spacing w:after="0"/>
              <w:rPr>
                <w:sz w:val="19"/>
                <w:szCs w:val="19"/>
                <w:color w:val="auto"/>
              </w:rPr>
            </w:pPr>
          </w:p>
        </w:tc>
        <w:tc>
          <w:tcPr>
            <w:tcW w:w="1560" w:type="dxa"/>
            <w:vAlign w:val="bottom"/>
          </w:tcPr>
          <w:p>
            <w:pPr>
              <w:jc w:val="center"/>
              <w:ind w:right="350"/>
              <w:spacing w:after="0"/>
              <w:rPr>
                <w:sz w:val="20"/>
                <w:szCs w:val="20"/>
                <w:color w:val="auto"/>
              </w:rPr>
            </w:pPr>
            <w:r>
              <w:rPr>
                <w:rFonts w:ascii="Arial" w:cs="Arial" w:eastAsia="Arial" w:hAnsi="Arial"/>
                <w:sz w:val="18"/>
                <w:szCs w:val="18"/>
                <w:color w:val="auto"/>
                <w:w w:val="95"/>
              </w:rPr>
              <w:t>including</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Announced Plans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center"/>
              <w:ind w:right="110"/>
              <w:spacing w:after="0"/>
              <w:rPr>
                <w:sz w:val="20"/>
                <w:szCs w:val="20"/>
                <w:color w:val="auto"/>
              </w:rPr>
            </w:pPr>
            <w:r>
              <w:rPr>
                <w:rFonts w:ascii="Arial" w:cs="Arial" w:eastAsia="Arial" w:hAnsi="Arial"/>
                <w:sz w:val="18"/>
                <w:szCs w:val="18"/>
                <w:color w:val="auto"/>
                <w:w w:val="90"/>
              </w:rPr>
              <w:t>or Programs</w:t>
            </w:r>
          </w:p>
        </w:tc>
      </w:tr>
      <w:tr>
        <w:trPr>
          <w:trHeight w:val="244"/>
        </w:trPr>
        <w:tc>
          <w:tcPr>
            <w:tcW w:w="3440" w:type="dxa"/>
            <w:vAlign w:val="bottom"/>
          </w:tcPr>
          <w:p>
            <w:pPr>
              <w:ind w:left="980"/>
              <w:spacing w:after="0"/>
              <w:rPr>
                <w:sz w:val="20"/>
                <w:szCs w:val="20"/>
                <w:color w:val="auto"/>
              </w:rPr>
            </w:pPr>
            <w:r>
              <w:rPr>
                <w:rFonts w:ascii="Arial" w:cs="Arial" w:eastAsia="Arial" w:hAnsi="Arial"/>
                <w:sz w:val="18"/>
                <w:szCs w:val="18"/>
                <w:color w:val="auto"/>
              </w:rPr>
              <w:t>Q3 Fiscal Periods</w:t>
            </w:r>
          </w:p>
        </w:tc>
        <w:tc>
          <w:tcPr>
            <w:tcW w:w="16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9"/>
              </w:rPr>
              <w:t>Shares Purchased</w:t>
            </w:r>
          </w:p>
        </w:tc>
        <w:tc>
          <w:tcPr>
            <w:tcW w:w="4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color w:val="auto"/>
                <w:w w:val="90"/>
              </w:rPr>
              <w:t>commission</w:t>
            </w:r>
          </w:p>
        </w:tc>
        <w:tc>
          <w:tcPr>
            <w:tcW w:w="17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8"/>
              </w:rPr>
              <w:t>or Programs</w:t>
            </w: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7"/>
              </w:rPr>
              <w:t>(in millions)(a)</w:t>
            </w:r>
          </w:p>
        </w:tc>
      </w:tr>
      <w:tr>
        <w:trPr>
          <w:trHeight w:val="250"/>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April 1, 2021 to April 30, 2021</w:t>
            </w:r>
          </w:p>
        </w:tc>
        <w:tc>
          <w:tcPr>
            <w:tcW w:w="1620" w:type="dxa"/>
            <w:vAlign w:val="bottom"/>
            <w:shd w:val="clear" w:color="auto" w:fill="CFF0FC"/>
          </w:tcPr>
          <w:p>
            <w:pPr>
              <w:ind w:left="1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ind w:left="106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ind w:left="14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800</w:t>
            </w:r>
          </w:p>
        </w:tc>
      </w:tr>
      <w:tr>
        <w:trPr>
          <w:trHeight w:val="250"/>
        </w:trPr>
        <w:tc>
          <w:tcPr>
            <w:tcW w:w="3440" w:type="dxa"/>
            <w:vAlign w:val="bottom"/>
          </w:tcPr>
          <w:p>
            <w:pPr>
              <w:spacing w:after="0"/>
              <w:rPr>
                <w:sz w:val="20"/>
                <w:szCs w:val="20"/>
                <w:color w:val="auto"/>
              </w:rPr>
            </w:pPr>
            <w:r>
              <w:rPr>
                <w:rFonts w:ascii="Arial" w:cs="Arial" w:eastAsia="Arial" w:hAnsi="Arial"/>
                <w:sz w:val="18"/>
                <w:szCs w:val="18"/>
                <w:color w:val="auto"/>
              </w:rPr>
              <w:t>May 1, 2021 to May 31, 2021</w:t>
            </w:r>
          </w:p>
        </w:tc>
        <w:tc>
          <w:tcPr>
            <w:tcW w:w="1620" w:type="dxa"/>
            <w:vAlign w:val="bottom"/>
          </w:tcPr>
          <w:p>
            <w:pPr>
              <w:ind w:left="1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560" w:type="dxa"/>
            <w:vAlign w:val="bottom"/>
          </w:tcPr>
          <w:p>
            <w:pPr>
              <w:ind w:left="1060"/>
              <w:spacing w:after="0"/>
              <w:rPr>
                <w:sz w:val="20"/>
                <w:szCs w:val="20"/>
                <w:color w:val="auto"/>
              </w:rPr>
            </w:pPr>
            <w:r>
              <w:rPr>
                <w:rFonts w:ascii="Arial" w:cs="Arial" w:eastAsia="Arial" w:hAnsi="Arial"/>
                <w:sz w:val="18"/>
                <w:szCs w:val="18"/>
                <w:color w:val="auto"/>
              </w:rPr>
              <w:t>—</w:t>
            </w:r>
          </w:p>
        </w:tc>
        <w:tc>
          <w:tcPr>
            <w:tcW w:w="1700" w:type="dxa"/>
            <w:vAlign w:val="bottom"/>
          </w:tcPr>
          <w:p>
            <w:pPr>
              <w:ind w:left="1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800</w:t>
            </w:r>
          </w:p>
        </w:tc>
      </w:tr>
      <w:tr>
        <w:trPr>
          <w:trHeight w:val="257"/>
        </w:trPr>
        <w:tc>
          <w:tcPr>
            <w:tcW w:w="3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June 1, 2021 to June 30, 2021</w:t>
            </w:r>
          </w:p>
        </w:tc>
        <w:tc>
          <w:tcPr>
            <w:tcW w:w="1620" w:type="dxa"/>
            <w:vAlign w:val="bottom"/>
            <w:tcBorders>
              <w:bottom w:val="single" w:sz="8" w:color="auto"/>
            </w:tcBorders>
            <w:shd w:val="clear" w:color="auto" w:fill="CFF0FC"/>
          </w:tcPr>
          <w:p>
            <w:pPr>
              <w:ind w:left="13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FF0FC"/>
            </w:tcBorders>
            <w:shd w:val="clear" w:color="auto" w:fill="CFF0FC"/>
          </w:tcPr>
          <w:p>
            <w:pPr>
              <w:spacing w:after="0"/>
              <w:rPr>
                <w:sz w:val="22"/>
                <w:szCs w:val="22"/>
                <w:color w:val="auto"/>
              </w:rPr>
            </w:pPr>
          </w:p>
        </w:tc>
        <w:tc>
          <w:tcPr>
            <w:tcW w:w="1560" w:type="dxa"/>
            <w:vAlign w:val="bottom"/>
            <w:tcBorders>
              <w:bottom w:val="single" w:sz="8" w:color="CFF0FC"/>
            </w:tcBorders>
            <w:shd w:val="clear" w:color="auto" w:fill="CFF0FC"/>
          </w:tcPr>
          <w:p>
            <w:pPr>
              <w:ind w:left="106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shd w:val="clear" w:color="auto" w:fill="CFF0FC"/>
          </w:tcPr>
          <w:p>
            <w:pPr>
              <w:ind w:left="14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800</w:t>
            </w:r>
          </w:p>
        </w:tc>
      </w:tr>
      <w:tr>
        <w:trPr>
          <w:trHeight w:val="250"/>
        </w:trPr>
        <w:tc>
          <w:tcPr>
            <w:tcW w:w="3440" w:type="dxa"/>
            <w:vAlign w:val="bottom"/>
          </w:tcPr>
          <w:p>
            <w:pPr>
              <w:ind w:left="500"/>
              <w:spacing w:after="0"/>
              <w:rPr>
                <w:sz w:val="20"/>
                <w:szCs w:val="20"/>
                <w:color w:val="auto"/>
              </w:rPr>
            </w:pPr>
            <w:r>
              <w:rPr>
                <w:rFonts w:ascii="Arial" w:cs="Arial" w:eastAsia="Arial" w:hAnsi="Arial"/>
                <w:sz w:val="18"/>
                <w:szCs w:val="18"/>
                <w:color w:val="auto"/>
              </w:rPr>
              <w:t>Total</w:t>
            </w:r>
          </w:p>
        </w:tc>
        <w:tc>
          <w:tcPr>
            <w:tcW w:w="1620" w:type="dxa"/>
            <w:vAlign w:val="bottom"/>
          </w:tcPr>
          <w:p>
            <w:pPr>
              <w:ind w:left="1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700" w:type="dxa"/>
            <w:vAlign w:val="bottom"/>
          </w:tcPr>
          <w:p>
            <w:pPr>
              <w:ind w:left="14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800</w:t>
            </w:r>
          </w:p>
        </w:tc>
      </w:tr>
      <w:tr>
        <w:trPr>
          <w:trHeight w:val="20"/>
        </w:trPr>
        <w:tc>
          <w:tcPr>
            <w:tcW w:w="344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149"/>
        </w:trPr>
        <w:tc>
          <w:tcPr>
            <w:tcW w:w="34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-304800</wp:posOffset>
            </wp:positionV>
            <wp:extent cx="205740" cy="571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-304800</wp:posOffset>
            </wp:positionV>
            <wp:extent cx="111760" cy="571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11760" cy="5715"/>
                    </a:xfrm>
                    <a:prstGeom prst="rect">
                      <a:avLst/>
                    </a:prstGeom>
                    <a:noFill/>
                  </pic:spPr>
                </pic:pic>
              </a:graphicData>
            </a:graphic>
          </wp:anchor>
        </w:drawing>
      </w:r>
    </w:p>
    <w:p>
      <w:pPr>
        <w:spacing w:after="0" w:line="83" w:lineRule="exact"/>
        <w:rPr>
          <w:sz w:val="20"/>
          <w:szCs w:val="20"/>
          <w:color w:val="auto"/>
        </w:rPr>
      </w:pPr>
    </w:p>
    <w:p>
      <w:pPr>
        <w:ind w:left="700" w:right="240" w:hanging="318"/>
        <w:spacing w:after="0" w:line="272" w:lineRule="auto"/>
        <w:tabs>
          <w:tab w:leader="none" w:pos="7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During March 2018, Ashland’s Board of Directors approved a new $1 billion stock repurchase program, which replaced the previous stock repurchase program. Ashland’s stock repurchase program does not obligate it to acquire any specific number of shares. Under the program, shares may be repurchased in privately negotiated and/or open market transactions, including under plans complying with Rule 10b5-1 of the Exchange Act. As of June 30, 2021, $800 million remains available for repurchase under this authorization.</w:t>
      </w:r>
    </w:p>
    <w:p>
      <w:pPr>
        <w:spacing w:after="0" w:line="8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576" w:right="719" w:bottom="1440" w:gutter="0" w:footer="0" w:header="0"/>
        </w:sectPr>
      </w:pPr>
    </w:p>
    <w:bookmarkStart w:id="67" w:name="page68"/>
    <w:bookmarkEnd w:id="67"/>
    <w:p>
      <w:pPr>
        <w:spacing w:after="0"/>
        <w:rPr>
          <w:sz w:val="20"/>
          <w:szCs w:val="20"/>
          <w:color w:val="auto"/>
        </w:rPr>
      </w:pPr>
      <w:r>
        <w:rPr>
          <w:rFonts w:ascii="Arial" w:cs="Arial" w:eastAsia="Arial" w:hAnsi="Arial"/>
          <w:sz w:val="20"/>
          <w:szCs w:val="20"/>
          <w:b w:val="1"/>
          <w:bCs w:val="1"/>
          <w:color w:val="auto"/>
        </w:rPr>
        <w:t>ITEM 6. EXHIBITS</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20"/>
          <w:szCs w:val="20"/>
          <w:color w:val="auto"/>
        </w:rPr>
        <w:t>(a) Exhibits</w:t>
      </w:r>
    </w:p>
    <w:p>
      <w:pPr>
        <w:spacing w:after="0" w:line="216" w:lineRule="exact"/>
        <w:rPr>
          <w:sz w:val="20"/>
          <w:szCs w:val="20"/>
          <w:color w:val="auto"/>
        </w:rPr>
      </w:pPr>
    </w:p>
    <w:p>
      <w:pPr>
        <w:jc w:val="both"/>
        <w:ind w:left="1340" w:right="40" w:hanging="1322"/>
        <w:spacing w:after="0" w:line="278" w:lineRule="auto"/>
        <w:tabs>
          <w:tab w:leader="none" w:pos="1320" w:val="left"/>
        </w:tabs>
        <w:rPr>
          <w:rFonts w:ascii="Arial" w:cs="Arial" w:eastAsia="Arial" w:hAnsi="Arial"/>
          <w:sz w:val="20"/>
          <w:szCs w:val="20"/>
          <w:u w:val="single" w:color="auto"/>
          <w:color w:val="0000FF"/>
        </w:rPr>
      </w:pPr>
      <w:r>
        <w:rPr>
          <w:rFonts w:ascii="Arial" w:cs="Arial" w:eastAsia="Arial" w:hAnsi="Arial"/>
          <w:sz w:val="20"/>
          <w:szCs w:val="20"/>
          <w:color w:val="auto"/>
        </w:rPr>
        <w:t>2.1</w:t>
      </w:r>
      <w:r>
        <w:rPr>
          <w:sz w:val="20"/>
          <w:szCs w:val="20"/>
          <w:color w:val="auto"/>
        </w:rPr>
        <w:tab/>
      </w:r>
      <w:hyperlink r:id="rId711">
        <w:r>
          <w:rPr>
            <w:rFonts w:ascii="Arial" w:cs="Arial" w:eastAsia="Arial" w:hAnsi="Arial"/>
            <w:sz w:val="20"/>
            <w:szCs w:val="20"/>
            <w:u w:val="single" w:color="auto"/>
            <w:color w:val="0000FF"/>
          </w:rPr>
          <w:t>Master Asset Purchase Agreement, dated January 18, 2021, entered into by and between Schülke &amp; Mayr GmbH, ISP Marl</w:t>
        </w:r>
      </w:hyperlink>
      <w:r>
        <w:rPr>
          <w:rFonts w:ascii="Arial" w:cs="Arial" w:eastAsia="Arial" w:hAnsi="Arial"/>
          <w:sz w:val="20"/>
          <w:szCs w:val="20"/>
          <w:u w:val="single" w:color="auto"/>
          <w:color w:val="0000FF"/>
        </w:rPr>
        <w:t xml:space="preserve"> </w:t>
      </w:r>
      <w:hyperlink r:id="rId711">
        <w:r>
          <w:rPr>
            <w:rFonts w:ascii="Arial" w:cs="Arial" w:eastAsia="Arial" w:hAnsi="Arial"/>
            <w:sz w:val="20"/>
            <w:szCs w:val="20"/>
            <w:u w:val="single" w:color="auto"/>
            <w:color w:val="0000FF"/>
          </w:rPr>
          <w:t>Holdings GmbH, and Ashland Industries Europe GmbH (filed as Exhibit 2.1 to Ashland’s Form 8-K filed on January 22,</w:t>
        </w:r>
      </w:hyperlink>
      <w:r>
        <w:rPr>
          <w:rFonts w:ascii="Arial" w:cs="Arial" w:eastAsia="Arial" w:hAnsi="Arial"/>
          <w:sz w:val="20"/>
          <w:szCs w:val="20"/>
          <w:u w:val="single" w:color="auto"/>
          <w:color w:val="0000FF"/>
        </w:rPr>
        <w:t xml:space="preserve"> </w:t>
      </w:r>
      <w:hyperlink r:id="rId711">
        <w:r>
          <w:rPr>
            <w:rFonts w:ascii="Arial" w:cs="Arial" w:eastAsia="Arial" w:hAnsi="Arial"/>
            <w:sz w:val="20"/>
            <w:szCs w:val="20"/>
            <w:u w:val="single" w:color="auto"/>
            <w:color w:val="0000FF"/>
          </w:rPr>
          <w:t>2021 (SEC File No. 333-211719) and incorporated herein by reference).</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853440</wp:posOffset>
            </wp:positionH>
            <wp:positionV relativeFrom="paragraph">
              <wp:posOffset>-375920</wp:posOffset>
            </wp:positionV>
            <wp:extent cx="624649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2">
                      <a:extLst>
                        <a:ext uri="{28A0092B-C50C-407E-A947-70E740481C1C}"/>
                      </a:extLst>
                    </a:blip>
                    <a:srcRect/>
                    <a:stretch>
                      <a:fillRect/>
                    </a:stretch>
                  </pic:blipFill>
                  <pic:spPr bwMode="auto">
                    <a:xfrm>
                      <a:off x="0" y="0"/>
                      <a:ext cx="6246495" cy="8255"/>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-213360</wp:posOffset>
            </wp:positionV>
            <wp:extent cx="624649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3">
                      <a:extLst>
                        <a:ext uri="{28A0092B-C50C-407E-A947-70E740481C1C}"/>
                      </a:extLst>
                    </a:blip>
                    <a:srcRect/>
                    <a:stretch>
                      <a:fillRect/>
                    </a:stretch>
                  </pic:blipFill>
                  <pic:spPr bwMode="auto">
                    <a:xfrm>
                      <a:off x="0" y="0"/>
                      <a:ext cx="6246495" cy="8255"/>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-50165</wp:posOffset>
            </wp:positionV>
            <wp:extent cx="362712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4">
                      <a:extLst>
                        <a:ext uri="{28A0092B-C50C-407E-A947-70E740481C1C}"/>
                      </a:extLst>
                    </a:blip>
                    <a:srcRect/>
                    <a:stretch>
                      <a:fillRect/>
                    </a:stretch>
                  </pic:blipFill>
                  <pic:spPr bwMode="auto">
                    <a:xfrm>
                      <a:off x="0" y="0"/>
                      <a:ext cx="3627120" cy="8255"/>
                    </a:xfrm>
                    <a:prstGeom prst="rect">
                      <a:avLst/>
                    </a:prstGeom>
                    <a:noFill/>
                  </pic:spPr>
                </pic:pic>
              </a:graphicData>
            </a:graphic>
          </wp:anchor>
        </w:drawing>
      </w:r>
    </w:p>
    <w:p>
      <w:pPr>
        <w:spacing w:after="0" w:line="237" w:lineRule="exact"/>
        <w:rPr>
          <w:rFonts w:ascii="Arial" w:cs="Arial" w:eastAsia="Arial" w:hAnsi="Arial"/>
          <w:sz w:val="20"/>
          <w:szCs w:val="20"/>
          <w:u w:val="single" w:color="auto"/>
          <w:color w:val="0000FF"/>
        </w:rPr>
      </w:pPr>
    </w:p>
    <w:tbl>
      <w:tblPr>
        <w:tblLayout w:type="fixed"/>
        <w:tblInd w:w="2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2.2*</w:t>
            </w:r>
          </w:p>
        </w:tc>
        <w:tc>
          <w:tcPr>
            <w:tcW w:w="9820" w:type="dxa"/>
            <w:vAlign w:val="bottom"/>
            <w:gridSpan w:val="4"/>
          </w:tcPr>
          <w:p>
            <w:pPr>
              <w:spacing w:after="0"/>
              <w:rPr>
                <w:rFonts w:ascii="Arial" w:cs="Arial" w:eastAsia="Arial" w:hAnsi="Arial"/>
                <w:sz w:val="20"/>
                <w:szCs w:val="20"/>
                <w:color w:val="0000FF"/>
                <w:w w:val="93"/>
              </w:rPr>
            </w:pPr>
            <w:hyperlink w:anchor="page70">
              <w:r>
                <w:rPr>
                  <w:rFonts w:ascii="Arial" w:cs="Arial" w:eastAsia="Arial" w:hAnsi="Arial"/>
                  <w:sz w:val="20"/>
                  <w:szCs w:val="20"/>
                  <w:color w:val="0000FF"/>
                  <w:w w:val="93"/>
                </w:rPr>
                <w:t>Amendment Agreement to the Master Purchase Agreement regarding the acquisition of the Personal Care Business of</w:t>
              </w:r>
            </w:hyperlink>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960" w:type="dxa"/>
            <w:vAlign w:val="bottom"/>
            <w:shd w:val="clear" w:color="auto" w:fill="0000FF"/>
          </w:tcPr>
          <w:p>
            <w:pPr>
              <w:spacing w:after="0" w:line="20" w:lineRule="exact"/>
              <w:rPr>
                <w:sz w:val="1"/>
                <w:szCs w:val="1"/>
                <w:color w:val="auto"/>
              </w:rPr>
            </w:pPr>
          </w:p>
        </w:tc>
      </w:tr>
      <w:tr>
        <w:trPr>
          <w:trHeight w:val="237"/>
        </w:trPr>
        <w:tc>
          <w:tcPr>
            <w:tcW w:w="1340" w:type="dxa"/>
            <w:vAlign w:val="bottom"/>
          </w:tcPr>
          <w:p>
            <w:pPr>
              <w:spacing w:after="0"/>
              <w:rPr>
                <w:sz w:val="20"/>
                <w:szCs w:val="20"/>
                <w:color w:val="auto"/>
              </w:rPr>
            </w:pPr>
          </w:p>
        </w:tc>
        <w:tc>
          <w:tcPr>
            <w:tcW w:w="9820" w:type="dxa"/>
            <w:vAlign w:val="bottom"/>
            <w:gridSpan w:val="4"/>
          </w:tcPr>
          <w:p>
            <w:pPr>
              <w:spacing w:after="0"/>
              <w:rPr>
                <w:rFonts w:ascii="Arial" w:cs="Arial" w:eastAsia="Arial" w:hAnsi="Arial"/>
                <w:sz w:val="20"/>
                <w:szCs w:val="20"/>
                <w:color w:val="0000FF"/>
              </w:rPr>
            </w:pPr>
            <w:hyperlink w:anchor="page70">
              <w:r>
                <w:rPr>
                  <w:rFonts w:ascii="Arial" w:cs="Arial" w:eastAsia="Arial" w:hAnsi="Arial"/>
                  <w:sz w:val="20"/>
                  <w:szCs w:val="20"/>
                  <w:color w:val="0000FF"/>
                </w:rPr>
                <w:t>Schülke &amp; Mayr GmbH dated April 29, 2021, filed herewith.</w:t>
              </w:r>
            </w:hyperlink>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8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547"/>
        </w:trPr>
        <w:tc>
          <w:tcPr>
            <w:tcW w:w="1340" w:type="dxa"/>
            <w:vAlign w:val="bottom"/>
          </w:tcPr>
          <w:p>
            <w:pPr>
              <w:spacing w:after="0"/>
              <w:rPr>
                <w:sz w:val="20"/>
                <w:szCs w:val="20"/>
                <w:color w:val="auto"/>
              </w:rPr>
            </w:pPr>
            <w:r>
              <w:rPr>
                <w:rFonts w:ascii="Arial" w:cs="Arial" w:eastAsia="Arial" w:hAnsi="Arial"/>
                <w:sz w:val="20"/>
                <w:szCs w:val="20"/>
                <w:color w:val="auto"/>
              </w:rPr>
              <w:t>31.1*</w:t>
            </w:r>
          </w:p>
        </w:tc>
        <w:tc>
          <w:tcPr>
            <w:tcW w:w="9820" w:type="dxa"/>
            <w:vAlign w:val="bottom"/>
            <w:gridSpan w:val="4"/>
          </w:tcPr>
          <w:p>
            <w:pPr>
              <w:spacing w:after="0"/>
              <w:rPr>
                <w:rFonts w:ascii="Arial" w:cs="Arial" w:eastAsia="Arial" w:hAnsi="Arial"/>
                <w:sz w:val="20"/>
                <w:szCs w:val="20"/>
                <w:color w:val="0000FF"/>
                <w:w w:val="93"/>
              </w:rPr>
            </w:pPr>
            <w:hyperlink w:anchor="page80">
              <w:r>
                <w:rPr>
                  <w:rFonts w:ascii="Arial" w:cs="Arial" w:eastAsia="Arial" w:hAnsi="Arial"/>
                  <w:sz w:val="20"/>
                  <w:szCs w:val="20"/>
                  <w:color w:val="0000FF"/>
                  <w:w w:val="93"/>
                </w:rPr>
                <w:t>Certificate of Guillermo Novo, Chief Executive Officer of Ashland pursuant to Section 302 of the Sarbanes-Oxley Act of</w:t>
              </w:r>
            </w:hyperlink>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960" w:type="dxa"/>
            <w:vAlign w:val="bottom"/>
            <w:shd w:val="clear" w:color="auto" w:fill="0000FF"/>
          </w:tcPr>
          <w:p>
            <w:pPr>
              <w:spacing w:after="0" w:line="20" w:lineRule="exact"/>
              <w:rPr>
                <w:sz w:val="1"/>
                <w:szCs w:val="1"/>
                <w:color w:val="auto"/>
              </w:rPr>
            </w:pPr>
          </w:p>
        </w:tc>
      </w:tr>
      <w:tr>
        <w:trPr>
          <w:trHeight w:val="237"/>
        </w:trPr>
        <w:tc>
          <w:tcPr>
            <w:tcW w:w="1340" w:type="dxa"/>
            <w:vAlign w:val="bottom"/>
          </w:tcPr>
          <w:p>
            <w:pPr>
              <w:spacing w:after="0"/>
              <w:rPr>
                <w:sz w:val="20"/>
                <w:szCs w:val="20"/>
                <w:color w:val="auto"/>
              </w:rPr>
            </w:pPr>
          </w:p>
        </w:tc>
        <w:tc>
          <w:tcPr>
            <w:tcW w:w="440" w:type="dxa"/>
            <w:vAlign w:val="bottom"/>
          </w:tcPr>
          <w:p>
            <w:pPr>
              <w:spacing w:after="0"/>
              <w:rPr>
                <w:rFonts w:ascii="Arial" w:cs="Arial" w:eastAsia="Arial" w:hAnsi="Arial"/>
                <w:sz w:val="20"/>
                <w:szCs w:val="20"/>
                <w:color w:val="0000FF"/>
                <w:w w:val="79"/>
              </w:rPr>
            </w:pPr>
            <w:hyperlink w:anchor="page80">
              <w:r>
                <w:rPr>
                  <w:rFonts w:ascii="Arial" w:cs="Arial" w:eastAsia="Arial" w:hAnsi="Arial"/>
                  <w:sz w:val="20"/>
                  <w:szCs w:val="20"/>
                  <w:color w:val="0000FF"/>
                  <w:w w:val="79"/>
                </w:rPr>
                <w:t>2002.</w:t>
              </w:r>
            </w:hyperlink>
          </w:p>
        </w:tc>
        <w:tc>
          <w:tcPr>
            <w:tcW w:w="4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r>
      <w:tr>
        <w:trPr>
          <w:trHeight w:val="547"/>
        </w:trPr>
        <w:tc>
          <w:tcPr>
            <w:tcW w:w="1340" w:type="dxa"/>
            <w:vAlign w:val="bottom"/>
          </w:tcPr>
          <w:p>
            <w:pPr>
              <w:ind w:left="60"/>
              <w:spacing w:after="0"/>
              <w:rPr>
                <w:sz w:val="20"/>
                <w:szCs w:val="20"/>
                <w:color w:val="auto"/>
              </w:rPr>
            </w:pPr>
            <w:r>
              <w:rPr>
                <w:rFonts w:ascii="Arial" w:cs="Arial" w:eastAsia="Arial" w:hAnsi="Arial"/>
                <w:sz w:val="20"/>
                <w:szCs w:val="20"/>
                <w:color w:val="auto"/>
              </w:rPr>
              <w:t>31.2*</w:t>
            </w:r>
          </w:p>
        </w:tc>
        <w:tc>
          <w:tcPr>
            <w:tcW w:w="9820" w:type="dxa"/>
            <w:vAlign w:val="bottom"/>
            <w:gridSpan w:val="4"/>
          </w:tcPr>
          <w:p>
            <w:pPr>
              <w:spacing w:after="0"/>
              <w:rPr>
                <w:rFonts w:ascii="Arial" w:cs="Arial" w:eastAsia="Arial" w:hAnsi="Arial"/>
                <w:sz w:val="20"/>
                <w:szCs w:val="20"/>
                <w:color w:val="0000FF"/>
                <w:w w:val="95"/>
              </w:rPr>
            </w:pPr>
            <w:hyperlink w:anchor="page81">
              <w:r>
                <w:rPr>
                  <w:rFonts w:ascii="Arial" w:cs="Arial" w:eastAsia="Arial" w:hAnsi="Arial"/>
                  <w:sz w:val="20"/>
                  <w:szCs w:val="20"/>
                  <w:color w:val="0000FF"/>
                  <w:w w:val="95"/>
                </w:rPr>
                <w:t>Certificate of J. Kevin Willis, Chief Financial Officer of Ashland pursuant to Section 302 of the Sarbanes-Oxley Act of</w:t>
              </w:r>
            </w:hyperlink>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960" w:type="dxa"/>
            <w:vAlign w:val="bottom"/>
            <w:shd w:val="clear" w:color="auto" w:fill="0000FF"/>
          </w:tcPr>
          <w:p>
            <w:pPr>
              <w:spacing w:after="0" w:line="20" w:lineRule="exact"/>
              <w:rPr>
                <w:sz w:val="1"/>
                <w:szCs w:val="1"/>
                <w:color w:val="auto"/>
              </w:rPr>
            </w:pPr>
          </w:p>
        </w:tc>
      </w:tr>
      <w:tr>
        <w:trPr>
          <w:trHeight w:val="237"/>
        </w:trPr>
        <w:tc>
          <w:tcPr>
            <w:tcW w:w="1340" w:type="dxa"/>
            <w:vAlign w:val="bottom"/>
          </w:tcPr>
          <w:p>
            <w:pPr>
              <w:spacing w:after="0"/>
              <w:rPr>
                <w:sz w:val="20"/>
                <w:szCs w:val="20"/>
                <w:color w:val="auto"/>
              </w:rPr>
            </w:pPr>
          </w:p>
        </w:tc>
        <w:tc>
          <w:tcPr>
            <w:tcW w:w="440" w:type="dxa"/>
            <w:vAlign w:val="bottom"/>
          </w:tcPr>
          <w:p>
            <w:pPr>
              <w:spacing w:after="0"/>
              <w:rPr>
                <w:rFonts w:ascii="Arial" w:cs="Arial" w:eastAsia="Arial" w:hAnsi="Arial"/>
                <w:sz w:val="20"/>
                <w:szCs w:val="20"/>
                <w:color w:val="0000FF"/>
                <w:w w:val="79"/>
              </w:rPr>
            </w:pPr>
            <w:hyperlink w:anchor="page81">
              <w:r>
                <w:rPr>
                  <w:rFonts w:ascii="Arial" w:cs="Arial" w:eastAsia="Arial" w:hAnsi="Arial"/>
                  <w:sz w:val="20"/>
                  <w:szCs w:val="20"/>
                  <w:color w:val="0000FF"/>
                  <w:w w:val="79"/>
                </w:rPr>
                <w:t>2002.</w:t>
              </w:r>
            </w:hyperlink>
          </w:p>
        </w:tc>
        <w:tc>
          <w:tcPr>
            <w:tcW w:w="4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r>
      <w:tr>
        <w:trPr>
          <w:trHeight w:val="547"/>
        </w:trPr>
        <w:tc>
          <w:tcPr>
            <w:tcW w:w="1340" w:type="dxa"/>
            <w:vAlign w:val="bottom"/>
          </w:tcPr>
          <w:p>
            <w:pPr>
              <w:ind w:left="60"/>
              <w:spacing w:after="0"/>
              <w:rPr>
                <w:sz w:val="20"/>
                <w:szCs w:val="20"/>
                <w:color w:val="auto"/>
              </w:rPr>
            </w:pPr>
            <w:r>
              <w:rPr>
                <w:rFonts w:ascii="Arial" w:cs="Arial" w:eastAsia="Arial" w:hAnsi="Arial"/>
                <w:sz w:val="20"/>
                <w:szCs w:val="20"/>
                <w:color w:val="auto"/>
              </w:rPr>
              <w:t>32*</w:t>
            </w:r>
          </w:p>
        </w:tc>
        <w:tc>
          <w:tcPr>
            <w:tcW w:w="9820" w:type="dxa"/>
            <w:vAlign w:val="bottom"/>
            <w:gridSpan w:val="4"/>
          </w:tcPr>
          <w:p>
            <w:pPr>
              <w:spacing w:after="0"/>
              <w:rPr>
                <w:rFonts w:ascii="Arial" w:cs="Arial" w:eastAsia="Arial" w:hAnsi="Arial"/>
                <w:sz w:val="20"/>
                <w:szCs w:val="20"/>
                <w:color w:val="0000FF"/>
                <w:w w:val="93"/>
              </w:rPr>
            </w:pPr>
            <w:hyperlink w:anchor="page82">
              <w:r>
                <w:rPr>
                  <w:rFonts w:ascii="Arial" w:cs="Arial" w:eastAsia="Arial" w:hAnsi="Arial"/>
                  <w:sz w:val="20"/>
                  <w:szCs w:val="20"/>
                  <w:color w:val="0000FF"/>
                  <w:w w:val="93"/>
                </w:rPr>
                <w:t>Certificate of Guillermo Novo, Chief Executive Officer of Ashland, and J. Kevin Willis, Chief Financial Officer of Ashland</w:t>
              </w:r>
            </w:hyperlink>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4720" w:type="dxa"/>
            <w:vAlign w:val="bottom"/>
            <w:gridSpan w:val="2"/>
            <w:shd w:val="clear" w:color="auto" w:fill="0000FF"/>
          </w:tcPr>
          <w:p>
            <w:pPr>
              <w:spacing w:after="0" w:line="20" w:lineRule="exact"/>
              <w:rPr>
                <w:sz w:val="1"/>
                <w:szCs w:val="1"/>
                <w:color w:val="auto"/>
              </w:rPr>
            </w:pPr>
          </w:p>
        </w:tc>
        <w:tc>
          <w:tcPr>
            <w:tcW w:w="5100" w:type="dxa"/>
            <w:vAlign w:val="bottom"/>
            <w:gridSpan w:val="2"/>
            <w:shd w:val="clear" w:color="auto" w:fill="0000FF"/>
          </w:tcPr>
          <w:p>
            <w:pPr>
              <w:spacing w:after="0" w:line="20" w:lineRule="exact"/>
              <w:rPr>
                <w:sz w:val="1"/>
                <w:szCs w:val="1"/>
                <w:color w:val="auto"/>
              </w:rPr>
            </w:pPr>
          </w:p>
        </w:tc>
      </w:tr>
      <w:tr>
        <w:trPr>
          <w:trHeight w:val="237"/>
        </w:trPr>
        <w:tc>
          <w:tcPr>
            <w:tcW w:w="1340" w:type="dxa"/>
            <w:vAlign w:val="bottom"/>
          </w:tcPr>
          <w:p>
            <w:pPr>
              <w:spacing w:after="0"/>
              <w:rPr>
                <w:sz w:val="20"/>
                <w:szCs w:val="20"/>
                <w:color w:val="auto"/>
              </w:rPr>
            </w:pPr>
          </w:p>
        </w:tc>
        <w:tc>
          <w:tcPr>
            <w:tcW w:w="9820" w:type="dxa"/>
            <w:vAlign w:val="bottom"/>
            <w:gridSpan w:val="4"/>
          </w:tcPr>
          <w:p>
            <w:pPr>
              <w:spacing w:after="0"/>
              <w:rPr>
                <w:rFonts w:ascii="Arial" w:cs="Arial" w:eastAsia="Arial" w:hAnsi="Arial"/>
                <w:sz w:val="20"/>
                <w:szCs w:val="20"/>
                <w:color w:val="0000FF"/>
              </w:rPr>
            </w:pPr>
            <w:hyperlink w:anchor="page82">
              <w:r>
                <w:rPr>
                  <w:rFonts w:ascii="Arial" w:cs="Arial" w:eastAsia="Arial" w:hAnsi="Arial"/>
                  <w:sz w:val="20"/>
                  <w:szCs w:val="20"/>
                  <w:color w:val="0000FF"/>
                </w:rPr>
                <w:t>pursuant to Section 906 of the Sarbanes-Oxley Act of 2002.</w:t>
              </w:r>
            </w:hyperlink>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4720" w:type="dxa"/>
            <w:vAlign w:val="bottom"/>
            <w:gridSpan w:val="2"/>
            <w:shd w:val="clear" w:color="auto" w:fill="0000FF"/>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r>
      <w:tr>
        <w:trPr>
          <w:trHeight w:val="592"/>
        </w:trPr>
        <w:tc>
          <w:tcPr>
            <w:tcW w:w="1340" w:type="dxa"/>
            <w:vAlign w:val="bottom"/>
          </w:tcPr>
          <w:p>
            <w:pPr>
              <w:spacing w:after="0"/>
              <w:rPr>
                <w:sz w:val="20"/>
                <w:szCs w:val="20"/>
                <w:color w:val="auto"/>
              </w:rPr>
            </w:pPr>
            <w:r>
              <w:rPr>
                <w:rFonts w:ascii="Arial" w:cs="Arial" w:eastAsia="Arial" w:hAnsi="Arial"/>
                <w:sz w:val="20"/>
                <w:szCs w:val="20"/>
                <w:color w:val="auto"/>
              </w:rPr>
              <w:t>101.INS**</w:t>
            </w:r>
          </w:p>
        </w:tc>
        <w:tc>
          <w:tcPr>
            <w:tcW w:w="9820" w:type="dxa"/>
            <w:vAlign w:val="bottom"/>
            <w:gridSpan w:val="4"/>
          </w:tcPr>
          <w:p>
            <w:pPr>
              <w:spacing w:after="0"/>
              <w:rPr>
                <w:sz w:val="20"/>
                <w:szCs w:val="20"/>
                <w:color w:val="auto"/>
              </w:rPr>
            </w:pPr>
            <w:r>
              <w:rPr>
                <w:rFonts w:ascii="Arial" w:cs="Arial" w:eastAsia="Arial" w:hAnsi="Arial"/>
                <w:sz w:val="20"/>
                <w:szCs w:val="20"/>
                <w:color w:val="auto"/>
              </w:rPr>
              <w:t>Inline XBRL Instance Document.</w:t>
            </w:r>
          </w:p>
        </w:tc>
      </w:tr>
      <w:tr>
        <w:trPr>
          <w:trHeight w:val="567"/>
        </w:trPr>
        <w:tc>
          <w:tcPr>
            <w:tcW w:w="1340" w:type="dxa"/>
            <w:vAlign w:val="bottom"/>
          </w:tcPr>
          <w:p>
            <w:pPr>
              <w:spacing w:after="0"/>
              <w:rPr>
                <w:sz w:val="20"/>
                <w:szCs w:val="20"/>
                <w:color w:val="auto"/>
              </w:rPr>
            </w:pPr>
            <w:r>
              <w:rPr>
                <w:rFonts w:ascii="Arial" w:cs="Arial" w:eastAsia="Arial" w:hAnsi="Arial"/>
                <w:sz w:val="20"/>
                <w:szCs w:val="20"/>
                <w:color w:val="auto"/>
              </w:rPr>
              <w:t>101.SCH**</w:t>
            </w:r>
          </w:p>
        </w:tc>
        <w:tc>
          <w:tcPr>
            <w:tcW w:w="9820" w:type="dxa"/>
            <w:vAlign w:val="bottom"/>
            <w:gridSpan w:val="4"/>
          </w:tcPr>
          <w:p>
            <w:pPr>
              <w:spacing w:after="0"/>
              <w:rPr>
                <w:sz w:val="20"/>
                <w:szCs w:val="20"/>
                <w:color w:val="auto"/>
              </w:rPr>
            </w:pPr>
            <w:r>
              <w:rPr>
                <w:rFonts w:ascii="Arial" w:cs="Arial" w:eastAsia="Arial" w:hAnsi="Arial"/>
                <w:sz w:val="20"/>
                <w:szCs w:val="20"/>
                <w:color w:val="auto"/>
              </w:rPr>
              <w:t>Inline XBRL Taxonomy Extension Schema Document.</w:t>
            </w:r>
          </w:p>
        </w:tc>
      </w:tr>
      <w:tr>
        <w:trPr>
          <w:trHeight w:val="567"/>
        </w:trPr>
        <w:tc>
          <w:tcPr>
            <w:tcW w:w="1340" w:type="dxa"/>
            <w:vAlign w:val="bottom"/>
          </w:tcPr>
          <w:p>
            <w:pPr>
              <w:spacing w:after="0"/>
              <w:rPr>
                <w:sz w:val="20"/>
                <w:szCs w:val="20"/>
                <w:color w:val="auto"/>
              </w:rPr>
            </w:pPr>
            <w:r>
              <w:rPr>
                <w:rFonts w:ascii="Arial" w:cs="Arial" w:eastAsia="Arial" w:hAnsi="Arial"/>
                <w:sz w:val="20"/>
                <w:szCs w:val="20"/>
                <w:color w:val="auto"/>
              </w:rPr>
              <w:t>101.CAL**</w:t>
            </w:r>
          </w:p>
        </w:tc>
        <w:tc>
          <w:tcPr>
            <w:tcW w:w="9820" w:type="dxa"/>
            <w:vAlign w:val="bottom"/>
            <w:gridSpan w:val="4"/>
          </w:tcPr>
          <w:p>
            <w:pPr>
              <w:spacing w:after="0"/>
              <w:rPr>
                <w:sz w:val="20"/>
                <w:szCs w:val="20"/>
                <w:color w:val="auto"/>
              </w:rPr>
            </w:pPr>
            <w:r>
              <w:rPr>
                <w:rFonts w:ascii="Arial" w:cs="Arial" w:eastAsia="Arial" w:hAnsi="Arial"/>
                <w:sz w:val="20"/>
                <w:szCs w:val="20"/>
                <w:color w:val="auto"/>
              </w:rPr>
              <w:t>Inline XBRL Taxonomy Extension Calculation Linkbase Document.</w:t>
            </w:r>
          </w:p>
        </w:tc>
      </w:tr>
      <w:tr>
        <w:trPr>
          <w:trHeight w:val="567"/>
        </w:trPr>
        <w:tc>
          <w:tcPr>
            <w:tcW w:w="1340" w:type="dxa"/>
            <w:vAlign w:val="bottom"/>
          </w:tcPr>
          <w:p>
            <w:pPr>
              <w:spacing w:after="0"/>
              <w:rPr>
                <w:sz w:val="20"/>
                <w:szCs w:val="20"/>
                <w:color w:val="auto"/>
              </w:rPr>
            </w:pPr>
            <w:r>
              <w:rPr>
                <w:rFonts w:ascii="Arial" w:cs="Arial" w:eastAsia="Arial" w:hAnsi="Arial"/>
                <w:sz w:val="20"/>
                <w:szCs w:val="20"/>
                <w:color w:val="auto"/>
              </w:rPr>
              <w:t>101.DEF**</w:t>
            </w:r>
          </w:p>
        </w:tc>
        <w:tc>
          <w:tcPr>
            <w:tcW w:w="9820" w:type="dxa"/>
            <w:vAlign w:val="bottom"/>
            <w:gridSpan w:val="4"/>
          </w:tcPr>
          <w:p>
            <w:pPr>
              <w:spacing w:after="0"/>
              <w:rPr>
                <w:sz w:val="20"/>
                <w:szCs w:val="20"/>
                <w:color w:val="auto"/>
              </w:rPr>
            </w:pPr>
            <w:r>
              <w:rPr>
                <w:rFonts w:ascii="Arial" w:cs="Arial" w:eastAsia="Arial" w:hAnsi="Arial"/>
                <w:sz w:val="20"/>
                <w:szCs w:val="20"/>
                <w:color w:val="auto"/>
              </w:rPr>
              <w:t>Inline XBRL Taxonomy Extension Definition Linkbase Document.</w:t>
            </w:r>
          </w:p>
        </w:tc>
      </w:tr>
      <w:tr>
        <w:trPr>
          <w:trHeight w:val="567"/>
        </w:trPr>
        <w:tc>
          <w:tcPr>
            <w:tcW w:w="1340" w:type="dxa"/>
            <w:vAlign w:val="bottom"/>
          </w:tcPr>
          <w:p>
            <w:pPr>
              <w:spacing w:after="0"/>
              <w:rPr>
                <w:sz w:val="20"/>
                <w:szCs w:val="20"/>
                <w:color w:val="auto"/>
              </w:rPr>
            </w:pPr>
            <w:r>
              <w:rPr>
                <w:rFonts w:ascii="Arial" w:cs="Arial" w:eastAsia="Arial" w:hAnsi="Arial"/>
                <w:sz w:val="20"/>
                <w:szCs w:val="20"/>
                <w:color w:val="auto"/>
              </w:rPr>
              <w:t>101.LAB**</w:t>
            </w:r>
          </w:p>
        </w:tc>
        <w:tc>
          <w:tcPr>
            <w:tcW w:w="9820" w:type="dxa"/>
            <w:vAlign w:val="bottom"/>
            <w:gridSpan w:val="4"/>
          </w:tcPr>
          <w:p>
            <w:pPr>
              <w:spacing w:after="0"/>
              <w:rPr>
                <w:sz w:val="20"/>
                <w:szCs w:val="20"/>
                <w:color w:val="auto"/>
              </w:rPr>
            </w:pPr>
            <w:r>
              <w:rPr>
                <w:rFonts w:ascii="Arial" w:cs="Arial" w:eastAsia="Arial" w:hAnsi="Arial"/>
                <w:sz w:val="20"/>
                <w:szCs w:val="20"/>
                <w:color w:val="auto"/>
              </w:rPr>
              <w:t>Inline XBRL Taxonomy Extension Label Linkbase Document.</w:t>
            </w:r>
          </w:p>
        </w:tc>
      </w:tr>
      <w:tr>
        <w:trPr>
          <w:trHeight w:val="567"/>
        </w:trPr>
        <w:tc>
          <w:tcPr>
            <w:tcW w:w="1340" w:type="dxa"/>
            <w:vAlign w:val="bottom"/>
          </w:tcPr>
          <w:p>
            <w:pPr>
              <w:spacing w:after="0"/>
              <w:rPr>
                <w:sz w:val="20"/>
                <w:szCs w:val="20"/>
                <w:color w:val="auto"/>
              </w:rPr>
            </w:pPr>
            <w:r>
              <w:rPr>
                <w:rFonts w:ascii="Arial" w:cs="Arial" w:eastAsia="Arial" w:hAnsi="Arial"/>
                <w:sz w:val="20"/>
                <w:szCs w:val="20"/>
                <w:color w:val="auto"/>
              </w:rPr>
              <w:t>101.PRE**</w:t>
            </w:r>
          </w:p>
        </w:tc>
        <w:tc>
          <w:tcPr>
            <w:tcW w:w="9820" w:type="dxa"/>
            <w:vAlign w:val="bottom"/>
            <w:gridSpan w:val="4"/>
          </w:tcPr>
          <w:p>
            <w:pPr>
              <w:spacing w:after="0"/>
              <w:rPr>
                <w:sz w:val="20"/>
                <w:szCs w:val="20"/>
                <w:color w:val="auto"/>
              </w:rPr>
            </w:pPr>
            <w:r>
              <w:rPr>
                <w:rFonts w:ascii="Arial" w:cs="Arial" w:eastAsia="Arial" w:hAnsi="Arial"/>
                <w:sz w:val="20"/>
                <w:szCs w:val="20"/>
                <w:color w:val="auto"/>
              </w:rPr>
              <w:t>Inline XBRL Taxonomy Extension Presentation Linkbase Document.</w:t>
            </w:r>
          </w:p>
        </w:tc>
      </w:tr>
    </w:tbl>
    <w:p>
      <w:pPr>
        <w:spacing w:after="0" w:line="317" w:lineRule="exact"/>
        <w:rPr>
          <w:sz w:val="20"/>
          <w:szCs w:val="20"/>
          <w:color w:val="auto"/>
        </w:rPr>
      </w:pPr>
    </w:p>
    <w:p>
      <w:pPr>
        <w:ind w:left="1340" w:hanging="1319"/>
        <w:spacing w:after="0"/>
        <w:tabs>
          <w:tab w:leader="none" w:pos="1340" w:val="left"/>
        </w:tabs>
        <w:numPr>
          <w:ilvl w:val="0"/>
          <w:numId w:val="29"/>
        </w:numPr>
        <w:rPr>
          <w:rFonts w:ascii="Arial" w:cs="Arial" w:eastAsia="Arial" w:hAnsi="Arial"/>
          <w:sz w:val="20"/>
          <w:szCs w:val="20"/>
          <w:color w:val="auto"/>
        </w:rPr>
      </w:pPr>
      <w:r>
        <w:rPr>
          <w:rFonts w:ascii="Arial" w:cs="Arial" w:eastAsia="Arial" w:hAnsi="Arial"/>
          <w:sz w:val="20"/>
          <w:szCs w:val="20"/>
          <w:color w:val="auto"/>
        </w:rPr>
        <w:t>Cover Page Interactive Data File (formatted as inline XBRL and contained in Exhibit 101).</w:t>
      </w:r>
    </w:p>
    <w:p>
      <w:pPr>
        <w:spacing w:after="0" w:line="200" w:lineRule="exact"/>
        <w:rPr>
          <w:rFonts w:ascii="Arial" w:cs="Arial" w:eastAsia="Arial" w:hAnsi="Arial"/>
          <w:sz w:val="20"/>
          <w:szCs w:val="20"/>
          <w:color w:val="auto"/>
        </w:rPr>
      </w:pPr>
    </w:p>
    <w:p>
      <w:pPr>
        <w:ind w:left="600"/>
        <w:spacing w:after="0"/>
        <w:rPr>
          <w:rFonts w:ascii="Arial" w:cs="Arial" w:eastAsia="Arial" w:hAnsi="Arial"/>
          <w:sz w:val="20"/>
          <w:szCs w:val="20"/>
          <w:color w:val="auto"/>
        </w:rPr>
      </w:pPr>
      <w:r>
        <w:rPr>
          <w:rFonts w:ascii="Arial" w:cs="Arial" w:eastAsia="Arial" w:hAnsi="Arial"/>
          <w:sz w:val="28"/>
          <w:szCs w:val="28"/>
          <w:color w:val="auto"/>
          <w:vertAlign w:val="superscript"/>
        </w:rPr>
        <w:t>*</w:t>
      </w:r>
      <w:r>
        <w:rPr>
          <w:rFonts w:ascii="Arial" w:cs="Arial" w:eastAsia="Arial" w:hAnsi="Arial"/>
          <w:sz w:val="13"/>
          <w:szCs w:val="13"/>
          <w:color w:val="auto"/>
        </w:rPr>
        <w:t>Filed herewith.</w:t>
      </w:r>
    </w:p>
    <w:p>
      <w:pPr>
        <w:jc w:val="both"/>
        <w:ind w:left="1220" w:hanging="618"/>
        <w:spacing w:after="0" w:line="278" w:lineRule="auto"/>
        <w:tabs>
          <w:tab w:leader="none" w:pos="1220" w:val="left"/>
        </w:tabs>
        <w:numPr>
          <w:ilvl w:val="1"/>
          <w:numId w:val="30"/>
        </w:numPr>
        <w:rPr>
          <w:rFonts w:ascii="Arial" w:cs="Arial" w:eastAsia="Arial" w:hAnsi="Arial"/>
          <w:sz w:val="13"/>
          <w:szCs w:val="13"/>
          <w:color w:val="auto"/>
        </w:rPr>
      </w:pPr>
      <w:r>
        <w:rPr>
          <w:rFonts w:ascii="Arial" w:cs="Arial" w:eastAsia="Arial" w:hAnsi="Arial"/>
          <w:sz w:val="13"/>
          <w:szCs w:val="13"/>
          <w:color w:val="auto"/>
        </w:rPr>
        <w:t>Attached as Exhibit 101 to this report are the following documents formatted in XBRL (Extensible Business Reporting Language): (i) Statements of Consolidated Comprehensive Income (Loss) for the three and nine months ended June 30, 2021 and June 30, 2020; (ii) Condensed Consolidated Balance Sheets at June 30, 2021 and September 30, 2020; (iii) Statements of Consolidated Equity at June 30, 2021; (iv) Statements of Condensed Consolidated Cash Flows for the nine months ended June 30,</w:t>
      </w:r>
    </w:p>
    <w:p>
      <w:pPr>
        <w:sectPr>
          <w:pgSz w:w="11900" w:h="16838" w:orient="portrait"/>
          <w:cols w:equalWidth="0" w:num="1">
            <w:col w:w="11220"/>
          </w:cols>
          <w:pgMar w:left="320" w:top="360" w:right="359" w:bottom="1440" w:gutter="0" w:footer="0" w:header="0"/>
        </w:sectPr>
      </w:pPr>
    </w:p>
    <w:p>
      <w:pPr>
        <w:spacing w:after="0" w:line="149" w:lineRule="exact"/>
        <w:rPr>
          <w:sz w:val="20"/>
          <w:szCs w:val="20"/>
          <w:color w:val="auto"/>
        </w:rPr>
      </w:pPr>
    </w:p>
    <w:p>
      <w:pPr>
        <w:ind w:left="600"/>
        <w:spacing w:after="0"/>
        <w:rPr>
          <w:sz w:val="20"/>
          <w:szCs w:val="20"/>
          <w:color w:val="auto"/>
        </w:rPr>
      </w:pPr>
      <w:r>
        <w:rPr>
          <w:rFonts w:ascii="Arial" w:cs="Arial" w:eastAsia="Arial" w:hAnsi="Arial"/>
          <w:sz w:val="8"/>
          <w:szCs w:val="8"/>
          <w:color w:val="auto"/>
        </w:rPr>
        <w:t>SM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2021 and June 30, 2020; and (v) Notes to Condensed Consolidated Financial Statements.</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Service mark, Ashland or its subsidiaries, registered in various countries.</w:t>
      </w:r>
    </w:p>
    <w:p>
      <w:pPr>
        <w:spacing w:after="0" w:line="69" w:lineRule="exact"/>
        <w:rPr>
          <w:sz w:val="20"/>
          <w:szCs w:val="20"/>
          <w:color w:val="auto"/>
        </w:rPr>
      </w:pPr>
    </w:p>
    <w:p>
      <w:pPr>
        <w:sectPr>
          <w:pgSz w:w="11900" w:h="16838" w:orient="portrait"/>
          <w:cols w:equalWidth="0" w:num="2">
            <w:col w:w="740" w:space="480"/>
            <w:col w:w="10000"/>
          </w:cols>
          <w:pgMar w:left="320" w:top="360" w:right="359" w:bottom="1440" w:gutter="0" w:footer="0" w:header="0"/>
          <w:type w:val="continuous"/>
        </w:sectPr>
      </w:pPr>
    </w:p>
    <w:p>
      <w:pPr>
        <w:ind w:left="1220" w:hanging="618"/>
        <w:spacing w:after="0"/>
        <w:tabs>
          <w:tab w:leader="none" w:pos="12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Trademark, Ashland or its subsidiaries, registered in various countries.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type w:val="continuous"/>
        </w:sectPr>
      </w:pPr>
    </w:p>
    <w:bookmarkStart w:id="68" w:name="page69"/>
    <w:bookmarkEnd w:id="68"/>
    <w:p>
      <w:pPr>
        <w:jc w:val="center"/>
        <w:ind w:right="300"/>
        <w:spacing w:after="0"/>
        <w:rPr>
          <w:sz w:val="20"/>
          <w:szCs w:val="20"/>
          <w:color w:val="auto"/>
        </w:rPr>
      </w:pPr>
      <w:r>
        <w:rPr>
          <w:rFonts w:ascii="Arial" w:cs="Arial" w:eastAsia="Arial" w:hAnsi="Arial"/>
          <w:sz w:val="20"/>
          <w:szCs w:val="20"/>
          <w:b w:val="1"/>
          <w:bCs w:val="1"/>
          <w:color w:val="auto"/>
        </w:rPr>
        <w:t>SIGNATURE</w:t>
      </w:r>
    </w:p>
    <w:p>
      <w:pPr>
        <w:spacing w:after="0" w:line="154" w:lineRule="exact"/>
        <w:rPr>
          <w:sz w:val="20"/>
          <w:szCs w:val="20"/>
          <w:color w:val="auto"/>
        </w:rPr>
      </w:pPr>
    </w:p>
    <w:p>
      <w:pPr>
        <w:ind w:left="80"/>
        <w:spacing w:after="0" w:line="288"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jc w:val="center"/>
        <w:ind w:left="5340"/>
        <w:spacing w:after="0"/>
        <w:rPr>
          <w:sz w:val="20"/>
          <w:szCs w:val="20"/>
          <w:color w:val="auto"/>
        </w:rPr>
      </w:pPr>
      <w:r>
        <w:rPr>
          <w:rFonts w:ascii="Arial" w:cs="Arial" w:eastAsia="Arial" w:hAnsi="Arial"/>
          <w:sz w:val="18"/>
          <w:szCs w:val="18"/>
          <w:color w:val="auto"/>
        </w:rPr>
        <w:t>Ashland Global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3388995</wp:posOffset>
            </wp:positionH>
            <wp:positionV relativeFrom="paragraph">
              <wp:posOffset>23495</wp:posOffset>
            </wp:positionV>
            <wp:extent cx="337756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6">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43" w:lineRule="exact"/>
        <w:rPr>
          <w:sz w:val="20"/>
          <w:szCs w:val="20"/>
          <w:color w:val="auto"/>
        </w:rPr>
      </w:pPr>
    </w:p>
    <w:p>
      <w:pPr>
        <w:jc w:val="center"/>
        <w:ind w:left="5340"/>
        <w:spacing w:after="0"/>
        <w:rPr>
          <w:sz w:val="20"/>
          <w:szCs w:val="20"/>
          <w:color w:val="auto"/>
        </w:rPr>
      </w:pPr>
      <w:r>
        <w:rPr>
          <w:rFonts w:ascii="Arial" w:cs="Arial" w:eastAsia="Arial" w:hAnsi="Arial"/>
          <w:sz w:val="18"/>
          <w:szCs w:val="18"/>
          <w:color w:val="auto"/>
        </w:rPr>
        <w:t>(Registrant)</w:t>
      </w:r>
    </w:p>
    <w:p>
      <w:pPr>
        <w:spacing w:after="0" w:line="50" w:lineRule="exact"/>
        <w:rPr>
          <w:sz w:val="20"/>
          <w:szCs w:val="20"/>
          <w:color w:val="auto"/>
        </w:rPr>
      </w:pPr>
    </w:p>
    <w:p>
      <w:pPr>
        <w:spacing w:after="0"/>
        <w:tabs>
          <w:tab w:leader="none" w:pos="5340" w:val="left"/>
        </w:tabs>
        <w:rPr>
          <w:sz w:val="20"/>
          <w:szCs w:val="20"/>
          <w:color w:val="auto"/>
        </w:rPr>
      </w:pPr>
      <w:r>
        <w:rPr>
          <w:rFonts w:ascii="Arial" w:cs="Arial" w:eastAsia="Arial" w:hAnsi="Arial"/>
          <w:sz w:val="18"/>
          <w:szCs w:val="18"/>
          <w:color w:val="auto"/>
        </w:rPr>
        <w:t>July 29, 2021</w:t>
      </w:r>
      <w:r>
        <w:rPr>
          <w:sz w:val="20"/>
          <w:szCs w:val="20"/>
          <w:color w:val="auto"/>
        </w:rPr>
        <w:tab/>
      </w:r>
      <w:r>
        <w:rPr>
          <w:rFonts w:ascii="Arial" w:cs="Arial" w:eastAsia="Arial" w:hAnsi="Arial"/>
          <w:sz w:val="17"/>
          <w:szCs w:val="17"/>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3388995</wp:posOffset>
            </wp:positionH>
            <wp:positionV relativeFrom="paragraph">
              <wp:posOffset>23495</wp:posOffset>
            </wp:positionV>
            <wp:extent cx="3377565"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7">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4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J. Kevin Willis</w:t>
      </w:r>
    </w:p>
    <w:p>
      <w:pPr>
        <w:spacing w:after="0" w:line="5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(on behalf of the Registrant and as principal</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financial officer)</w:t>
      </w:r>
    </w:p>
    <w:p>
      <w:pPr>
        <w:spacing w:after="0" w:line="373"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70485</wp:posOffset>
            </wp:positionV>
            <wp:extent cx="7157720" cy="425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387"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22"/>
          <w:szCs w:val="22"/>
          <w:b w:val="1"/>
          <w:bCs w:val="1"/>
          <w:color w:val="auto"/>
        </w:rPr>
        <w:t>EXHIBIT 2.2</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29 April 2021</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SCHÜLKE &amp; MAYR GMBH</w:t>
      </w:r>
    </w:p>
    <w:p>
      <w:pPr>
        <w:spacing w:after="0" w:line="14"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 xml:space="preserve">as </w:t>
      </w:r>
      <w:r>
        <w:rPr>
          <w:rFonts w:ascii="Arial" w:cs="Arial" w:eastAsia="Arial" w:hAnsi="Arial"/>
          <w:sz w:val="22"/>
          <w:szCs w:val="22"/>
          <w:b w:val="1"/>
          <w:bCs w:val="1"/>
          <w:i w:val="1"/>
          <w:iCs w:val="1"/>
          <w:color w:val="auto"/>
        </w:rPr>
        <w:t>Seller</w:t>
      </w:r>
    </w:p>
    <w:p>
      <w:pPr>
        <w:spacing w:after="0" w:line="398"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ASHLAND SPECIALTIES DEUTSCHLAND GMBH</w:t>
      </w:r>
    </w:p>
    <w:p>
      <w:pPr>
        <w:spacing w:after="0" w:line="14"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 xml:space="preserve">as </w:t>
      </w:r>
      <w:r>
        <w:rPr>
          <w:rFonts w:ascii="Arial" w:cs="Arial" w:eastAsia="Arial" w:hAnsi="Arial"/>
          <w:sz w:val="22"/>
          <w:szCs w:val="22"/>
          <w:b w:val="1"/>
          <w:bCs w:val="1"/>
          <w:i w:val="1"/>
          <w:iCs w:val="1"/>
          <w:color w:val="auto"/>
        </w:rPr>
        <w:t>Purchaser</w:t>
      </w:r>
    </w:p>
    <w:p>
      <w:pPr>
        <w:spacing w:after="0" w:line="398"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ASHLAND INDUSTRIES EUROPE GMBH</w:t>
      </w:r>
    </w:p>
    <w:p>
      <w:pPr>
        <w:spacing w:after="0" w:line="14"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 xml:space="preserve">as </w:t>
      </w:r>
      <w:r>
        <w:rPr>
          <w:rFonts w:ascii="Arial" w:cs="Arial" w:eastAsia="Arial" w:hAnsi="Arial"/>
          <w:sz w:val="22"/>
          <w:szCs w:val="22"/>
          <w:b w:val="1"/>
          <w:bCs w:val="1"/>
          <w:i w:val="1"/>
          <w:iCs w:val="1"/>
          <w:color w:val="auto"/>
        </w:rPr>
        <w:t>Purchaser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835660</wp:posOffset>
            </wp:positionV>
            <wp:extent cx="4989195"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9">
                      <a:extLst>
                        <a:ext uri="{28A0092B-C50C-407E-A947-70E740481C1C}"/>
                      </a:extLst>
                    </a:blip>
                    <a:srcRect/>
                    <a:stretch>
                      <a:fillRect/>
                    </a:stretch>
                  </pic:blipFill>
                  <pic:spPr bwMode="auto">
                    <a:xfrm>
                      <a:off x="0" y="0"/>
                      <a:ext cx="4989195"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852805</wp:posOffset>
            </wp:positionV>
            <wp:extent cx="498919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0">
                      <a:extLst>
                        <a:ext uri="{28A0092B-C50C-407E-A947-70E740481C1C}"/>
                      </a:extLst>
                    </a:blip>
                    <a:srcRect/>
                    <a:stretch>
                      <a:fillRect/>
                    </a:stretch>
                  </pic:blipFill>
                  <pic:spPr bwMode="auto">
                    <a:xfrm>
                      <a:off x="0" y="0"/>
                      <a:ext cx="4989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220"/>
        <w:spacing w:after="0"/>
        <w:rPr>
          <w:sz w:val="20"/>
          <w:szCs w:val="20"/>
          <w:color w:val="auto"/>
        </w:rPr>
      </w:pPr>
      <w:r>
        <w:rPr>
          <w:rFonts w:ascii="Arial" w:cs="Arial" w:eastAsia="Arial" w:hAnsi="Arial"/>
          <w:sz w:val="22"/>
          <w:szCs w:val="22"/>
          <w:b w:val="1"/>
          <w:bCs w:val="1"/>
          <w:color w:val="auto"/>
        </w:rPr>
        <w:t>AMENDMENT AGREEMENT</w:t>
      </w:r>
    </w:p>
    <w:p>
      <w:pPr>
        <w:spacing w:after="0" w:line="158"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to the</w:t>
      </w:r>
    </w:p>
    <w:p>
      <w:pPr>
        <w:spacing w:after="0" w:line="146" w:lineRule="exact"/>
        <w:rPr>
          <w:sz w:val="20"/>
          <w:szCs w:val="20"/>
          <w:color w:val="auto"/>
        </w:rPr>
      </w:pPr>
    </w:p>
    <w:p>
      <w:pPr>
        <w:ind w:left="2500"/>
        <w:spacing w:after="0"/>
        <w:rPr>
          <w:sz w:val="20"/>
          <w:szCs w:val="20"/>
          <w:color w:val="auto"/>
        </w:rPr>
      </w:pPr>
      <w:r>
        <w:rPr>
          <w:rFonts w:ascii="Arial" w:cs="Arial" w:eastAsia="Arial" w:hAnsi="Arial"/>
          <w:sz w:val="22"/>
          <w:szCs w:val="22"/>
          <w:b w:val="1"/>
          <w:bCs w:val="1"/>
          <w:color w:val="auto"/>
        </w:rPr>
        <w:t>MASTER ASSET PURCHASE AGREEMENT</w:t>
      </w:r>
    </w:p>
    <w:p>
      <w:pPr>
        <w:spacing w:after="0" w:line="14"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regarding the acquisition of the Personal Care Business of Schülke &amp; Mayr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235585</wp:posOffset>
            </wp:positionV>
            <wp:extent cx="4989195"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1">
                      <a:extLst>
                        <a:ext uri="{28A0092B-C50C-407E-A947-70E740481C1C}"/>
                      </a:extLst>
                    </a:blip>
                    <a:srcRect/>
                    <a:stretch>
                      <a:fillRect/>
                    </a:stretch>
                  </pic:blipFill>
                  <pic:spPr bwMode="auto">
                    <a:xfrm>
                      <a:off x="0" y="0"/>
                      <a:ext cx="4989195"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252730</wp:posOffset>
            </wp:positionV>
            <wp:extent cx="4989195"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2">
                      <a:extLst>
                        <a:ext uri="{28A0092B-C50C-407E-A947-70E740481C1C}"/>
                      </a:extLst>
                    </a:blip>
                    <a:srcRect/>
                    <a:stretch>
                      <a:fillRect/>
                    </a:stretch>
                  </pic:blipFill>
                  <pic:spPr bwMode="auto">
                    <a:xfrm>
                      <a:off x="0" y="0"/>
                      <a:ext cx="4989195" cy="889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1174750</wp:posOffset>
            </wp:positionV>
            <wp:extent cx="7157720" cy="425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793115</wp:posOffset>
            </wp:positionV>
            <wp:extent cx="3265805" cy="3257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4">
                      <a:extLst>
                        <a:ext uri="{28A0092B-C50C-407E-A947-70E740481C1C}"/>
                      </a:extLst>
                    </a:blip>
                    <a:srcRect/>
                    <a:stretch>
                      <a:fillRect/>
                    </a:stretch>
                  </pic:blipFill>
                  <pic:spPr bwMode="auto">
                    <a:xfrm>
                      <a:off x="0" y="0"/>
                      <a:ext cx="3265805" cy="325755"/>
                    </a:xfrm>
                    <a:prstGeom prst="rect">
                      <a:avLst/>
                    </a:prstGeom>
                    <a:noFill/>
                  </pic:spPr>
                </pic:pic>
              </a:graphicData>
            </a:graphic>
          </wp:anchor>
        </w:drawing>
      </w:r>
    </w:p>
    <w:p>
      <w:pPr>
        <w:sectPr>
          <w:pgSz w:w="11900" w:h="16838" w:orient="portrait"/>
          <w:cols w:equalWidth="0" w:num="1">
            <w:col w:w="10120"/>
          </w:cols>
          <w:pgMar w:left="1440" w:top="342"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74"/>
        </w:trPr>
        <w:tc>
          <w:tcPr>
            <w:tcW w:w="6840" w:type="dxa"/>
            <w:vAlign w:val="bottom"/>
            <w:gridSpan w:val="2"/>
          </w:tcPr>
          <w:p>
            <w:pPr>
              <w:ind w:left="20"/>
              <w:spacing w:after="0"/>
              <w:rPr>
                <w:sz w:val="20"/>
                <w:szCs w:val="20"/>
                <w:color w:val="auto"/>
              </w:rPr>
            </w:pPr>
            <w:r>
              <w:rPr>
                <w:rFonts w:ascii="Arial" w:cs="Arial" w:eastAsia="Arial" w:hAnsi="Arial"/>
                <w:sz w:val="22"/>
                <w:szCs w:val="22"/>
                <w:color w:val="auto"/>
              </w:rPr>
              <w:t>1. Amendments to the MAPA</w:t>
            </w:r>
          </w:p>
        </w:tc>
        <w:tc>
          <w:tcPr>
            <w:tcW w:w="4400" w:type="dxa"/>
            <w:vAlign w:val="bottom"/>
          </w:tcPr>
          <w:p>
            <w:pPr>
              <w:jc w:val="right"/>
              <w:ind w:right="32"/>
              <w:spacing w:after="0"/>
              <w:rPr>
                <w:sz w:val="20"/>
                <w:szCs w:val="20"/>
                <w:color w:val="auto"/>
              </w:rPr>
            </w:pPr>
            <w:r>
              <w:rPr>
                <w:rFonts w:ascii="Arial" w:cs="Arial" w:eastAsia="Arial" w:hAnsi="Arial"/>
                <w:sz w:val="22"/>
                <w:szCs w:val="22"/>
                <w:color w:val="auto"/>
              </w:rPr>
              <w:t>1</w:t>
            </w:r>
          </w:p>
        </w:tc>
      </w:tr>
      <w:tr>
        <w:trPr>
          <w:trHeight w:val="405"/>
        </w:trPr>
        <w:tc>
          <w:tcPr>
            <w:tcW w:w="220" w:type="dxa"/>
            <w:vAlign w:val="bottom"/>
          </w:tcPr>
          <w:p>
            <w:pPr>
              <w:ind w:left="20"/>
              <w:spacing w:after="0"/>
              <w:rPr>
                <w:sz w:val="20"/>
                <w:szCs w:val="20"/>
                <w:color w:val="auto"/>
              </w:rPr>
            </w:pPr>
            <w:r>
              <w:rPr>
                <w:rFonts w:ascii="Arial" w:cs="Arial" w:eastAsia="Arial" w:hAnsi="Arial"/>
                <w:sz w:val="22"/>
                <w:szCs w:val="22"/>
                <w:color w:val="auto"/>
                <w:w w:val="97"/>
              </w:rPr>
              <w:t>2.</w:t>
            </w:r>
          </w:p>
        </w:tc>
        <w:tc>
          <w:tcPr>
            <w:tcW w:w="6620" w:type="dxa"/>
            <w:vAlign w:val="bottom"/>
          </w:tcPr>
          <w:p>
            <w:pPr>
              <w:ind w:left="20"/>
              <w:spacing w:after="0"/>
              <w:rPr>
                <w:sz w:val="20"/>
                <w:szCs w:val="20"/>
                <w:color w:val="auto"/>
              </w:rPr>
            </w:pPr>
            <w:r>
              <w:rPr>
                <w:rFonts w:ascii="Arial" w:cs="Arial" w:eastAsia="Arial" w:hAnsi="Arial"/>
                <w:sz w:val="22"/>
                <w:szCs w:val="22"/>
                <w:color w:val="auto"/>
              </w:rPr>
              <w:t>Scope of Amendment</w:t>
            </w:r>
          </w:p>
        </w:tc>
        <w:tc>
          <w:tcPr>
            <w:tcW w:w="4400" w:type="dxa"/>
            <w:vAlign w:val="bottom"/>
          </w:tcPr>
          <w:p>
            <w:pPr>
              <w:jc w:val="right"/>
              <w:ind w:right="32"/>
              <w:spacing w:after="0"/>
              <w:rPr>
                <w:sz w:val="20"/>
                <w:szCs w:val="20"/>
                <w:color w:val="auto"/>
              </w:rPr>
            </w:pPr>
            <w:r>
              <w:rPr>
                <w:rFonts w:ascii="Arial" w:cs="Arial" w:eastAsia="Arial" w:hAnsi="Arial"/>
                <w:sz w:val="22"/>
                <w:szCs w:val="22"/>
                <w:color w:val="auto"/>
              </w:rPr>
              <w:t>4</w:t>
            </w:r>
          </w:p>
        </w:tc>
      </w:tr>
      <w:tr>
        <w:trPr>
          <w:trHeight w:val="405"/>
        </w:trPr>
        <w:tc>
          <w:tcPr>
            <w:tcW w:w="220" w:type="dxa"/>
            <w:vAlign w:val="bottom"/>
          </w:tcPr>
          <w:p>
            <w:pPr>
              <w:ind w:left="20"/>
              <w:spacing w:after="0"/>
              <w:rPr>
                <w:sz w:val="20"/>
                <w:szCs w:val="20"/>
                <w:color w:val="auto"/>
              </w:rPr>
            </w:pPr>
            <w:r>
              <w:rPr>
                <w:rFonts w:ascii="Arial" w:cs="Arial" w:eastAsia="Arial" w:hAnsi="Arial"/>
                <w:sz w:val="22"/>
                <w:szCs w:val="22"/>
                <w:color w:val="auto"/>
                <w:w w:val="97"/>
              </w:rPr>
              <w:t>3.</w:t>
            </w:r>
          </w:p>
        </w:tc>
        <w:tc>
          <w:tcPr>
            <w:tcW w:w="6620" w:type="dxa"/>
            <w:vAlign w:val="bottom"/>
          </w:tcPr>
          <w:p>
            <w:pPr>
              <w:ind w:left="20"/>
              <w:spacing w:after="0"/>
              <w:rPr>
                <w:sz w:val="20"/>
                <w:szCs w:val="20"/>
                <w:color w:val="auto"/>
              </w:rPr>
            </w:pPr>
            <w:r>
              <w:rPr>
                <w:rFonts w:ascii="Arial" w:cs="Arial" w:eastAsia="Arial" w:hAnsi="Arial"/>
                <w:sz w:val="22"/>
                <w:szCs w:val="22"/>
                <w:color w:val="auto"/>
              </w:rPr>
              <w:t>Relationship to MAPA</w:t>
            </w:r>
          </w:p>
        </w:tc>
        <w:tc>
          <w:tcPr>
            <w:tcW w:w="4400" w:type="dxa"/>
            <w:vAlign w:val="bottom"/>
          </w:tcPr>
          <w:p>
            <w:pPr>
              <w:jc w:val="right"/>
              <w:ind w:right="32"/>
              <w:spacing w:after="0"/>
              <w:rPr>
                <w:sz w:val="20"/>
                <w:szCs w:val="20"/>
                <w:color w:val="auto"/>
              </w:rPr>
            </w:pPr>
            <w:r>
              <w:rPr>
                <w:rFonts w:ascii="Arial" w:cs="Arial" w:eastAsia="Arial" w:hAnsi="Arial"/>
                <w:sz w:val="22"/>
                <w:szCs w:val="22"/>
                <w:color w:val="auto"/>
              </w:rPr>
              <w:t>4</w:t>
            </w:r>
          </w:p>
        </w:tc>
      </w:tr>
      <w:tr>
        <w:trPr>
          <w:trHeight w:val="405"/>
        </w:trPr>
        <w:tc>
          <w:tcPr>
            <w:tcW w:w="220" w:type="dxa"/>
            <w:vAlign w:val="bottom"/>
          </w:tcPr>
          <w:p>
            <w:pPr>
              <w:ind w:left="20"/>
              <w:spacing w:after="0"/>
              <w:rPr>
                <w:sz w:val="20"/>
                <w:szCs w:val="20"/>
                <w:color w:val="auto"/>
              </w:rPr>
            </w:pPr>
            <w:r>
              <w:rPr>
                <w:rFonts w:ascii="Arial" w:cs="Arial" w:eastAsia="Arial" w:hAnsi="Arial"/>
                <w:sz w:val="22"/>
                <w:szCs w:val="22"/>
                <w:color w:val="auto"/>
                <w:w w:val="97"/>
              </w:rPr>
              <w:t>4.</w:t>
            </w:r>
          </w:p>
        </w:tc>
        <w:tc>
          <w:tcPr>
            <w:tcW w:w="6620" w:type="dxa"/>
            <w:vAlign w:val="bottom"/>
          </w:tcPr>
          <w:p>
            <w:pPr>
              <w:ind w:left="20"/>
              <w:spacing w:after="0"/>
              <w:rPr>
                <w:sz w:val="20"/>
                <w:szCs w:val="20"/>
                <w:color w:val="auto"/>
              </w:rPr>
            </w:pPr>
            <w:r>
              <w:rPr>
                <w:rFonts w:ascii="Arial" w:cs="Arial" w:eastAsia="Arial" w:hAnsi="Arial"/>
                <w:sz w:val="22"/>
                <w:szCs w:val="22"/>
                <w:color w:val="auto"/>
              </w:rPr>
              <w:t>Continuing Effect of MAPA</w:t>
            </w:r>
          </w:p>
        </w:tc>
        <w:tc>
          <w:tcPr>
            <w:tcW w:w="4400" w:type="dxa"/>
            <w:vAlign w:val="bottom"/>
          </w:tcPr>
          <w:p>
            <w:pPr>
              <w:jc w:val="right"/>
              <w:ind w:right="32"/>
              <w:spacing w:after="0"/>
              <w:rPr>
                <w:sz w:val="20"/>
                <w:szCs w:val="20"/>
                <w:color w:val="auto"/>
              </w:rPr>
            </w:pPr>
            <w:r>
              <w:rPr>
                <w:rFonts w:ascii="Arial" w:cs="Arial" w:eastAsia="Arial" w:hAnsi="Arial"/>
                <w:sz w:val="22"/>
                <w:szCs w:val="22"/>
                <w:color w:val="auto"/>
              </w:rPr>
              <w:t>4</w:t>
            </w:r>
          </w:p>
        </w:tc>
      </w:tr>
      <w:tr>
        <w:trPr>
          <w:trHeight w:val="405"/>
        </w:trPr>
        <w:tc>
          <w:tcPr>
            <w:tcW w:w="220" w:type="dxa"/>
            <w:vAlign w:val="bottom"/>
          </w:tcPr>
          <w:p>
            <w:pPr>
              <w:ind w:left="20"/>
              <w:spacing w:after="0"/>
              <w:rPr>
                <w:sz w:val="20"/>
                <w:szCs w:val="20"/>
                <w:color w:val="auto"/>
              </w:rPr>
            </w:pPr>
            <w:r>
              <w:rPr>
                <w:rFonts w:ascii="Arial" w:cs="Arial" w:eastAsia="Arial" w:hAnsi="Arial"/>
                <w:sz w:val="22"/>
                <w:szCs w:val="22"/>
                <w:color w:val="auto"/>
                <w:w w:val="97"/>
              </w:rPr>
              <w:t>5.</w:t>
            </w:r>
          </w:p>
        </w:tc>
        <w:tc>
          <w:tcPr>
            <w:tcW w:w="6620" w:type="dxa"/>
            <w:vAlign w:val="bottom"/>
          </w:tcPr>
          <w:p>
            <w:pPr>
              <w:ind w:left="20"/>
              <w:spacing w:after="0"/>
              <w:rPr>
                <w:sz w:val="20"/>
                <w:szCs w:val="20"/>
                <w:color w:val="auto"/>
              </w:rPr>
            </w:pPr>
            <w:r>
              <w:rPr>
                <w:rFonts w:ascii="Arial" w:cs="Arial" w:eastAsia="Arial" w:hAnsi="Arial"/>
                <w:sz w:val="22"/>
                <w:szCs w:val="22"/>
                <w:color w:val="auto"/>
              </w:rPr>
              <w:t>Miscellaneous</w:t>
            </w:r>
          </w:p>
        </w:tc>
        <w:tc>
          <w:tcPr>
            <w:tcW w:w="4400" w:type="dxa"/>
            <w:vAlign w:val="bottom"/>
          </w:tcPr>
          <w:p>
            <w:pPr>
              <w:jc w:val="right"/>
              <w:ind w:right="32"/>
              <w:spacing w:after="0"/>
              <w:rPr>
                <w:sz w:val="20"/>
                <w:szCs w:val="20"/>
                <w:color w:val="auto"/>
              </w:rPr>
            </w:pPr>
            <w:r>
              <w:rPr>
                <w:rFonts w:ascii="Arial" w:cs="Arial" w:eastAsia="Arial" w:hAnsi="Arial"/>
                <w:sz w:val="22"/>
                <w:szCs w:val="22"/>
                <w:color w:val="auto"/>
              </w:rPr>
              <w:t>4</w:t>
            </w:r>
          </w:p>
        </w:tc>
      </w:tr>
      <w:tr>
        <w:trPr>
          <w:trHeight w:val="861"/>
        </w:trPr>
        <w:tc>
          <w:tcPr>
            <w:tcW w:w="220" w:type="dxa"/>
            <w:vAlign w:val="bottom"/>
            <w:tcBorders>
              <w:bottom w:val="single" w:sz="8" w:color="9A9A9A"/>
            </w:tcBorders>
          </w:tcPr>
          <w:p>
            <w:pPr>
              <w:spacing w:after="0"/>
              <w:rPr>
                <w:sz w:val="24"/>
                <w:szCs w:val="24"/>
                <w:color w:val="auto"/>
              </w:rPr>
            </w:pPr>
          </w:p>
        </w:tc>
        <w:tc>
          <w:tcPr>
            <w:tcW w:w="662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5" w:right="339" w:bottom="1440" w:gutter="0" w:footer="0" w:header="0"/>
        </w:sectPr>
      </w:pPr>
    </w:p>
    <w:bookmarkStart w:id="71" w:name="page72"/>
    <w:bookmarkEnd w:id="71"/>
    <w:p>
      <w:pPr>
        <w:spacing w:after="0"/>
        <w:rPr>
          <w:sz w:val="20"/>
          <w:szCs w:val="20"/>
          <w:color w:val="auto"/>
        </w:rPr>
      </w:pPr>
      <w:r>
        <w:rPr>
          <w:rFonts w:ascii="Arial" w:cs="Arial" w:eastAsia="Arial" w:hAnsi="Arial"/>
          <w:sz w:val="22"/>
          <w:szCs w:val="22"/>
          <w:b w:val="1"/>
          <w:bCs w:val="1"/>
          <w:color w:val="auto"/>
        </w:rPr>
        <w:t xml:space="preserve">THIS AMENDMENT AGREEMENT </w:t>
      </w:r>
      <w:r>
        <w:rPr>
          <w:rFonts w:ascii="Arial" w:cs="Arial" w:eastAsia="Arial" w:hAnsi="Arial"/>
          <w:sz w:val="22"/>
          <w:szCs w:val="22"/>
          <w:color w:val="auto"/>
        </w:rPr>
        <w:t>is dated 29 April 2021</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BY </w:t>
      </w:r>
      <w:r>
        <w:rPr>
          <w:rFonts w:ascii="Arial" w:cs="Arial" w:eastAsia="Arial" w:hAnsi="Arial"/>
          <w:sz w:val="22"/>
          <w:szCs w:val="22"/>
          <w:color w:val="auto"/>
        </w:rPr>
        <w:t>and</w:t>
      </w:r>
      <w:r>
        <w:rPr>
          <w:rFonts w:ascii="Arial" w:cs="Arial" w:eastAsia="Arial" w:hAnsi="Arial"/>
          <w:sz w:val="22"/>
          <w:szCs w:val="22"/>
          <w:b w:val="1"/>
          <w:bCs w:val="1"/>
          <w:color w:val="auto"/>
        </w:rPr>
        <w:t xml:space="preserve"> BETWEEN</w:t>
      </w:r>
      <w:r>
        <w:rPr>
          <w:rFonts w:ascii="Arial" w:cs="Arial" w:eastAsia="Arial" w:hAnsi="Arial"/>
          <w:sz w:val="22"/>
          <w:szCs w:val="22"/>
          <w:color w:val="auto"/>
        </w:rPr>
        <w:t>:</w:t>
      </w:r>
    </w:p>
    <w:p>
      <w:pPr>
        <w:spacing w:after="0" w:line="152" w:lineRule="exact"/>
        <w:rPr>
          <w:sz w:val="20"/>
          <w:szCs w:val="20"/>
          <w:color w:val="auto"/>
        </w:rPr>
      </w:pPr>
    </w:p>
    <w:p>
      <w:pPr>
        <w:ind w:left="760" w:hanging="752"/>
        <w:spacing w:after="0" w:line="256" w:lineRule="auto"/>
        <w:tabs>
          <w:tab w:leader="none" w:pos="331" w:val="left"/>
        </w:tabs>
        <w:numPr>
          <w:ilvl w:val="0"/>
          <w:numId w:val="32"/>
        </w:numPr>
        <w:rPr>
          <w:rFonts w:ascii="Arial" w:cs="Arial" w:eastAsia="Arial" w:hAnsi="Arial"/>
          <w:sz w:val="22"/>
          <w:szCs w:val="22"/>
          <w:color w:val="auto"/>
        </w:rPr>
      </w:pPr>
      <w:r>
        <w:rPr>
          <w:rFonts w:ascii="Arial" w:cs="Arial" w:eastAsia="Arial" w:hAnsi="Arial"/>
          <w:sz w:val="22"/>
          <w:szCs w:val="22"/>
          <w:b w:val="1"/>
          <w:bCs w:val="1"/>
          <w:color w:val="auto"/>
        </w:rPr>
        <w:t>SCHÜLKE &amp; MAYR GMBH</w:t>
      </w:r>
      <w:r>
        <w:rPr>
          <w:rFonts w:ascii="Arial" w:cs="Arial" w:eastAsia="Arial" w:hAnsi="Arial"/>
          <w:sz w:val="22"/>
          <w:szCs w:val="22"/>
          <w:color w:val="auto"/>
        </w:rPr>
        <w:t>, Robert-Koch-Str. 2, 22851 Norderstedt, Germany, registered in the commercial register of</w:t>
      </w:r>
      <w:r>
        <w:rPr>
          <w:rFonts w:ascii="Arial" w:cs="Arial" w:eastAsia="Arial" w:hAnsi="Arial"/>
          <w:sz w:val="22"/>
          <w:szCs w:val="22"/>
          <w:b w:val="1"/>
          <w:bCs w:val="1"/>
          <w:color w:val="auto"/>
        </w:rPr>
        <w:t xml:space="preserve"> </w:t>
      </w:r>
      <w:r>
        <w:rPr>
          <w:rFonts w:ascii="Arial" w:cs="Arial" w:eastAsia="Arial" w:hAnsi="Arial"/>
          <w:sz w:val="22"/>
          <w:szCs w:val="22"/>
          <w:color w:val="auto"/>
        </w:rPr>
        <w:t>the local court of Kiel under number HRB 3821 NO (</w:t>
      </w:r>
      <w:r>
        <w:rPr>
          <w:rFonts w:ascii="Arial" w:cs="Arial" w:eastAsia="Arial" w:hAnsi="Arial"/>
          <w:sz w:val="22"/>
          <w:szCs w:val="22"/>
          <w:b w:val="1"/>
          <w:bCs w:val="1"/>
          <w:i w:val="1"/>
          <w:iCs w:val="1"/>
          <w:color w:val="auto"/>
        </w:rPr>
        <w:t>Seller</w:t>
      </w:r>
      <w:r>
        <w:rPr>
          <w:rFonts w:ascii="Arial" w:cs="Arial" w:eastAsia="Arial" w:hAnsi="Arial"/>
          <w:sz w:val="22"/>
          <w:szCs w:val="22"/>
          <w:color w:val="auto"/>
        </w:rPr>
        <w:t>);</w:t>
      </w:r>
    </w:p>
    <w:p>
      <w:pPr>
        <w:spacing w:after="0" w:line="108" w:lineRule="exact"/>
        <w:rPr>
          <w:rFonts w:ascii="Arial" w:cs="Arial" w:eastAsia="Arial" w:hAnsi="Arial"/>
          <w:sz w:val="22"/>
          <w:szCs w:val="22"/>
          <w:color w:val="auto"/>
        </w:rPr>
      </w:pPr>
    </w:p>
    <w:p>
      <w:pPr>
        <w:ind w:left="760" w:hanging="752"/>
        <w:spacing w:after="0" w:line="243" w:lineRule="auto"/>
        <w:tabs>
          <w:tab w:leader="none" w:pos="317" w:val="left"/>
        </w:tabs>
        <w:numPr>
          <w:ilvl w:val="0"/>
          <w:numId w:val="32"/>
        </w:numPr>
        <w:rPr>
          <w:rFonts w:ascii="Arial" w:cs="Arial" w:eastAsia="Arial" w:hAnsi="Arial"/>
          <w:sz w:val="22"/>
          <w:szCs w:val="22"/>
          <w:color w:val="auto"/>
        </w:rPr>
      </w:pPr>
      <w:r>
        <w:rPr>
          <w:rFonts w:ascii="Arial" w:cs="Arial" w:eastAsia="Arial" w:hAnsi="Arial"/>
          <w:sz w:val="22"/>
          <w:szCs w:val="22"/>
          <w:b w:val="1"/>
          <w:bCs w:val="1"/>
          <w:color w:val="auto"/>
        </w:rPr>
        <w:t xml:space="preserve">ASHLAND SEPCIALITIES DEUTSCHLAND GMBH </w:t>
      </w:r>
      <w:r>
        <w:rPr>
          <w:rFonts w:ascii="Arial" w:cs="Arial" w:eastAsia="Arial" w:hAnsi="Arial"/>
          <w:sz w:val="22"/>
          <w:szCs w:val="22"/>
          <w:color w:val="auto"/>
        </w:rPr>
        <w:t>(formerly ISP MARL HOLDINGS GMBH), Paul-Thomas-Straße</w:t>
      </w:r>
      <w:r>
        <w:rPr>
          <w:rFonts w:ascii="Arial" w:cs="Arial" w:eastAsia="Arial" w:hAnsi="Arial"/>
          <w:sz w:val="22"/>
          <w:szCs w:val="22"/>
          <w:b w:val="1"/>
          <w:bCs w:val="1"/>
          <w:color w:val="auto"/>
        </w:rPr>
        <w:t xml:space="preserve"> </w:t>
      </w:r>
      <w:r>
        <w:rPr>
          <w:rFonts w:ascii="Arial" w:cs="Arial" w:eastAsia="Arial" w:hAnsi="Arial"/>
          <w:sz w:val="22"/>
          <w:szCs w:val="22"/>
          <w:color w:val="auto"/>
        </w:rPr>
        <w:t>56-58, 40599 Düsseldorf, Germany, registered in the commercial register of the local court of Gelsenkirchen under number HRB 5716 (</w:t>
      </w:r>
      <w:r>
        <w:rPr>
          <w:rFonts w:ascii="Arial" w:cs="Arial" w:eastAsia="Arial" w:hAnsi="Arial"/>
          <w:sz w:val="22"/>
          <w:szCs w:val="22"/>
          <w:b w:val="1"/>
          <w:bCs w:val="1"/>
          <w:i w:val="1"/>
          <w:iCs w:val="1"/>
          <w:color w:val="auto"/>
        </w:rPr>
        <w:t>Purchaser</w:t>
      </w:r>
      <w:r>
        <w:rPr>
          <w:rFonts w:ascii="Arial" w:cs="Arial" w:eastAsia="Arial" w:hAnsi="Arial"/>
          <w:sz w:val="22"/>
          <w:szCs w:val="22"/>
          <w:color w:val="auto"/>
        </w:rPr>
        <w:t>); and</w:t>
      </w:r>
    </w:p>
    <w:p>
      <w:pPr>
        <w:spacing w:after="0" w:line="122" w:lineRule="exact"/>
        <w:rPr>
          <w:rFonts w:ascii="Arial" w:cs="Arial" w:eastAsia="Arial" w:hAnsi="Arial"/>
          <w:sz w:val="22"/>
          <w:szCs w:val="22"/>
          <w:color w:val="auto"/>
        </w:rPr>
      </w:pPr>
    </w:p>
    <w:p>
      <w:pPr>
        <w:ind w:left="760" w:hanging="752"/>
        <w:spacing w:after="0" w:line="254" w:lineRule="auto"/>
        <w:tabs>
          <w:tab w:leader="none" w:pos="358" w:val="left"/>
        </w:tabs>
        <w:numPr>
          <w:ilvl w:val="0"/>
          <w:numId w:val="32"/>
        </w:numPr>
        <w:rPr>
          <w:rFonts w:ascii="Arial" w:cs="Arial" w:eastAsia="Arial" w:hAnsi="Arial"/>
          <w:sz w:val="21"/>
          <w:szCs w:val="21"/>
          <w:color w:val="auto"/>
        </w:rPr>
      </w:pPr>
      <w:r>
        <w:rPr>
          <w:rFonts w:ascii="Arial" w:cs="Arial" w:eastAsia="Arial" w:hAnsi="Arial"/>
          <w:sz w:val="21"/>
          <w:szCs w:val="21"/>
          <w:b w:val="1"/>
          <w:bCs w:val="1"/>
          <w:color w:val="auto"/>
        </w:rPr>
        <w:t>ASHLAND INDUSTRIES EUROPE GMBH</w:t>
      </w:r>
      <w:r>
        <w:rPr>
          <w:rFonts w:ascii="Arial" w:cs="Arial" w:eastAsia="Arial" w:hAnsi="Arial"/>
          <w:sz w:val="21"/>
          <w:szCs w:val="21"/>
          <w:color w:val="auto"/>
        </w:rPr>
        <w:t>, a private company with limited liability (</w:t>
      </w:r>
      <w:r>
        <w:rPr>
          <w:rFonts w:ascii="Arial" w:cs="Arial" w:eastAsia="Arial" w:hAnsi="Arial"/>
          <w:sz w:val="21"/>
          <w:szCs w:val="21"/>
          <w:i w:val="1"/>
          <w:iCs w:val="1"/>
          <w:color w:val="auto"/>
        </w:rPr>
        <w:t>Gesellschaft mit beschränkter</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Haftung</w:t>
      </w:r>
      <w:r>
        <w:rPr>
          <w:rFonts w:ascii="Arial" w:cs="Arial" w:eastAsia="Arial" w:hAnsi="Arial"/>
          <w:sz w:val="21"/>
          <w:szCs w:val="21"/>
          <w:color w:val="auto"/>
        </w:rPr>
        <w:t>) incorporated under the laws of Switzerland, having its registered seat in Neuhausen am Rheinfall, Switzerland,</w:t>
      </w:r>
      <w:r>
        <w:rPr>
          <w:rFonts w:ascii="Arial" w:cs="Arial" w:eastAsia="Arial" w:hAnsi="Arial"/>
          <w:sz w:val="21"/>
          <w:szCs w:val="21"/>
          <w:i w:val="1"/>
          <w:iCs w:val="1"/>
          <w:color w:val="auto"/>
        </w:rPr>
        <w:t xml:space="preserve"> </w:t>
      </w:r>
      <w:r>
        <w:rPr>
          <w:rFonts w:ascii="Arial" w:cs="Arial" w:eastAsia="Arial" w:hAnsi="Arial"/>
          <w:sz w:val="21"/>
          <w:szCs w:val="21"/>
          <w:color w:val="auto"/>
        </w:rPr>
        <w:t>with registered office at Rheinweg 11, 8200 Schaffhausen, Switzerland, registered at the Commercial Register of the Canton of Schaffhausen under number CHE-112.297.540 (</w:t>
      </w:r>
      <w:r>
        <w:rPr>
          <w:rFonts w:ascii="Arial" w:cs="Arial" w:eastAsia="Arial" w:hAnsi="Arial"/>
          <w:sz w:val="21"/>
          <w:szCs w:val="21"/>
          <w:b w:val="1"/>
          <w:bCs w:val="1"/>
          <w:i w:val="1"/>
          <w:iCs w:val="1"/>
          <w:color w:val="auto"/>
        </w:rPr>
        <w:t>Purchaser Guarantor</w:t>
      </w:r>
      <w:r>
        <w:rPr>
          <w:rFonts w:ascii="Arial" w:cs="Arial" w:eastAsia="Arial" w:hAnsi="Arial"/>
          <w:sz w:val="21"/>
          <w:szCs w:val="21"/>
          <w:color w:val="auto"/>
        </w:rPr>
        <w:t>),</w:t>
      </w:r>
    </w:p>
    <w:p>
      <w:pPr>
        <w:spacing w:after="0" w:line="11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(Seller and Purchaser together, the </w:t>
      </w:r>
      <w:r>
        <w:rPr>
          <w:rFonts w:ascii="Arial" w:cs="Arial" w:eastAsia="Arial" w:hAnsi="Arial"/>
          <w:sz w:val="22"/>
          <w:szCs w:val="22"/>
          <w:b w:val="1"/>
          <w:bCs w:val="1"/>
          <w:i w:val="1"/>
          <w:iCs w:val="1"/>
          <w:color w:val="auto"/>
        </w:rPr>
        <w:t>Parties</w:t>
      </w:r>
      <w:r>
        <w:rPr>
          <w:rFonts w:ascii="Arial" w:cs="Arial" w:eastAsia="Arial" w:hAnsi="Arial"/>
          <w:sz w:val="22"/>
          <w:szCs w:val="22"/>
          <w:color w:val="auto"/>
        </w:rPr>
        <w:t xml:space="preserve"> and each individually, a </w:t>
      </w:r>
      <w:r>
        <w:rPr>
          <w:rFonts w:ascii="Arial" w:cs="Arial" w:eastAsia="Arial" w:hAnsi="Arial"/>
          <w:sz w:val="22"/>
          <w:szCs w:val="22"/>
          <w:b w:val="1"/>
          <w:bCs w:val="1"/>
          <w:i w:val="1"/>
          <w:iCs w:val="1"/>
          <w:color w:val="auto"/>
        </w:rPr>
        <w:t>Party</w:t>
      </w:r>
      <w:r>
        <w:rPr>
          <w:rFonts w:ascii="Arial" w:cs="Arial" w:eastAsia="Arial" w:hAnsi="Arial"/>
          <w:sz w:val="22"/>
          <w:szCs w:val="22"/>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PREAMBLE</w:t>
      </w:r>
      <w:r>
        <w:rPr>
          <w:rFonts w:ascii="Arial" w:cs="Arial" w:eastAsia="Arial" w:hAnsi="Arial"/>
          <w:sz w:val="22"/>
          <w:szCs w:val="22"/>
          <w:color w:val="auto"/>
        </w:rPr>
        <w:t>:</w:t>
      </w:r>
    </w:p>
    <w:p>
      <w:pPr>
        <w:spacing w:after="0" w:line="158" w:lineRule="exact"/>
        <w:rPr>
          <w:sz w:val="20"/>
          <w:szCs w:val="20"/>
          <w:color w:val="auto"/>
        </w:rPr>
      </w:pPr>
    </w:p>
    <w:p>
      <w:pPr>
        <w:ind w:left="760" w:hanging="752"/>
        <w:spacing w:after="0"/>
        <w:tabs>
          <w:tab w:leader="none" w:pos="382" w:val="left"/>
        </w:tabs>
        <w:numPr>
          <w:ilvl w:val="0"/>
          <w:numId w:val="33"/>
        </w:numPr>
        <w:rPr>
          <w:rFonts w:ascii="Arial" w:cs="Arial" w:eastAsia="Arial" w:hAnsi="Arial"/>
          <w:sz w:val="22"/>
          <w:szCs w:val="22"/>
          <w:color w:val="auto"/>
        </w:rPr>
      </w:pPr>
      <w:r>
        <w:rPr>
          <w:rFonts w:ascii="Arial" w:cs="Arial" w:eastAsia="Arial" w:hAnsi="Arial"/>
          <w:sz w:val="22"/>
          <w:szCs w:val="22"/>
          <w:color w:val="auto"/>
        </w:rPr>
        <w:t>On 18 January 2021, the Parties entered into the “MASTER ASSETS PURCHASE agreement regarding the acquisition of the Personal Care business of Schülke &amp; Mayr GmbH” (</w:t>
      </w:r>
      <w:r>
        <w:rPr>
          <w:rFonts w:ascii="Arial" w:cs="Arial" w:eastAsia="Arial" w:hAnsi="Arial"/>
          <w:sz w:val="22"/>
          <w:szCs w:val="22"/>
          <w:b w:val="1"/>
          <w:bCs w:val="1"/>
          <w:i w:val="1"/>
          <w:iCs w:val="1"/>
          <w:color w:val="auto"/>
        </w:rPr>
        <w:t>MAPA</w:t>
      </w:r>
      <w:r>
        <w:rPr>
          <w:rFonts w:ascii="Arial" w:cs="Arial" w:eastAsia="Arial" w:hAnsi="Arial"/>
          <w:sz w:val="22"/>
          <w:szCs w:val="22"/>
          <w:color w:val="auto"/>
        </w:rPr>
        <w:t>). All capitalized terms used but not otherwise defined herein shall have the meaning ascribed to them in the MAPA.</w:t>
      </w:r>
    </w:p>
    <w:p>
      <w:pPr>
        <w:spacing w:after="0" w:line="132" w:lineRule="exact"/>
        <w:rPr>
          <w:rFonts w:ascii="Arial" w:cs="Arial" w:eastAsia="Arial" w:hAnsi="Arial"/>
          <w:sz w:val="22"/>
          <w:szCs w:val="22"/>
          <w:color w:val="auto"/>
        </w:rPr>
      </w:pPr>
    </w:p>
    <w:p>
      <w:pPr>
        <w:ind w:left="760" w:right="20" w:hanging="752"/>
        <w:spacing w:after="0"/>
        <w:tabs>
          <w:tab w:leader="none" w:pos="364" w:val="left"/>
        </w:tabs>
        <w:numPr>
          <w:ilvl w:val="0"/>
          <w:numId w:val="33"/>
        </w:numPr>
        <w:rPr>
          <w:rFonts w:ascii="Arial" w:cs="Arial" w:eastAsia="Arial" w:hAnsi="Arial"/>
          <w:sz w:val="22"/>
          <w:szCs w:val="22"/>
          <w:color w:val="auto"/>
        </w:rPr>
      </w:pPr>
      <w:r>
        <w:rPr>
          <w:rFonts w:ascii="Arial" w:cs="Arial" w:eastAsia="Arial" w:hAnsi="Arial"/>
          <w:sz w:val="22"/>
          <w:szCs w:val="22"/>
          <w:color w:val="auto"/>
        </w:rPr>
        <w:t>Following the execution of the MAPA, the Parties have jointly come to the clarifying understanding that (i) the transactions contemplated by the MAPA require no merger control proceedings in Germany and (ii) certain items were missing in Exhibit 3.2(i).</w:t>
      </w:r>
    </w:p>
    <w:p>
      <w:pPr>
        <w:spacing w:after="0" w:line="132" w:lineRule="exact"/>
        <w:rPr>
          <w:rFonts w:ascii="Arial" w:cs="Arial" w:eastAsia="Arial" w:hAnsi="Arial"/>
          <w:sz w:val="22"/>
          <w:szCs w:val="22"/>
          <w:color w:val="auto"/>
        </w:rPr>
      </w:pPr>
    </w:p>
    <w:p>
      <w:pPr>
        <w:ind w:left="760" w:hanging="752"/>
        <w:spacing w:after="0" w:line="250" w:lineRule="auto"/>
        <w:tabs>
          <w:tab w:leader="none" w:pos="391"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Therefore, the Parties intend to amend the MAPA pursuant to and in accordance with the terms and conditions of this amendment agreement (</w:t>
      </w:r>
      <w:r>
        <w:rPr>
          <w:rFonts w:ascii="Arial" w:cs="Arial" w:eastAsia="Arial" w:hAnsi="Arial"/>
          <w:sz w:val="22"/>
          <w:szCs w:val="22"/>
          <w:b w:val="1"/>
          <w:bCs w:val="1"/>
          <w:i w:val="1"/>
          <w:iCs w:val="1"/>
          <w:color w:val="auto"/>
        </w:rPr>
        <w:t>Amendment Agreement</w:t>
      </w:r>
      <w:r>
        <w:rPr>
          <w:rFonts w:ascii="Arial" w:cs="Arial" w:eastAsia="Arial" w:hAnsi="Arial"/>
          <w:sz w:val="22"/>
          <w:szCs w:val="22"/>
          <w:color w:val="auto"/>
        </w:rPr>
        <w:t>).</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the Parties agree as follows: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Amendments to the MAPA</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1.1 Section 12.1(a)(ii) of the MAPA shall be amended and replaced as follows:</w:t>
      </w:r>
    </w:p>
    <w:p>
      <w:pPr>
        <w:spacing w:after="0" w:line="152" w:lineRule="exact"/>
        <w:rPr>
          <w:sz w:val="20"/>
          <w:szCs w:val="20"/>
          <w:color w:val="auto"/>
        </w:rPr>
      </w:pPr>
    </w:p>
    <w:p>
      <w:pPr>
        <w:jc w:val="both"/>
        <w:ind w:left="1040"/>
        <w:spacing w:after="0" w:line="238" w:lineRule="auto"/>
        <w:rPr>
          <w:sz w:val="20"/>
          <w:szCs w:val="20"/>
          <w:color w:val="auto"/>
        </w:rPr>
      </w:pPr>
      <w:r>
        <w:rPr>
          <w:rFonts w:ascii="Arial" w:cs="Arial" w:eastAsia="Arial" w:hAnsi="Arial"/>
          <w:sz w:val="22"/>
          <w:szCs w:val="22"/>
          <w:color w:val="auto"/>
        </w:rPr>
        <w:t xml:space="preserve">“the applicable merger control clearances for the Transaction under the merger control laws of Brazil and the Ukraine have been obtained or are deemed to be obtained (e.g. due to lapse of an applicable waiting period or due to jurisdiction having been declined by a relevant governmental authority) (together, the </w:t>
      </w:r>
      <w:r>
        <w:rPr>
          <w:rFonts w:ascii="Arial" w:cs="Arial" w:eastAsia="Arial" w:hAnsi="Arial"/>
          <w:sz w:val="22"/>
          <w:szCs w:val="22"/>
          <w:b w:val="1"/>
          <w:bCs w:val="1"/>
          <w:i w:val="1"/>
          <w:iCs w:val="1"/>
          <w:color w:val="auto"/>
        </w:rPr>
        <w:t>Merger Control Clearances</w:t>
      </w:r>
      <w:r>
        <w:rPr>
          <w:rFonts w:ascii="Arial" w:cs="Arial" w:eastAsia="Arial" w:hAnsi="Arial"/>
          <w:sz w:val="22"/>
          <w:szCs w:val="22"/>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157720" cy="425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72" w:name="page73"/>
    <w:bookmarkEnd w:id="72"/>
    <w:p>
      <w:pPr>
        <w:spacing w:after="0"/>
        <w:rPr>
          <w:sz w:val="20"/>
          <w:szCs w:val="20"/>
          <w:color w:val="auto"/>
        </w:rPr>
      </w:pPr>
      <w:r>
        <w:rPr>
          <w:rFonts w:ascii="Arial" w:cs="Arial" w:eastAsia="Arial" w:hAnsi="Arial"/>
          <w:sz w:val="22"/>
          <w:szCs w:val="22"/>
          <w:color w:val="auto"/>
        </w:rPr>
        <w:t xml:space="preserve">1.2 Exhibit 3.2(i) of the MAPA shall be replaced with the updated version set forth in the </w:t>
      </w:r>
      <w:r>
        <w:rPr>
          <w:rFonts w:ascii="Arial" w:cs="Arial" w:eastAsia="Arial" w:hAnsi="Arial"/>
          <w:sz w:val="22"/>
          <w:szCs w:val="22"/>
          <w:u w:val="single" w:color="auto"/>
          <w:color w:val="auto"/>
        </w:rPr>
        <w:t>Annex</w:t>
      </w:r>
      <w:r>
        <w:rPr>
          <w:rFonts w:ascii="Arial" w:cs="Arial" w:eastAsia="Arial" w:hAnsi="Arial"/>
          <w:sz w:val="22"/>
          <w:szCs w:val="22"/>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1.3 Section 11.5 (b) of the MAPA shall be amended and replaced as follows:</w:t>
      </w:r>
    </w:p>
    <w:p>
      <w:pPr>
        <w:spacing w:after="0" w:line="152" w:lineRule="exact"/>
        <w:rPr>
          <w:sz w:val="20"/>
          <w:szCs w:val="20"/>
          <w:color w:val="auto"/>
        </w:rPr>
      </w:pPr>
    </w:p>
    <w:p>
      <w:pPr>
        <w:ind w:left="820"/>
        <w:spacing w:after="0"/>
        <w:rPr>
          <w:sz w:val="20"/>
          <w:szCs w:val="20"/>
          <w:color w:val="auto"/>
        </w:rPr>
      </w:pPr>
      <w:r>
        <w:rPr>
          <w:rFonts w:ascii="Arial" w:cs="Arial" w:eastAsia="Arial" w:hAnsi="Arial"/>
          <w:sz w:val="22"/>
          <w:szCs w:val="22"/>
          <w:color w:val="auto"/>
        </w:rPr>
        <w:t>“(b) German part of the PC Business</w:t>
      </w:r>
    </w:p>
    <w:p>
      <w:pPr>
        <w:spacing w:after="0" w:line="152" w:lineRule="exact"/>
        <w:rPr>
          <w:sz w:val="20"/>
          <w:szCs w:val="20"/>
          <w:color w:val="auto"/>
        </w:rPr>
      </w:pPr>
    </w:p>
    <w:p>
      <w:pPr>
        <w:ind w:left="2260" w:hanging="754"/>
        <w:spacing w:after="0" w:line="236" w:lineRule="auto"/>
        <w:tabs>
          <w:tab w:leader="none" w:pos="1776"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Parties assume that the sale of the German part of the PC Business by Seller under this Agreement does not constitute the sale of a going concern (</w:t>
      </w:r>
      <w:r>
        <w:rPr>
          <w:rFonts w:ascii="Arial" w:cs="Arial" w:eastAsia="Arial" w:hAnsi="Arial"/>
          <w:sz w:val="22"/>
          <w:szCs w:val="22"/>
          <w:i w:val="1"/>
          <w:iCs w:val="1"/>
          <w:color w:val="auto"/>
        </w:rPr>
        <w:t>Geschäftsveräußerung im Ganzen</w:t>
      </w:r>
      <w:r>
        <w:rPr>
          <w:rFonts w:ascii="Arial" w:cs="Arial" w:eastAsia="Arial" w:hAnsi="Arial"/>
          <w:sz w:val="22"/>
          <w:szCs w:val="22"/>
          <w:color w:val="auto"/>
        </w:rPr>
        <w:t>) under section 1 (1a) UStG and is, therefore, subject to VAT (</w:t>
      </w:r>
      <w:r>
        <w:rPr>
          <w:rFonts w:ascii="Arial" w:cs="Arial" w:eastAsia="Arial" w:hAnsi="Arial"/>
          <w:sz w:val="22"/>
          <w:szCs w:val="22"/>
          <w:i w:val="1"/>
          <w:iCs w:val="1"/>
          <w:color w:val="auto"/>
        </w:rPr>
        <w:t>Umsatzsteuer</w:t>
      </w:r>
      <w:r>
        <w:rPr>
          <w:rFonts w:ascii="Arial" w:cs="Arial" w:eastAsia="Arial" w:hAnsi="Arial"/>
          <w:sz w:val="22"/>
          <w:szCs w:val="22"/>
          <w:color w:val="auto"/>
        </w:rPr>
        <w:t>). The Parties have jointly determined the VAT Amount (as defined below) and shall prepare and submit their respective VAT returns and self-assessments accordingly.</w:t>
      </w:r>
    </w:p>
    <w:p>
      <w:pPr>
        <w:spacing w:after="0" w:line="133" w:lineRule="exact"/>
        <w:rPr>
          <w:rFonts w:ascii="Arial" w:cs="Arial" w:eastAsia="Arial" w:hAnsi="Arial"/>
          <w:sz w:val="22"/>
          <w:szCs w:val="22"/>
          <w:color w:val="auto"/>
        </w:rPr>
      </w:pPr>
    </w:p>
    <w:p>
      <w:pPr>
        <w:ind w:left="2260" w:hanging="754"/>
        <w:spacing w:after="0" w:line="277" w:lineRule="auto"/>
        <w:tabs>
          <w:tab w:leader="none" w:pos="1864" w:val="left"/>
        </w:tabs>
        <w:numPr>
          <w:ilvl w:val="0"/>
          <w:numId w:val="34"/>
        </w:numPr>
        <w:rPr>
          <w:rFonts w:ascii="Arial" w:cs="Arial" w:eastAsia="Arial" w:hAnsi="Arial"/>
          <w:sz w:val="19"/>
          <w:szCs w:val="19"/>
          <w:color w:val="auto"/>
        </w:rPr>
      </w:pPr>
      <w:r>
        <w:rPr>
          <w:rFonts w:ascii="Arial" w:cs="Arial" w:eastAsia="Arial" w:hAnsi="Arial"/>
          <w:sz w:val="19"/>
          <w:szCs w:val="19"/>
          <w:color w:val="auto"/>
        </w:rPr>
        <w:t>Purchaser shall pay to Seller, in addition to the Purchase Price allocated to the German part of the PC Business, an amount equal to the VAT (including ancillary charges (</w:t>
      </w:r>
      <w:r>
        <w:rPr>
          <w:rFonts w:ascii="Arial" w:cs="Arial" w:eastAsia="Arial" w:hAnsi="Arial"/>
          <w:sz w:val="19"/>
          <w:szCs w:val="19"/>
          <w:i w:val="1"/>
          <w:iCs w:val="1"/>
          <w:color w:val="auto"/>
        </w:rPr>
        <w:t>steuerliche Nebenleistungen</w:t>
      </w:r>
      <w:r>
        <w:rPr>
          <w:rFonts w:ascii="Arial" w:cs="Arial" w:eastAsia="Arial" w:hAnsi="Arial"/>
          <w:sz w:val="19"/>
          <w:szCs w:val="19"/>
          <w:color w:val="auto"/>
        </w:rPr>
        <w:t xml:space="preserve">)) which is payable by the Seller on the sale and transfer of the German part of the PC Business (the </w:t>
      </w:r>
      <w:r>
        <w:rPr>
          <w:rFonts w:ascii="Arial" w:cs="Arial" w:eastAsia="Arial" w:hAnsi="Arial"/>
          <w:sz w:val="19"/>
          <w:szCs w:val="19"/>
          <w:b w:val="1"/>
          <w:bCs w:val="1"/>
          <w:i w:val="1"/>
          <w:iCs w:val="1"/>
          <w:color w:val="auto"/>
        </w:rPr>
        <w:t>VAT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Amount</w:t>
      </w:r>
      <w:r>
        <w:rPr>
          <w:rFonts w:ascii="Arial" w:cs="Arial" w:eastAsia="Arial" w:hAnsi="Arial"/>
          <w:sz w:val="19"/>
          <w:szCs w:val="19"/>
          <w:color w:val="auto"/>
        </w:rPr>
        <w:t>). Such payment becomes due (</w:t>
      </w:r>
      <w:r>
        <w:rPr>
          <w:rFonts w:ascii="Arial" w:cs="Arial" w:eastAsia="Arial" w:hAnsi="Arial"/>
          <w:sz w:val="19"/>
          <w:szCs w:val="19"/>
          <w:i w:val="1"/>
          <w:iCs w:val="1"/>
          <w:color w:val="auto"/>
        </w:rPr>
        <w:t>fällig</w:t>
      </w:r>
      <w:r>
        <w:rPr>
          <w:rFonts w:ascii="Arial" w:cs="Arial" w:eastAsia="Arial" w:hAnsi="Arial"/>
          <w:sz w:val="19"/>
          <w:szCs w:val="19"/>
          <w:color w:val="auto"/>
        </w:rPr>
        <w:t>) and payable (</w:t>
      </w:r>
      <w:r>
        <w:rPr>
          <w:rFonts w:ascii="Arial" w:cs="Arial" w:eastAsia="Arial" w:hAnsi="Arial"/>
          <w:sz w:val="19"/>
          <w:szCs w:val="19"/>
          <w:i w:val="1"/>
          <w:iCs w:val="1"/>
          <w:color w:val="auto"/>
        </w:rPr>
        <w:t>zahlbar</w:t>
      </w:r>
      <w:r>
        <w:rPr>
          <w:rFonts w:ascii="Arial" w:cs="Arial" w:eastAsia="Arial" w:hAnsi="Arial"/>
          <w:sz w:val="19"/>
          <w:szCs w:val="19"/>
          <w:color w:val="auto"/>
        </w:rPr>
        <w:t>) together with the Purchase Price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on the conditions applicable to the Purchase Price. Seller shall provide an invoice to the Purchaser upon payment of the Purchase Price as jointly coordinated between the Parties. The Parties clarify that this Agreement shall not constitute an invoice pursuant to Secs. 14, 14a UStG.</w:t>
      </w:r>
    </w:p>
    <w:p>
      <w:pPr>
        <w:spacing w:after="0" w:line="97" w:lineRule="exact"/>
        <w:rPr>
          <w:rFonts w:ascii="Arial" w:cs="Arial" w:eastAsia="Arial" w:hAnsi="Arial"/>
          <w:sz w:val="19"/>
          <w:szCs w:val="19"/>
          <w:color w:val="auto"/>
        </w:rPr>
      </w:pPr>
    </w:p>
    <w:p>
      <w:pPr>
        <w:ind w:left="2260" w:hanging="754"/>
        <w:spacing w:after="0" w:line="279" w:lineRule="auto"/>
        <w:tabs>
          <w:tab w:leader="none" w:pos="1889" w:val="left"/>
        </w:tabs>
        <w:numPr>
          <w:ilvl w:val="0"/>
          <w:numId w:val="34"/>
        </w:numPr>
        <w:rPr>
          <w:rFonts w:ascii="Arial" w:cs="Arial" w:eastAsia="Arial" w:hAnsi="Arial"/>
          <w:sz w:val="19"/>
          <w:szCs w:val="19"/>
          <w:color w:val="auto"/>
        </w:rPr>
      </w:pPr>
      <w:r>
        <w:rPr>
          <w:rFonts w:ascii="Arial" w:cs="Arial" w:eastAsia="Arial" w:hAnsi="Arial"/>
          <w:sz w:val="19"/>
          <w:szCs w:val="19"/>
          <w:color w:val="auto"/>
        </w:rPr>
        <w:t xml:space="preserve">Purchaser is entitled to settle the VAT Amount by assignment of an input VAT claim of Purchaser in relation to the sale of the German part of the PC Business by Seller under this Agreement (the </w:t>
      </w:r>
      <w:r>
        <w:rPr>
          <w:rFonts w:ascii="Arial" w:cs="Arial" w:eastAsia="Arial" w:hAnsi="Arial"/>
          <w:sz w:val="19"/>
          <w:szCs w:val="19"/>
          <w:b w:val="1"/>
          <w:bCs w:val="1"/>
          <w:i w:val="1"/>
          <w:iCs w:val="1"/>
          <w:color w:val="auto"/>
        </w:rPr>
        <w:t>Input VAT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Claim</w:t>
      </w:r>
      <w:r>
        <w:rPr>
          <w:rFonts w:ascii="Arial" w:cs="Arial" w:eastAsia="Arial" w:hAnsi="Arial"/>
          <w:sz w:val="19"/>
          <w:szCs w:val="19"/>
          <w:color w:val="auto"/>
        </w:rPr>
        <w:t>). Seller and Purchaser shall reasonably co-operate in good faith to achieve this assignment,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such assignment will be at Purchaser’s cost. In particular, Seller and Purchaser shall sign a deed of assignment as soon as feasible following the date hereof and Purchaser shall notify its Tax office in compliance with Section 46 para. 2 and 3 AO (</w:t>
      </w:r>
      <w:r>
        <w:rPr>
          <w:rFonts w:ascii="Arial" w:cs="Arial" w:eastAsia="Arial" w:hAnsi="Arial"/>
          <w:sz w:val="19"/>
          <w:szCs w:val="19"/>
          <w:i w:val="1"/>
          <w:iCs w:val="1"/>
          <w:color w:val="auto"/>
        </w:rPr>
        <w:t>Abtretungsanzeige</w:t>
      </w:r>
      <w:r>
        <w:rPr>
          <w:rFonts w:ascii="Arial" w:cs="Arial" w:eastAsia="Arial" w:hAnsi="Arial"/>
          <w:sz w:val="19"/>
          <w:szCs w:val="19"/>
          <w:color w:val="auto"/>
        </w:rPr>
        <w:t>) as soon as feasible hereafter.</w:t>
      </w:r>
    </w:p>
    <w:p>
      <w:pPr>
        <w:spacing w:after="0" w:line="96" w:lineRule="exact"/>
        <w:rPr>
          <w:rFonts w:ascii="Arial" w:cs="Arial" w:eastAsia="Arial" w:hAnsi="Arial"/>
          <w:sz w:val="19"/>
          <w:szCs w:val="19"/>
          <w:color w:val="auto"/>
        </w:rPr>
      </w:pPr>
    </w:p>
    <w:p>
      <w:pPr>
        <w:ind w:left="2260" w:hanging="754"/>
        <w:spacing w:after="0" w:line="234" w:lineRule="auto"/>
        <w:tabs>
          <w:tab w:leader="none" w:pos="1889" w:val="left"/>
        </w:tabs>
        <w:numPr>
          <w:ilvl w:val="0"/>
          <w:numId w:val="34"/>
        </w:numPr>
        <w:rPr>
          <w:rFonts w:ascii="Arial" w:cs="Arial" w:eastAsia="Arial" w:hAnsi="Arial"/>
          <w:sz w:val="22"/>
          <w:szCs w:val="22"/>
          <w:color w:val="auto"/>
        </w:rPr>
      </w:pPr>
      <w:r>
        <w:rPr>
          <w:rFonts w:ascii="Arial" w:cs="Arial" w:eastAsia="Arial" w:hAnsi="Arial"/>
          <w:sz w:val="22"/>
          <w:szCs w:val="22"/>
          <w:color w:val="auto"/>
        </w:rPr>
        <w:t xml:space="preserve">If and to the extent that the Fiscal Authorities competent for the Seller or the Purchaser determine that the Input VAT Claim does not validly exist and that output VAT in relation to the sale of the German part of the PC Business falls due at Seller which therefore cannot be set-off with the Input VAT Claim (including ancillary payments; the </w:t>
      </w:r>
      <w:r>
        <w:rPr>
          <w:rFonts w:ascii="Arial" w:cs="Arial" w:eastAsia="Arial" w:hAnsi="Arial"/>
          <w:sz w:val="22"/>
          <w:szCs w:val="22"/>
          <w:b w:val="1"/>
          <w:bCs w:val="1"/>
          <w:i w:val="1"/>
          <w:iCs w:val="1"/>
          <w:color w:val="auto"/>
        </w:rPr>
        <w:t>Outstanding VAT Balance</w:t>
      </w:r>
      <w:r>
        <w:rPr>
          <w:rFonts w:ascii="Arial" w:cs="Arial" w:eastAsia="Arial" w:hAnsi="Arial"/>
          <w:sz w:val="22"/>
          <w:szCs w:val="22"/>
          <w:color w:val="auto"/>
        </w:rPr>
        <w:t>), Seller shall notify the Purchaser accordingly or vice versa. The same shall apply if Seller or Purchaser reasonably make such determination and therefore reasonably file amended VAT self-assessments reflecting such determination (after prior consultation with the other Party). Purchaser shall pay to the Seller the amount of the Outstanding VAT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256540</wp:posOffset>
            </wp:positionV>
            <wp:extent cx="7157720" cy="425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73" w:name="page74"/>
    <w:bookmarkEnd w:id="73"/>
    <w:p>
      <w:pPr>
        <w:jc w:val="both"/>
        <w:ind w:left="2260"/>
        <w:spacing w:after="0" w:line="257" w:lineRule="auto"/>
        <w:rPr>
          <w:sz w:val="20"/>
          <w:szCs w:val="20"/>
          <w:color w:val="auto"/>
        </w:rPr>
      </w:pPr>
      <w:r>
        <w:rPr>
          <w:rFonts w:ascii="Arial" w:cs="Arial" w:eastAsia="Arial" w:hAnsi="Arial"/>
          <w:sz w:val="21"/>
          <w:szCs w:val="21"/>
          <w:color w:val="auto"/>
        </w:rPr>
        <w:t>Balance no later than (i) ten (10) Business Days after receipt of such notification from Seller (if necessary) and (ii) five (5) Business Days prior to the due date of such Outstanding VAT Balance. If and to the extent not paid when due, such amount shall bear interest at six (6)% p.a.</w:t>
      </w:r>
    </w:p>
    <w:p>
      <w:pPr>
        <w:spacing w:after="0" w:line="115" w:lineRule="exact"/>
        <w:rPr>
          <w:sz w:val="20"/>
          <w:szCs w:val="20"/>
          <w:color w:val="auto"/>
        </w:rPr>
      </w:pPr>
    </w:p>
    <w:p>
      <w:pPr>
        <w:ind w:left="1820" w:hanging="314"/>
        <w:spacing w:after="0"/>
        <w:tabs>
          <w:tab w:leader="none" w:pos="1820" w:val="left"/>
        </w:tabs>
        <w:numPr>
          <w:ilvl w:val="0"/>
          <w:numId w:val="35"/>
        </w:numPr>
        <w:rPr>
          <w:rFonts w:ascii="Arial" w:cs="Arial" w:eastAsia="Arial" w:hAnsi="Arial"/>
          <w:sz w:val="22"/>
          <w:szCs w:val="22"/>
          <w:color w:val="auto"/>
        </w:rPr>
      </w:pPr>
      <w:r>
        <w:rPr>
          <w:rFonts w:ascii="Arial" w:cs="Arial" w:eastAsia="Arial" w:hAnsi="Arial"/>
          <w:sz w:val="22"/>
          <w:szCs w:val="22"/>
          <w:color w:val="auto"/>
        </w:rPr>
        <w:t>Purchaser hereby guarantees to the Seller that</w:t>
      </w:r>
    </w:p>
    <w:p>
      <w:pPr>
        <w:spacing w:after="0" w:line="152" w:lineRule="exact"/>
        <w:rPr>
          <w:rFonts w:ascii="Arial" w:cs="Arial" w:eastAsia="Arial" w:hAnsi="Arial"/>
          <w:sz w:val="22"/>
          <w:szCs w:val="22"/>
          <w:color w:val="auto"/>
        </w:rPr>
      </w:pPr>
    </w:p>
    <w:p>
      <w:pPr>
        <w:ind w:left="2600" w:hanging="346"/>
        <w:spacing w:after="0"/>
        <w:tabs>
          <w:tab w:leader="none" w:pos="2600" w:val="left"/>
        </w:tabs>
        <w:numPr>
          <w:ilvl w:val="1"/>
          <w:numId w:val="35"/>
        </w:numPr>
        <w:rPr>
          <w:rFonts w:ascii="Arial" w:cs="Arial" w:eastAsia="Arial" w:hAnsi="Arial"/>
          <w:sz w:val="22"/>
          <w:szCs w:val="22"/>
          <w:color w:val="auto"/>
        </w:rPr>
      </w:pPr>
      <w:r>
        <w:rPr>
          <w:rFonts w:ascii="Arial" w:cs="Arial" w:eastAsia="Arial" w:hAnsi="Arial"/>
          <w:sz w:val="22"/>
          <w:szCs w:val="22"/>
          <w:color w:val="auto"/>
        </w:rPr>
        <w:t>it qualifies as entrepreneur within the meaning of section 2 UStG;</w:t>
      </w:r>
    </w:p>
    <w:p>
      <w:pPr>
        <w:spacing w:after="0" w:line="152" w:lineRule="exact"/>
        <w:rPr>
          <w:rFonts w:ascii="Arial" w:cs="Arial" w:eastAsia="Arial" w:hAnsi="Arial"/>
          <w:sz w:val="22"/>
          <w:szCs w:val="22"/>
          <w:color w:val="auto"/>
        </w:rPr>
      </w:pPr>
    </w:p>
    <w:p>
      <w:pPr>
        <w:ind w:left="3000" w:hanging="746"/>
        <w:spacing w:after="0" w:line="250" w:lineRule="auto"/>
        <w:tabs>
          <w:tab w:leader="none" w:pos="2598" w:val="left"/>
        </w:tabs>
        <w:numPr>
          <w:ilvl w:val="1"/>
          <w:numId w:val="35"/>
        </w:numPr>
        <w:rPr>
          <w:rFonts w:ascii="Arial" w:cs="Arial" w:eastAsia="Arial" w:hAnsi="Arial"/>
          <w:sz w:val="22"/>
          <w:szCs w:val="22"/>
          <w:color w:val="auto"/>
        </w:rPr>
      </w:pPr>
      <w:r>
        <w:rPr>
          <w:rFonts w:ascii="Arial" w:cs="Arial" w:eastAsia="Arial" w:hAnsi="Arial"/>
          <w:sz w:val="22"/>
          <w:szCs w:val="22"/>
          <w:color w:val="auto"/>
        </w:rPr>
        <w:t>it is entitled to fully deduct input VAT derived from the sale of the German part of the PC Business ; and</w:t>
      </w:r>
    </w:p>
    <w:p>
      <w:pPr>
        <w:spacing w:after="0" w:line="120" w:lineRule="exact"/>
        <w:rPr>
          <w:rFonts w:ascii="Arial" w:cs="Arial" w:eastAsia="Arial" w:hAnsi="Arial"/>
          <w:sz w:val="22"/>
          <w:szCs w:val="22"/>
          <w:color w:val="auto"/>
        </w:rPr>
      </w:pPr>
    </w:p>
    <w:p>
      <w:pPr>
        <w:ind w:left="3000" w:hanging="746"/>
        <w:spacing w:after="0" w:line="250" w:lineRule="auto"/>
        <w:tabs>
          <w:tab w:leader="none" w:pos="2615" w:val="left"/>
        </w:tabs>
        <w:numPr>
          <w:ilvl w:val="1"/>
          <w:numId w:val="35"/>
        </w:numPr>
        <w:rPr>
          <w:rFonts w:ascii="Arial" w:cs="Arial" w:eastAsia="Arial" w:hAnsi="Arial"/>
          <w:sz w:val="22"/>
          <w:szCs w:val="22"/>
          <w:color w:val="auto"/>
        </w:rPr>
      </w:pPr>
      <w:r>
        <w:rPr>
          <w:rFonts w:ascii="Arial" w:cs="Arial" w:eastAsia="Arial" w:hAnsi="Arial"/>
          <w:sz w:val="22"/>
          <w:szCs w:val="22"/>
          <w:color w:val="auto"/>
        </w:rPr>
        <w:t>the Input VAT Claim fully corresponds to the VAT Amount and can be fully set-off against such amount.</w:t>
      </w:r>
    </w:p>
    <w:p>
      <w:pPr>
        <w:spacing w:after="0" w:line="121" w:lineRule="exact"/>
        <w:rPr>
          <w:sz w:val="20"/>
          <w:szCs w:val="20"/>
          <w:color w:val="auto"/>
        </w:rPr>
      </w:pPr>
    </w:p>
    <w:p>
      <w:pPr>
        <w:jc w:val="both"/>
        <w:ind w:left="2260"/>
        <w:spacing w:after="0" w:line="297" w:lineRule="auto"/>
        <w:rPr>
          <w:sz w:val="20"/>
          <w:szCs w:val="20"/>
          <w:color w:val="auto"/>
        </w:rPr>
      </w:pPr>
      <w:r>
        <w:rPr>
          <w:rFonts w:ascii="Arial" w:cs="Arial" w:eastAsia="Arial" w:hAnsi="Arial"/>
          <w:sz w:val="19"/>
          <w:szCs w:val="19"/>
          <w:color w:val="auto"/>
        </w:rPr>
        <w:t>Purchaser shall indemnify and hold harmless Seller from and against any loss, damage, costs (including reasonable legal costs), expenses (including, for the avoidance of doubt, Taxes) liabilities and obligations, in each case of any nature whatsoever, resulting from the breach of such guarantees.</w:t>
      </w:r>
    </w:p>
    <w:p>
      <w:pPr>
        <w:spacing w:after="0" w:line="80" w:lineRule="exact"/>
        <w:rPr>
          <w:sz w:val="20"/>
          <w:szCs w:val="20"/>
          <w:color w:val="auto"/>
        </w:rPr>
      </w:pPr>
    </w:p>
    <w:p>
      <w:pPr>
        <w:ind w:left="2260" w:hanging="754"/>
        <w:spacing w:after="0" w:line="246" w:lineRule="auto"/>
        <w:tabs>
          <w:tab w:leader="none" w:pos="1879" w:val="left"/>
        </w:tabs>
        <w:numPr>
          <w:ilvl w:val="0"/>
          <w:numId w:val="36"/>
        </w:numPr>
        <w:rPr>
          <w:rFonts w:ascii="Arial" w:cs="Arial" w:eastAsia="Arial" w:hAnsi="Arial"/>
          <w:sz w:val="21"/>
          <w:szCs w:val="21"/>
          <w:color w:val="auto"/>
        </w:rPr>
      </w:pPr>
      <w:r>
        <w:rPr>
          <w:rFonts w:ascii="Arial" w:cs="Arial" w:eastAsia="Arial" w:hAnsi="Arial"/>
          <w:sz w:val="21"/>
          <w:szCs w:val="21"/>
          <w:color w:val="auto"/>
        </w:rPr>
        <w:t>The Parties shall fully co-operate in good faith in relation to the VAT Amount and the Input VAT Claim also as regards other aspects, in particular if and to the extent that the VAT Amount is changed after the date hereof (e.g. in connection with adjustments of the Preliminary Purchase Price pursuant to Sections 11.3, 15.5 (c) and 15.5 (e) or Tax audits) and shall take all reasonably necessary steps (e.g. amendment of invoices or of VAT self-assessments) and make the necessary payments to reflect their joint understanding that VAT shall be fully borne by Purchaser and that, in connection with the proposed assignment of the Input VAT Claim no disadvantages shall arise for Seller compared to an immediate cash payment at Closing.</w:t>
      </w:r>
    </w:p>
    <w:p>
      <w:pPr>
        <w:spacing w:after="0" w:line="125" w:lineRule="exact"/>
        <w:rPr>
          <w:rFonts w:ascii="Arial" w:cs="Arial" w:eastAsia="Arial" w:hAnsi="Arial"/>
          <w:sz w:val="21"/>
          <w:szCs w:val="21"/>
          <w:color w:val="auto"/>
        </w:rPr>
      </w:pPr>
    </w:p>
    <w:p>
      <w:pPr>
        <w:ind w:left="2260" w:hanging="754"/>
        <w:spacing w:after="0" w:line="250" w:lineRule="auto"/>
        <w:tabs>
          <w:tab w:leader="none" w:pos="1952"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Seller and the Purchaser agree on electronic invoicing (e.g. via email) for the sale of German part of the PC Business.”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color w:val="auto"/>
        </w:rPr>
        <w:t>1.4 Section 11.5 (c) (iii) of the MAPA shall be deleted.</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1.5 Section 18.2(a)(A) of the MAPA shall be amended and replaced as follows:</w:t>
      </w:r>
    </w:p>
    <w:p>
      <w:pPr>
        <w:spacing w:after="0" w:line="152" w:lineRule="exact"/>
        <w:rPr>
          <w:sz w:val="20"/>
          <w:szCs w:val="20"/>
          <w:color w:val="auto"/>
        </w:rPr>
      </w:pPr>
    </w:p>
    <w:p>
      <w:pPr>
        <w:jc w:val="both"/>
        <w:ind w:left="1040"/>
        <w:spacing w:after="0" w:line="238" w:lineRule="auto"/>
        <w:rPr>
          <w:sz w:val="20"/>
          <w:szCs w:val="20"/>
          <w:color w:val="auto"/>
        </w:rPr>
      </w:pPr>
      <w:r>
        <w:rPr>
          <w:rFonts w:ascii="Arial" w:cs="Arial" w:eastAsia="Arial" w:hAnsi="Arial"/>
          <w:sz w:val="22"/>
          <w:szCs w:val="22"/>
          <w:color w:val="auto"/>
        </w:rPr>
        <w:t xml:space="preserve">“any Taxes relating to the PC Business and the period until and including the Closing Date payable by a Purchaser Indemnitee following Closing as a secondary liability for a Tax primarily owed by the Seller or a Local Seller, as the case may be, under section 75 AO or similar statutory provisions under applicable Law, including under Section 281 of the Indian Income Tax Act (1961) (a </w:t>
      </w:r>
      <w:r>
        <w:rPr>
          <w:rFonts w:ascii="Arial" w:cs="Arial" w:eastAsia="Arial" w:hAnsi="Arial"/>
          <w:sz w:val="22"/>
          <w:szCs w:val="22"/>
          <w:b w:val="1"/>
          <w:bCs w:val="1"/>
          <w:i w:val="1"/>
          <w:iCs w:val="1"/>
          <w:color w:val="auto"/>
        </w:rPr>
        <w:t>Secondary Tax Liability</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157720" cy="425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74" w:name="page75"/>
    <w:bookmarkEnd w:id="74"/>
    <w:p>
      <w:pPr>
        <w:spacing w:after="0"/>
        <w:rPr>
          <w:sz w:val="20"/>
          <w:szCs w:val="20"/>
          <w:color w:val="auto"/>
        </w:rPr>
      </w:pPr>
      <w:r>
        <w:rPr>
          <w:rFonts w:ascii="Arial" w:cs="Arial" w:eastAsia="Arial" w:hAnsi="Arial"/>
          <w:sz w:val="22"/>
          <w:szCs w:val="22"/>
          <w:color w:val="auto"/>
        </w:rPr>
        <w:t>1.6 A new Section 20.8 shall be added as follows:</w:t>
      </w:r>
    </w:p>
    <w:p>
      <w:pPr>
        <w:spacing w:after="0" w:line="146" w:lineRule="exact"/>
        <w:rPr>
          <w:sz w:val="20"/>
          <w:szCs w:val="20"/>
          <w:color w:val="auto"/>
        </w:rPr>
      </w:pPr>
    </w:p>
    <w:p>
      <w:pPr>
        <w:ind w:left="820"/>
        <w:spacing w:after="0"/>
        <w:rPr>
          <w:sz w:val="20"/>
          <w:szCs w:val="20"/>
          <w:color w:val="auto"/>
        </w:rPr>
      </w:pPr>
      <w:r>
        <w:rPr>
          <w:rFonts w:ascii="Arial" w:cs="Arial" w:eastAsia="Arial" w:hAnsi="Arial"/>
          <w:sz w:val="22"/>
          <w:szCs w:val="22"/>
          <w:color w:val="auto"/>
        </w:rPr>
        <w:t xml:space="preserve">“20.8 </w:t>
      </w:r>
      <w:r>
        <w:rPr>
          <w:rFonts w:ascii="Arial" w:cs="Arial" w:eastAsia="Arial" w:hAnsi="Arial"/>
          <w:sz w:val="22"/>
          <w:szCs w:val="22"/>
          <w:b w:val="1"/>
          <w:bCs w:val="1"/>
          <w:color w:val="auto"/>
        </w:rPr>
        <w:t>UK Sublease</w:t>
      </w:r>
    </w:p>
    <w:p>
      <w:pPr>
        <w:spacing w:after="0" w:line="158" w:lineRule="exact"/>
        <w:rPr>
          <w:sz w:val="20"/>
          <w:szCs w:val="20"/>
          <w:color w:val="auto"/>
        </w:rPr>
      </w:pPr>
    </w:p>
    <w:p>
      <w:pPr>
        <w:jc w:val="both"/>
        <w:ind w:left="760"/>
        <w:spacing w:after="0" w:line="238" w:lineRule="auto"/>
        <w:rPr>
          <w:sz w:val="20"/>
          <w:szCs w:val="20"/>
          <w:color w:val="auto"/>
        </w:rPr>
      </w:pPr>
      <w:r>
        <w:rPr>
          <w:rFonts w:ascii="Arial" w:cs="Arial" w:eastAsia="Arial" w:hAnsi="Arial"/>
          <w:sz w:val="22"/>
          <w:szCs w:val="22"/>
          <w:color w:val="auto"/>
        </w:rPr>
        <w:t>After the Closing, Seller shall cause Schulke &amp; Mayr UK Ltd. to sublease certain space at its premises at 1 Jenkin Road, S9 1AT Sheffield, UK, to Purchaser’s Affiliate, Ashland Specialties UK Ltd., on terms and conditions to be mutually agreed upon by the Parties. The Parties shall immediately after the Closing negotiate in good faith to enter into a written sublease reflecting the sublease of such space.”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Scope of Amendment</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9"/>
          <w:szCs w:val="19"/>
          <w:color w:val="auto"/>
        </w:rPr>
        <w:t>Except as expressly amended hereby, all of the terms and provisions of the MAPA shall remain in full force and effect.</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Relationship to MAPA</w:t>
      </w:r>
    </w:p>
    <w:p>
      <w:pPr>
        <w:spacing w:after="0" w:line="158" w:lineRule="exact"/>
        <w:rPr>
          <w:sz w:val="20"/>
          <w:szCs w:val="20"/>
          <w:color w:val="auto"/>
        </w:rPr>
      </w:pPr>
    </w:p>
    <w:p>
      <w:pPr>
        <w:jc w:val="both"/>
        <w:ind w:left="760"/>
        <w:spacing w:after="0" w:line="287" w:lineRule="auto"/>
        <w:rPr>
          <w:sz w:val="20"/>
          <w:szCs w:val="20"/>
          <w:color w:val="auto"/>
        </w:rPr>
      </w:pPr>
      <w:r>
        <w:rPr>
          <w:rFonts w:ascii="Arial" w:cs="Arial" w:eastAsia="Arial" w:hAnsi="Arial"/>
          <w:sz w:val="19"/>
          <w:szCs w:val="19"/>
          <w:color w:val="auto"/>
        </w:rPr>
        <w:t>On and after the date of this Amendment Agreement, each reference in the MAPA to “this Agreement”, “hereunder”, “hereof” or words of like import, and each reference to the MAPA, including by “thereunder”, “thereof” or words of like import in any document, shall mean and be a reference to the MAPA as amended by this Amendment Agreement. Notwithstanding the foregoing, any reference to “the date of this Agreement” shall mean 18 January 2021.</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Continuing Effect of MAPA</w:t>
      </w:r>
    </w:p>
    <w:p>
      <w:pPr>
        <w:spacing w:after="0" w:line="158" w:lineRule="exact"/>
        <w:rPr>
          <w:sz w:val="20"/>
          <w:szCs w:val="20"/>
          <w:color w:val="auto"/>
        </w:rPr>
      </w:pPr>
    </w:p>
    <w:p>
      <w:pPr>
        <w:jc w:val="both"/>
        <w:ind w:left="760"/>
        <w:spacing w:after="0" w:line="297" w:lineRule="auto"/>
        <w:rPr>
          <w:sz w:val="20"/>
          <w:szCs w:val="20"/>
          <w:color w:val="auto"/>
        </w:rPr>
      </w:pPr>
      <w:r>
        <w:rPr>
          <w:rFonts w:ascii="Arial" w:cs="Arial" w:eastAsia="Arial" w:hAnsi="Arial"/>
          <w:sz w:val="19"/>
          <w:szCs w:val="19"/>
          <w:color w:val="auto"/>
        </w:rPr>
        <w:t>This Amendment shall not constitute an amendment or waiver of any provision of the MAPA not expressly referred to herein and shall not be construed as an amendment, waiver or consent to any action on the part of either party hereto that would require an amendment, waiver or consent of such party except as expressly stated herein.</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Miscellaneous</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Sections 22 through 25 of the MAPA shall apply </w:t>
      </w:r>
      <w:r>
        <w:rPr>
          <w:rFonts w:ascii="Arial" w:cs="Arial" w:eastAsia="Arial" w:hAnsi="Arial"/>
          <w:sz w:val="22"/>
          <w:szCs w:val="22"/>
          <w:i w:val="1"/>
          <w:iCs w:val="1"/>
          <w:color w:val="auto"/>
        </w:rPr>
        <w:t>mutatis mutandis</w:t>
      </w:r>
      <w:r>
        <w:rPr>
          <w:rFonts w:ascii="Arial" w:cs="Arial" w:eastAsia="Arial" w:hAnsi="Arial"/>
          <w:sz w:val="22"/>
          <w:szCs w:val="22"/>
          <w:color w:val="auto"/>
        </w:rPr>
        <w:t xml:space="preserve"> to this Amendment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414655</wp:posOffset>
            </wp:positionV>
            <wp:extent cx="7157720" cy="425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u w:val="single" w:color="auto"/>
          <w:color w:val="auto"/>
        </w:rPr>
        <w:t>Annex</w:t>
      </w:r>
    </w:p>
    <w:p>
      <w:pPr>
        <w:spacing w:after="0" w:line="177" w:lineRule="exact"/>
        <w:rPr>
          <w:sz w:val="20"/>
          <w:szCs w:val="20"/>
          <w:color w:val="auto"/>
        </w:rPr>
      </w:pPr>
    </w:p>
    <w:p>
      <w:pPr>
        <w:ind w:left="3520"/>
        <w:spacing w:after="0"/>
        <w:rPr>
          <w:sz w:val="20"/>
          <w:szCs w:val="20"/>
          <w:color w:val="auto"/>
        </w:rPr>
      </w:pPr>
      <w:r>
        <w:rPr>
          <w:rFonts w:ascii="Arial" w:cs="Arial" w:eastAsia="Arial" w:hAnsi="Arial"/>
          <w:sz w:val="22"/>
          <w:szCs w:val="22"/>
          <w:u w:val="single" w:color="auto"/>
          <w:color w:val="auto"/>
        </w:rPr>
        <w:t>Updated Exhibit 3.2(i)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929005</wp:posOffset>
            </wp:positionV>
            <wp:extent cx="7157720" cy="425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68" w:right="339" w:bottom="1440" w:gutter="0" w:footer="0" w:header="0"/>
        </w:sectPr>
      </w:pPr>
    </w:p>
    <w:bookmarkStart w:id="76" w:name="page77"/>
    <w:bookmarkEnd w:id="76"/>
    <w:p>
      <w:pPr>
        <w:spacing w:after="0"/>
        <w:rPr>
          <w:sz w:val="20"/>
          <w:szCs w:val="20"/>
          <w:color w:val="auto"/>
        </w:rPr>
      </w:pPr>
      <w:r>
        <w:rPr>
          <w:rFonts w:ascii="Arial" w:cs="Arial" w:eastAsia="Arial" w:hAnsi="Arial"/>
          <w:sz w:val="22"/>
          <w:szCs w:val="22"/>
          <w:b w:val="1"/>
          <w:bCs w:val="1"/>
          <w:color w:val="auto"/>
        </w:rPr>
        <w:t xml:space="preserve">SIGNED </w:t>
      </w:r>
      <w:r>
        <w:rPr>
          <w:rFonts w:ascii="Arial" w:cs="Arial" w:eastAsia="Arial" w:hAnsi="Arial"/>
          <w:sz w:val="22"/>
          <w:szCs w:val="22"/>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for and on behalf of )</w:t>
      </w:r>
    </w:p>
    <w:p>
      <w:pPr>
        <w:spacing w:after="0"/>
        <w:rPr>
          <w:sz w:val="20"/>
          <w:szCs w:val="20"/>
          <w:color w:val="auto"/>
        </w:rPr>
      </w:pPr>
      <w:r>
        <w:rPr>
          <w:rFonts w:ascii="Arial" w:cs="Arial" w:eastAsia="Arial" w:hAnsi="Arial"/>
          <w:sz w:val="22"/>
          <w:szCs w:val="22"/>
          <w:b w:val="1"/>
          <w:bCs w:val="1"/>
          <w:color w:val="auto"/>
        </w:rPr>
        <w:t xml:space="preserve">SCHÜLKE &amp; MAYR GMBH </w:t>
      </w:r>
      <w:r>
        <w:rPr>
          <w:rFonts w:ascii="Arial" w:cs="Arial" w:eastAsia="Arial" w:hAnsi="Arial"/>
          <w:sz w:val="22"/>
          <w:szCs w:val="22"/>
          <w:color w:val="auto"/>
        </w:rPr>
        <w:t>)</w:t>
      </w:r>
    </w:p>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22" w:lineRule="exact"/>
        <w:rPr>
          <w:sz w:val="20"/>
          <w:szCs w:val="20"/>
          <w:color w:val="auto"/>
        </w:rPr>
      </w:pPr>
    </w:p>
    <w:p>
      <w:pPr>
        <w:jc w:val="right"/>
        <w:ind w:right="2939"/>
        <w:spacing w:after="0"/>
        <w:rPr>
          <w:sz w:val="20"/>
          <w:szCs w:val="20"/>
          <w:color w:val="auto"/>
        </w:rPr>
      </w:pPr>
      <w:r>
        <w:rPr>
          <w:rFonts w:ascii="Arial" w:cs="Arial" w:eastAsia="Arial" w:hAnsi="Arial"/>
          <w:sz w:val="22"/>
          <w:szCs w:val="22"/>
          <w:color w:val="auto"/>
        </w:rPr>
        <w:t>Name: Bernhard Christian Last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586105</wp:posOffset>
            </wp:positionV>
            <wp:extent cx="7157720" cy="425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42" w:right="1440" w:bottom="1440" w:gutter="0" w:footer="0" w:header="0"/>
        </w:sectPr>
      </w:pPr>
    </w:p>
    <w:bookmarkStart w:id="77" w:name="page78"/>
    <w:bookmarkEnd w:id="77"/>
    <w:p>
      <w:pPr>
        <w:spacing w:after="0"/>
        <w:rPr>
          <w:sz w:val="20"/>
          <w:szCs w:val="20"/>
          <w:color w:val="auto"/>
        </w:rPr>
      </w:pPr>
      <w:r>
        <w:rPr>
          <w:rFonts w:ascii="Arial" w:cs="Arial" w:eastAsia="Arial" w:hAnsi="Arial"/>
          <w:sz w:val="22"/>
          <w:szCs w:val="22"/>
          <w:b w:val="1"/>
          <w:bCs w:val="1"/>
          <w:color w:val="auto"/>
        </w:rPr>
        <w:t xml:space="preserve">SIGNED </w:t>
      </w:r>
      <w:r>
        <w:rPr>
          <w:rFonts w:ascii="Arial" w:cs="Arial" w:eastAsia="Arial" w:hAnsi="Arial"/>
          <w:sz w:val="22"/>
          <w:szCs w:val="22"/>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for and on behalf of )</w:t>
      </w:r>
    </w:p>
    <w:p>
      <w:pPr>
        <w:spacing w:after="0"/>
        <w:rPr>
          <w:sz w:val="20"/>
          <w:szCs w:val="20"/>
          <w:color w:val="auto"/>
        </w:rPr>
      </w:pPr>
      <w:r>
        <w:rPr>
          <w:rFonts w:ascii="Arial" w:cs="Arial" w:eastAsia="Arial" w:hAnsi="Arial"/>
          <w:sz w:val="22"/>
          <w:szCs w:val="22"/>
          <w:b w:val="1"/>
          <w:bCs w:val="1"/>
          <w:color w:val="auto"/>
        </w:rPr>
        <w:t xml:space="preserve">ASHLAND SPECIALTIES DEUTSCHLAND GMBH </w:t>
      </w:r>
      <w:r>
        <w:rPr>
          <w:rFonts w:ascii="Arial" w:cs="Arial" w:eastAsia="Arial" w:hAnsi="Arial"/>
          <w:sz w:val="22"/>
          <w:szCs w:val="22"/>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259"/>
        <w:spacing w:after="0"/>
        <w:rPr>
          <w:sz w:val="20"/>
          <w:szCs w:val="20"/>
          <w:color w:val="auto"/>
        </w:rPr>
      </w:pPr>
      <w:r>
        <w:rPr>
          <w:rFonts w:ascii="Arial" w:cs="Arial" w:eastAsia="Arial" w:hAnsi="Arial"/>
          <w:sz w:val="19"/>
          <w:szCs w:val="19"/>
          <w:color w:val="auto"/>
        </w:rPr>
        <w:t>Signature:</w:t>
      </w:r>
    </w:p>
    <w:p>
      <w:pPr>
        <w:spacing w:after="0" w:line="200" w:lineRule="exact"/>
        <w:rPr>
          <w:sz w:val="20"/>
          <w:szCs w:val="20"/>
          <w:color w:val="auto"/>
        </w:rPr>
      </w:pPr>
    </w:p>
    <w:p>
      <w:pPr>
        <w:spacing w:after="0" w:line="257"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22" w:lineRule="exact"/>
        <w:rPr>
          <w:sz w:val="20"/>
          <w:szCs w:val="20"/>
          <w:color w:val="auto"/>
        </w:rPr>
      </w:pPr>
    </w:p>
    <w:p>
      <w:pPr>
        <w:jc w:val="center"/>
        <w:ind w:right="259"/>
        <w:spacing w:after="0"/>
        <w:rPr>
          <w:sz w:val="20"/>
          <w:szCs w:val="20"/>
          <w:color w:val="auto"/>
        </w:rPr>
      </w:pPr>
      <w:r>
        <w:rPr>
          <w:rFonts w:ascii="Arial" w:cs="Arial" w:eastAsia="Arial" w:hAnsi="Arial"/>
          <w:sz w:val="19"/>
          <w:szCs w:val="19"/>
          <w:color w:val="auto"/>
        </w:rPr>
        <w:t>Signature:</w:t>
      </w:r>
    </w:p>
    <w:p>
      <w:pPr>
        <w:spacing w:after="0" w:line="200" w:lineRule="exact"/>
        <w:rPr>
          <w:sz w:val="20"/>
          <w:szCs w:val="20"/>
          <w:color w:val="auto"/>
        </w:rPr>
      </w:pPr>
    </w:p>
    <w:p>
      <w:pPr>
        <w:spacing w:after="0" w:line="257"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586105</wp:posOffset>
            </wp:positionV>
            <wp:extent cx="7157720" cy="425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42" w:right="1440" w:bottom="1440" w:gutter="0" w:footer="0" w:header="0"/>
        </w:sectPr>
      </w:pPr>
    </w:p>
    <w:bookmarkStart w:id="78" w:name="page79"/>
    <w:bookmarkEnd w:id="78"/>
    <w:p>
      <w:pPr>
        <w:spacing w:after="0"/>
        <w:rPr>
          <w:sz w:val="20"/>
          <w:szCs w:val="20"/>
          <w:color w:val="auto"/>
        </w:rPr>
      </w:pPr>
      <w:r>
        <w:rPr>
          <w:rFonts w:ascii="Arial" w:cs="Arial" w:eastAsia="Arial" w:hAnsi="Arial"/>
          <w:sz w:val="22"/>
          <w:szCs w:val="22"/>
          <w:b w:val="1"/>
          <w:bCs w:val="1"/>
          <w:color w:val="auto"/>
        </w:rPr>
        <w:t xml:space="preserve">SIGNED </w:t>
      </w:r>
      <w:r>
        <w:rPr>
          <w:rFonts w:ascii="Arial" w:cs="Arial" w:eastAsia="Arial" w:hAnsi="Arial"/>
          <w:sz w:val="22"/>
          <w:szCs w:val="22"/>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for and on behalf of )</w:t>
      </w:r>
    </w:p>
    <w:p>
      <w:pPr>
        <w:spacing w:after="0" w:line="230" w:lineRule="auto"/>
        <w:rPr>
          <w:sz w:val="20"/>
          <w:szCs w:val="20"/>
          <w:color w:val="auto"/>
        </w:rPr>
      </w:pPr>
      <w:r>
        <w:rPr>
          <w:rFonts w:ascii="Arial" w:cs="Arial" w:eastAsia="Arial" w:hAnsi="Arial"/>
          <w:sz w:val="22"/>
          <w:szCs w:val="22"/>
          <w:b w:val="1"/>
          <w:bCs w:val="1"/>
          <w:color w:val="auto"/>
        </w:rPr>
        <w:t>ASHLAND INDUSTRIES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EUROPE GMBH </w:t>
      </w:r>
      <w:r>
        <w:rPr>
          <w:rFonts w:ascii="Arial" w:cs="Arial" w:eastAsia="Arial" w:hAnsi="Arial"/>
          <w:sz w:val="22"/>
          <w:szCs w:val="22"/>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259"/>
        <w:spacing w:after="0"/>
        <w:rPr>
          <w:sz w:val="20"/>
          <w:szCs w:val="20"/>
          <w:color w:val="auto"/>
        </w:rPr>
      </w:pPr>
      <w:r>
        <w:rPr>
          <w:rFonts w:ascii="Arial" w:cs="Arial" w:eastAsia="Arial" w:hAnsi="Arial"/>
          <w:sz w:val="19"/>
          <w:szCs w:val="19"/>
          <w:color w:val="auto"/>
        </w:rPr>
        <w:t>Signature:</w:t>
      </w:r>
    </w:p>
    <w:p>
      <w:pPr>
        <w:spacing w:after="0" w:line="200" w:lineRule="exact"/>
        <w:rPr>
          <w:sz w:val="20"/>
          <w:szCs w:val="20"/>
          <w:color w:val="auto"/>
        </w:rPr>
      </w:pPr>
    </w:p>
    <w:p>
      <w:pPr>
        <w:spacing w:after="0" w:line="257"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22" w:lineRule="exact"/>
        <w:rPr>
          <w:sz w:val="20"/>
          <w:szCs w:val="20"/>
          <w:color w:val="auto"/>
        </w:rPr>
      </w:pPr>
    </w:p>
    <w:p>
      <w:pPr>
        <w:jc w:val="center"/>
        <w:ind w:right="259"/>
        <w:spacing w:after="0"/>
        <w:rPr>
          <w:sz w:val="20"/>
          <w:szCs w:val="20"/>
          <w:color w:val="auto"/>
        </w:rPr>
      </w:pPr>
      <w:r>
        <w:rPr>
          <w:rFonts w:ascii="Arial" w:cs="Arial" w:eastAsia="Arial" w:hAnsi="Arial"/>
          <w:sz w:val="19"/>
          <w:szCs w:val="19"/>
          <w:color w:val="auto"/>
        </w:rPr>
        <w:t>Signature:</w:t>
      </w:r>
    </w:p>
    <w:p>
      <w:pPr>
        <w:spacing w:after="0" w:line="200" w:lineRule="exact"/>
        <w:rPr>
          <w:sz w:val="20"/>
          <w:szCs w:val="20"/>
          <w:color w:val="auto"/>
        </w:rPr>
      </w:pPr>
    </w:p>
    <w:p>
      <w:pPr>
        <w:spacing w:after="0" w:line="257"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843280</wp:posOffset>
            </wp:positionV>
            <wp:extent cx="7157720" cy="425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42" w:right="1440" w:bottom="1440" w:gutter="0" w:footer="0" w:header="0"/>
        </w:sectPr>
      </w:pPr>
    </w:p>
    <w:bookmarkStart w:id="79" w:name="page80"/>
    <w:bookmarkEnd w:id="79"/>
    <w:p>
      <w:pPr>
        <w:jc w:val="right"/>
        <w:spacing w:after="0"/>
        <w:rPr>
          <w:sz w:val="20"/>
          <w:szCs w:val="20"/>
          <w:color w:val="auto"/>
        </w:rPr>
      </w:pPr>
      <w:r>
        <w:rPr>
          <w:rFonts w:ascii="Arial" w:cs="Arial" w:eastAsia="Arial" w:hAnsi="Arial"/>
          <w:sz w:val="20"/>
          <w:szCs w:val="20"/>
          <w:color w:val="auto"/>
        </w:rPr>
        <w:t>EXHIBIT 31.1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color w:val="auto"/>
        </w:rPr>
        <w:t>I, Guillermo Novo, certify that:</w:t>
      </w:r>
    </w:p>
    <w:p>
      <w:pPr>
        <w:spacing w:after="0" w:line="135" w:lineRule="exact"/>
        <w:rPr>
          <w:sz w:val="20"/>
          <w:szCs w:val="20"/>
          <w:color w:val="auto"/>
        </w:rPr>
      </w:pPr>
    </w:p>
    <w:p>
      <w:pPr>
        <w:ind w:left="700" w:hanging="318"/>
        <w:spacing w:after="0"/>
        <w:tabs>
          <w:tab w:leader="none" w:pos="700" w:val="left"/>
        </w:tabs>
        <w:numPr>
          <w:ilvl w:val="0"/>
          <w:numId w:val="37"/>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Ashland Global Holdings Inc.;</w:t>
      </w:r>
    </w:p>
    <w:p>
      <w:pPr>
        <w:spacing w:after="0" w:line="134" w:lineRule="exact"/>
        <w:rPr>
          <w:rFonts w:ascii="Arial" w:cs="Arial" w:eastAsia="Arial" w:hAnsi="Arial"/>
          <w:sz w:val="20"/>
          <w:szCs w:val="20"/>
          <w:color w:val="auto"/>
        </w:rPr>
      </w:pPr>
    </w:p>
    <w:p>
      <w:pPr>
        <w:ind w:left="700" w:right="180" w:hanging="318"/>
        <w:spacing w:after="0" w:line="278" w:lineRule="auto"/>
        <w:tabs>
          <w:tab w:leader="none" w:pos="700" w:val="left"/>
        </w:tabs>
        <w:numPr>
          <w:ilvl w:val="0"/>
          <w:numId w:val="3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20"/>
          <w:szCs w:val="20"/>
          <w:color w:val="auto"/>
        </w:rPr>
      </w:pPr>
    </w:p>
    <w:p>
      <w:pPr>
        <w:ind w:left="700" w:right="60" w:hanging="318"/>
        <w:spacing w:after="0" w:line="278" w:lineRule="auto"/>
        <w:tabs>
          <w:tab w:leader="none" w:pos="700" w:val="left"/>
        </w:tabs>
        <w:numPr>
          <w:ilvl w:val="0"/>
          <w:numId w:val="37"/>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of the made in this report;</w:t>
      </w:r>
    </w:p>
    <w:p>
      <w:pPr>
        <w:spacing w:after="0" w:line="78" w:lineRule="exact"/>
        <w:rPr>
          <w:rFonts w:ascii="Arial" w:cs="Arial" w:eastAsia="Arial" w:hAnsi="Arial"/>
          <w:sz w:val="20"/>
          <w:szCs w:val="20"/>
          <w:color w:val="auto"/>
        </w:rPr>
      </w:pPr>
    </w:p>
    <w:p>
      <w:pPr>
        <w:ind w:left="700" w:right="80" w:hanging="318"/>
        <w:spacing w:after="0" w:line="278" w:lineRule="auto"/>
        <w:tabs>
          <w:tab w:leader="none" w:pos="70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Arial" w:cs="Arial" w:eastAsia="Arial" w:hAnsi="Arial"/>
          <w:sz w:val="20"/>
          <w:szCs w:val="20"/>
          <w:color w:val="auto"/>
        </w:rPr>
      </w:pPr>
    </w:p>
    <w:p>
      <w:pPr>
        <w:ind w:left="1460" w:right="80" w:hanging="329"/>
        <w:spacing w:after="0" w:line="322" w:lineRule="auto"/>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Arial" w:cs="Arial" w:eastAsia="Arial" w:hAnsi="Arial"/>
          <w:sz w:val="18"/>
          <w:szCs w:val="18"/>
          <w:color w:val="auto"/>
        </w:rPr>
      </w:pPr>
    </w:p>
    <w:p>
      <w:pPr>
        <w:ind w:left="1460" w:right="420" w:hanging="329"/>
        <w:spacing w:after="0" w:line="377" w:lineRule="auto"/>
        <w:tabs>
          <w:tab w:leader="none" w:pos="14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 w:lineRule="exact"/>
        <w:rPr>
          <w:rFonts w:ascii="Arial" w:cs="Arial" w:eastAsia="Arial" w:hAnsi="Arial"/>
          <w:sz w:val="16"/>
          <w:szCs w:val="16"/>
          <w:color w:val="auto"/>
        </w:rPr>
      </w:pPr>
    </w:p>
    <w:p>
      <w:pPr>
        <w:ind w:left="1460" w:right="280" w:hanging="329"/>
        <w:spacing w:after="0" w:line="278" w:lineRule="auto"/>
        <w:tabs>
          <w:tab w:leader="none" w:pos="1460" w:val="left"/>
        </w:tabs>
        <w:numPr>
          <w:ilvl w:val="1"/>
          <w:numId w:val="37"/>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20"/>
          <w:szCs w:val="20"/>
          <w:color w:val="auto"/>
        </w:rPr>
      </w:pPr>
    </w:p>
    <w:p>
      <w:pPr>
        <w:ind w:left="1460" w:right="60" w:hanging="329"/>
        <w:spacing w:after="0" w:line="322" w:lineRule="auto"/>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4" w:lineRule="exact"/>
        <w:rPr>
          <w:rFonts w:ascii="Arial" w:cs="Arial" w:eastAsia="Arial" w:hAnsi="Arial"/>
          <w:sz w:val="18"/>
          <w:szCs w:val="18"/>
          <w:color w:val="auto"/>
        </w:rPr>
      </w:pPr>
    </w:p>
    <w:p>
      <w:pPr>
        <w:ind w:left="700" w:right="220" w:hanging="318"/>
        <w:spacing w:after="0" w:line="278" w:lineRule="auto"/>
        <w:tabs>
          <w:tab w:leader="none" w:pos="70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20"/>
          <w:szCs w:val="20"/>
          <w:color w:val="auto"/>
        </w:rPr>
      </w:pPr>
    </w:p>
    <w:p>
      <w:pPr>
        <w:ind w:left="1460" w:right="180" w:hanging="329"/>
        <w:spacing w:after="0" w:line="278" w:lineRule="auto"/>
        <w:tabs>
          <w:tab w:leader="none" w:pos="1460" w:val="left"/>
        </w:tabs>
        <w:numPr>
          <w:ilvl w:val="1"/>
          <w:numId w:val="37"/>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20"/>
          <w:szCs w:val="20"/>
          <w:color w:val="auto"/>
        </w:rPr>
      </w:pPr>
    </w:p>
    <w:p>
      <w:pPr>
        <w:ind w:left="1460" w:right="600" w:hanging="329"/>
        <w:spacing w:after="0" w:line="288" w:lineRule="auto"/>
        <w:tabs>
          <w:tab w:leader="none" w:pos="1460" w:val="left"/>
        </w:tabs>
        <w:numPr>
          <w:ilvl w:val="1"/>
          <w:numId w:val="3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31" w:lineRule="exact"/>
        <w:rPr>
          <w:sz w:val="20"/>
          <w:szCs w:val="20"/>
          <w:color w:val="auto"/>
        </w:rPr>
      </w:pPr>
    </w:p>
    <w:p>
      <w:pPr>
        <w:ind w:left="380"/>
        <w:spacing w:after="0"/>
        <w:rPr>
          <w:sz w:val="20"/>
          <w:szCs w:val="20"/>
          <w:color w:val="auto"/>
        </w:rPr>
      </w:pPr>
      <w:r>
        <w:rPr>
          <w:rFonts w:ascii="Arial" w:cs="Arial" w:eastAsia="Arial" w:hAnsi="Arial"/>
          <w:sz w:val="20"/>
          <w:szCs w:val="20"/>
          <w:color w:val="auto"/>
        </w:rPr>
        <w:t>Date: July 29, 2021</w:t>
      </w:r>
    </w:p>
    <w:p>
      <w:pPr>
        <w:spacing w:after="0" w:line="256"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/s/ Guillermo Novo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27305</wp:posOffset>
            </wp:positionV>
            <wp:extent cx="320611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47"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Guillermo Novo</w:t>
      </w:r>
    </w:p>
    <w:p>
      <w:pPr>
        <w:spacing w:after="0" w:line="54"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Chairman and Chief Executive Officer</w:t>
      </w:r>
    </w:p>
    <w:p>
      <w:pPr>
        <w:spacing w:after="0" w:line="54"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20"/>
          <w:szCs w:val="20"/>
          <w:color w:val="auto"/>
        </w:rPr>
        <w:t>EXHIBIT 31.2</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CERTIFICATIONS</w:t>
      </w: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color w:val="auto"/>
        </w:rPr>
        <w:t>I, J. Kevin Willis, certify that:</w:t>
      </w:r>
    </w:p>
    <w:p>
      <w:pPr>
        <w:spacing w:after="0" w:line="135" w:lineRule="exact"/>
        <w:rPr>
          <w:sz w:val="20"/>
          <w:szCs w:val="20"/>
          <w:color w:val="auto"/>
        </w:rPr>
      </w:pPr>
    </w:p>
    <w:p>
      <w:pPr>
        <w:ind w:left="700" w:hanging="318"/>
        <w:spacing w:after="0"/>
        <w:tabs>
          <w:tab w:leader="none" w:pos="7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Ashland Global Holdings Inc.;</w:t>
      </w:r>
    </w:p>
    <w:p>
      <w:pPr>
        <w:spacing w:after="0" w:line="134" w:lineRule="exact"/>
        <w:rPr>
          <w:rFonts w:ascii="Arial" w:cs="Arial" w:eastAsia="Arial" w:hAnsi="Arial"/>
          <w:sz w:val="20"/>
          <w:szCs w:val="20"/>
          <w:color w:val="auto"/>
        </w:rPr>
      </w:pPr>
    </w:p>
    <w:p>
      <w:pPr>
        <w:ind w:left="700" w:right="180" w:hanging="318"/>
        <w:spacing w:after="0" w:line="278" w:lineRule="auto"/>
        <w:tabs>
          <w:tab w:leader="none" w:pos="7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20"/>
          <w:szCs w:val="20"/>
          <w:color w:val="auto"/>
        </w:rPr>
      </w:pPr>
    </w:p>
    <w:p>
      <w:pPr>
        <w:ind w:left="700" w:right="60" w:hanging="318"/>
        <w:spacing w:after="0" w:line="278" w:lineRule="auto"/>
        <w:tabs>
          <w:tab w:leader="none" w:pos="7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20"/>
          <w:szCs w:val="20"/>
          <w:color w:val="auto"/>
        </w:rPr>
      </w:pPr>
    </w:p>
    <w:p>
      <w:pPr>
        <w:ind w:left="700" w:right="80" w:hanging="318"/>
        <w:spacing w:after="0" w:line="278" w:lineRule="auto"/>
        <w:tabs>
          <w:tab w:leader="none" w:pos="7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Arial" w:cs="Arial" w:eastAsia="Arial" w:hAnsi="Arial"/>
          <w:sz w:val="20"/>
          <w:szCs w:val="20"/>
          <w:color w:val="auto"/>
        </w:rPr>
      </w:pPr>
    </w:p>
    <w:p>
      <w:pPr>
        <w:ind w:left="1460" w:right="80" w:hanging="329"/>
        <w:spacing w:after="0" w:line="322" w:lineRule="auto"/>
        <w:tabs>
          <w:tab w:leader="none" w:pos="14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Arial" w:cs="Arial" w:eastAsia="Arial" w:hAnsi="Arial"/>
          <w:sz w:val="18"/>
          <w:szCs w:val="18"/>
          <w:color w:val="auto"/>
        </w:rPr>
      </w:pPr>
    </w:p>
    <w:p>
      <w:pPr>
        <w:ind w:left="1460" w:right="420" w:hanging="329"/>
        <w:spacing w:after="0" w:line="377" w:lineRule="auto"/>
        <w:tabs>
          <w:tab w:leader="none" w:pos="14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 w:lineRule="exact"/>
        <w:rPr>
          <w:rFonts w:ascii="Arial" w:cs="Arial" w:eastAsia="Arial" w:hAnsi="Arial"/>
          <w:sz w:val="16"/>
          <w:szCs w:val="16"/>
          <w:color w:val="auto"/>
        </w:rPr>
      </w:pPr>
    </w:p>
    <w:p>
      <w:pPr>
        <w:ind w:left="1460" w:right="280" w:hanging="329"/>
        <w:spacing w:after="0" w:line="278" w:lineRule="auto"/>
        <w:tabs>
          <w:tab w:leader="none" w:pos="1460" w:val="left"/>
        </w:tabs>
        <w:numPr>
          <w:ilvl w:val="1"/>
          <w:numId w:val="3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20"/>
          <w:szCs w:val="20"/>
          <w:color w:val="auto"/>
        </w:rPr>
      </w:pPr>
    </w:p>
    <w:p>
      <w:pPr>
        <w:ind w:left="1460" w:right="60" w:hanging="329"/>
        <w:spacing w:after="0" w:line="322" w:lineRule="auto"/>
        <w:tabs>
          <w:tab w:leader="none" w:pos="14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4" w:lineRule="exact"/>
        <w:rPr>
          <w:rFonts w:ascii="Arial" w:cs="Arial" w:eastAsia="Arial" w:hAnsi="Arial"/>
          <w:sz w:val="18"/>
          <w:szCs w:val="18"/>
          <w:color w:val="auto"/>
        </w:rPr>
      </w:pPr>
    </w:p>
    <w:p>
      <w:pPr>
        <w:ind w:left="700" w:right="220" w:hanging="318"/>
        <w:spacing w:after="0" w:line="278" w:lineRule="auto"/>
        <w:tabs>
          <w:tab w:leader="none" w:pos="7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20"/>
          <w:szCs w:val="20"/>
          <w:color w:val="auto"/>
        </w:rPr>
      </w:pPr>
    </w:p>
    <w:p>
      <w:pPr>
        <w:ind w:left="1460" w:right="180" w:hanging="329"/>
        <w:spacing w:after="0" w:line="278" w:lineRule="auto"/>
        <w:tabs>
          <w:tab w:leader="none" w:pos="1460" w:val="left"/>
        </w:tabs>
        <w:numPr>
          <w:ilvl w:val="1"/>
          <w:numId w:val="38"/>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20"/>
          <w:szCs w:val="20"/>
          <w:color w:val="auto"/>
        </w:rPr>
      </w:pPr>
    </w:p>
    <w:p>
      <w:pPr>
        <w:ind w:left="1460" w:right="600" w:hanging="329"/>
        <w:spacing w:after="0" w:line="288" w:lineRule="auto"/>
        <w:tabs>
          <w:tab w:leader="none" w:pos="1460" w:val="left"/>
        </w:tabs>
        <w:numPr>
          <w:ilvl w:val="1"/>
          <w:numId w:val="3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31" w:lineRule="exact"/>
        <w:rPr>
          <w:sz w:val="20"/>
          <w:szCs w:val="20"/>
          <w:color w:val="auto"/>
        </w:rPr>
      </w:pPr>
    </w:p>
    <w:p>
      <w:pPr>
        <w:ind w:left="380"/>
        <w:spacing w:after="0"/>
        <w:rPr>
          <w:sz w:val="20"/>
          <w:szCs w:val="20"/>
          <w:color w:val="auto"/>
        </w:rPr>
      </w:pPr>
      <w:r>
        <w:rPr>
          <w:rFonts w:ascii="Arial" w:cs="Arial" w:eastAsia="Arial" w:hAnsi="Arial"/>
          <w:sz w:val="20"/>
          <w:szCs w:val="20"/>
          <w:color w:val="auto"/>
        </w:rPr>
        <w:t>Date: July 29, 2021</w:t>
      </w:r>
    </w:p>
    <w:p>
      <w:pPr>
        <w:spacing w:after="0" w:line="256"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27305</wp:posOffset>
            </wp:positionV>
            <wp:extent cx="3206115"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47"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J. Kevin Willis</w:t>
      </w:r>
    </w:p>
    <w:p>
      <w:pPr>
        <w:spacing w:after="0" w:line="54"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Chief Financial Officer</w:t>
      </w:r>
    </w:p>
    <w:p>
      <w:pPr>
        <w:spacing w:after="0" w:line="54"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20"/>
          <w:szCs w:val="20"/>
          <w:color w:val="auto"/>
        </w:rPr>
        <w:t>EXHIBIT 32</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ASHLAND GLOBAL HOLDINGS INC.</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SECTION 906 OF THE SARBANES-OXLEY ACT OF 2002</w:t>
      </w:r>
    </w:p>
    <w:p>
      <w:pPr>
        <w:spacing w:after="0" w:line="297"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In connection with the Quarterly Report of Ashland Global Holdings Inc. (the “Company”) on Form 10-Q for the period ended June 30, 2021, as filed with the Securities and Exchange Commission on the date hereof (the “Report”), each of the undersigned, Guillermo Novo, Chief Executive Officer of the Company, and J. Kevin Willis, Chief Financial Officer of the Company, certify, pursuant to 18 U.S.C. Section 1350, as adopted pursuant to Section 906 of the Sarbanes-Oxley Act of 2002, that:</w:t>
      </w:r>
    </w:p>
    <w:p>
      <w:pPr>
        <w:spacing w:after="0" w:line="216" w:lineRule="exact"/>
        <w:rPr>
          <w:sz w:val="20"/>
          <w:szCs w:val="20"/>
          <w:color w:val="auto"/>
        </w:rPr>
      </w:pPr>
    </w:p>
    <w:p>
      <w:pPr>
        <w:ind w:left="700" w:hanging="318"/>
        <w:spacing w:after="0"/>
        <w:tabs>
          <w:tab w:leader="none" w:pos="7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6" w:lineRule="exact"/>
        <w:rPr>
          <w:rFonts w:ascii="Arial" w:cs="Arial" w:eastAsia="Arial" w:hAnsi="Arial"/>
          <w:sz w:val="20"/>
          <w:szCs w:val="20"/>
          <w:color w:val="auto"/>
        </w:rPr>
      </w:pPr>
    </w:p>
    <w:p>
      <w:pPr>
        <w:ind w:left="700" w:right="200" w:hanging="318"/>
        <w:spacing w:after="0" w:line="288" w:lineRule="auto"/>
        <w:tabs>
          <w:tab w:leader="none" w:pos="7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Guillermo Novo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56616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20"/>
          <w:szCs w:val="20"/>
          <w:color w:val="auto"/>
        </w:rPr>
        <w:t>Guillermo Novo</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Chief Executive Officer</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July 29, 2021</w:t>
      </w:r>
    </w:p>
    <w:p>
      <w:pPr>
        <w:spacing w:after="0" w:line="378"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56616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20"/>
          <w:szCs w:val="20"/>
          <w:color w:val="auto"/>
        </w:rPr>
        <w:t>J. Kevin Willis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Chief Financial Officer</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July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82" w:name="page83"/>
    <w:bookmarkEnd w:id="8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lowerLetter"/>
      <w:start w:val="1"/>
    </w:lvl>
  </w:abstractNum>
  <w:abstractNum w:abstractNumId="3">
    <w:nsid w:val="333AB105"/>
    <w:multiLevelType w:val="hybridMultilevel"/>
    <w:lvl w:ilvl="0">
      <w:lvlJc w:val="left"/>
      <w:lvlText w:val="(%1)"/>
      <w:numFmt w:val="lowerLetter"/>
      <w:start w:val="1"/>
    </w:lvl>
  </w:abstractNum>
  <w:abstractNum w:abstractNumId="4">
    <w:nsid w:val="721DA317"/>
    <w:multiLevelType w:val="hybridMultilevel"/>
    <w:lvl w:ilvl="0">
      <w:lvlJc w:val="left"/>
      <w:lvlText w:val="(%1)"/>
      <w:numFmt w:val="lowerLetter"/>
      <w:start w:val="1"/>
    </w:lvl>
  </w:abstractNum>
  <w:abstractNum w:abstractNumId="5">
    <w:nsid w:val="2443A858"/>
    <w:multiLevelType w:val="hybridMultilevel"/>
    <w:lvl w:ilvl="0">
      <w:lvlJc w:val="left"/>
      <w:lvlText w:val="(%1)"/>
      <w:numFmt w:val="lowerLetter"/>
      <w:start w:val="1"/>
    </w:lvl>
  </w:abstractNum>
  <w:abstractNum w:abstractNumId="6">
    <w:nsid w:val="2D1D5AE9"/>
    <w:multiLevelType w:val="hybridMultilevel"/>
    <w:lvl w:ilvl="0">
      <w:lvlJc w:val="left"/>
      <w:lvlText w:val="(%1)"/>
      <w:numFmt w:val="lowerLetter"/>
      <w:start w:val="1"/>
    </w:lvl>
  </w:abstractNum>
  <w:abstractNum w:abstractNumId="7">
    <w:nsid w:val="6763845E"/>
    <w:multiLevelType w:val="hybridMultilevel"/>
    <w:lvl w:ilvl="0">
      <w:lvlJc w:val="left"/>
      <w:lvlText w:val="(%1)"/>
      <w:numFmt w:val="lowerLetter"/>
      <w:start w:val="1"/>
    </w:lvl>
  </w:abstractNum>
  <w:abstractNum w:abstractNumId="8">
    <w:nsid w:val="75A2A8D4"/>
    <w:multiLevelType w:val="hybridMultilevel"/>
    <w:lvl w:ilvl="0">
      <w:lvlJc w:val="left"/>
      <w:lvlText w:val="(%1)"/>
      <w:numFmt w:val="lowerLetter"/>
      <w:start w:val="1"/>
    </w:lvl>
  </w:abstractNum>
  <w:abstractNum w:abstractNumId="9">
    <w:nsid w:val="8EDBDAB"/>
    <w:multiLevelType w:val="hybridMultilevel"/>
    <w:lvl w:ilvl="0">
      <w:lvlJc w:val="left"/>
      <w:lvlText w:val="(%1)"/>
      <w:numFmt w:val="lowerLetter"/>
      <w:start w:val="1"/>
    </w:lvl>
  </w:abstractNum>
  <w:abstractNum w:abstractNumId="10">
    <w:nsid w:val="79838CB2"/>
    <w:multiLevelType w:val="hybridMultilevel"/>
    <w:lvl w:ilvl="0">
      <w:lvlJc w:val="left"/>
      <w:lvlText w:val="(%1)"/>
      <w:numFmt w:val="lowerLetter"/>
      <w:start w:val="1"/>
    </w:lvl>
  </w:abstractNum>
  <w:abstractNum w:abstractNumId="11">
    <w:nsid w:val="4353D0CD"/>
    <w:multiLevelType w:val="hybridMultilevel"/>
    <w:lvl w:ilvl="0">
      <w:lvlJc w:val="left"/>
      <w:lvlText w:val="(%1)"/>
      <w:numFmt w:val="lowerLetter"/>
      <w:start w:val="1"/>
    </w:lvl>
  </w:abstractNum>
  <w:abstractNum w:abstractNumId="12">
    <w:nsid w:val="B03E0C6"/>
    <w:multiLevelType w:val="hybridMultilevel"/>
    <w:lvl w:ilvl="0">
      <w:lvlJc w:val="left"/>
      <w:lvlText w:val="(%1)"/>
      <w:numFmt w:val="lowerLetter"/>
      <w:start w:val="1"/>
    </w:lvl>
  </w:abstractNum>
  <w:abstractNum w:abstractNumId="13">
    <w:nsid w:val="189A769B"/>
    <w:multiLevelType w:val="hybridMultilevel"/>
    <w:lvl w:ilvl="0">
      <w:lvlJc w:val="left"/>
      <w:lvlText w:val="(%1)"/>
      <w:numFmt w:val="lowerLetter"/>
      <w:start w:val="1"/>
    </w:lvl>
  </w:abstractNum>
  <w:abstractNum w:abstractNumId="14">
    <w:nsid w:val="54E49EB4"/>
    <w:multiLevelType w:val="hybridMultilevel"/>
    <w:lvl w:ilvl="0">
      <w:lvlJc w:val="left"/>
      <w:lvlText w:val="(%1)"/>
      <w:numFmt w:val="lowerLetter"/>
      <w:start w:val="1"/>
    </w:lvl>
  </w:abstractNum>
  <w:abstractNum w:abstractNumId="15">
    <w:nsid w:val="71F32454"/>
    <w:multiLevelType w:val="hybridMultilevel"/>
    <w:lvl w:ilvl="0">
      <w:lvlJc w:val="left"/>
      <w:lvlText w:val="(%1)"/>
      <w:numFmt w:val="lowerLetter"/>
      <w:start w:val="1"/>
    </w:lvl>
  </w:abstractNum>
  <w:abstractNum w:abstractNumId="16">
    <w:nsid w:val="2CA88611"/>
    <w:multiLevelType w:val="hybridMultilevel"/>
    <w:lvl w:ilvl="0">
      <w:lvlJc w:val="left"/>
      <w:lvlText w:val="(%1)"/>
      <w:numFmt w:val="lowerLetter"/>
      <w:start w:val="1"/>
    </w:lvl>
  </w:abstractNum>
  <w:abstractNum w:abstractNumId="17">
    <w:nsid w:val="836C40E"/>
    <w:multiLevelType w:val="hybridMultilevel"/>
    <w:lvl w:ilvl="0">
      <w:lvlJc w:val="left"/>
      <w:lvlText w:val="(%1)"/>
      <w:numFmt w:val="lowerLetter"/>
      <w:start w:val="1"/>
    </w:lvl>
  </w:abstractNum>
  <w:abstractNum w:abstractNumId="18">
    <w:nsid w:val="2901D82"/>
    <w:multiLevelType w:val="hybridMultilevel"/>
    <w:lvl w:ilvl="0">
      <w:lvlJc w:val="left"/>
      <w:lvlText w:val="(%1)"/>
      <w:numFmt w:val="lowerLetter"/>
      <w:start w:val="1"/>
    </w:lvl>
  </w:abstractNum>
  <w:abstractNum w:abstractNumId="19">
    <w:nsid w:val="3A95F874"/>
    <w:multiLevelType w:val="hybridMultilevel"/>
    <w:lvl w:ilvl="0">
      <w:lvlJc w:val="left"/>
      <w:lvlText w:val="(%1)"/>
      <w:numFmt w:val="lowerLetter"/>
      <w:start w:val="1"/>
    </w:lvl>
  </w:abstractNum>
  <w:abstractNum w:abstractNumId="20">
    <w:nsid w:val="8138641"/>
    <w:multiLevelType w:val="hybridMultilevel"/>
    <w:lvl w:ilvl="0">
      <w:lvlJc w:val="left"/>
      <w:lvlText w:val="(%1)"/>
      <w:numFmt w:val="lowerLetter"/>
      <w:start w:val="1"/>
    </w:lvl>
  </w:abstractNum>
  <w:abstractNum w:abstractNumId="21">
    <w:nsid w:val="1E7FF521"/>
    <w:multiLevelType w:val="hybridMultilevel"/>
    <w:lvl w:ilvl="0">
      <w:lvlJc w:val="left"/>
      <w:lvlText w:val="(%1)"/>
      <w:numFmt w:val="lowerLetter"/>
      <w:start w:val="1"/>
    </w:lvl>
  </w:abstractNum>
  <w:abstractNum w:abstractNumId="22">
    <w:nsid w:val="7C3DBD3D"/>
    <w:multiLevelType w:val="hybridMultilevel"/>
    <w:lvl w:ilvl="0">
      <w:lvlJc w:val="left"/>
      <w:lvlText w:val="(%1)"/>
      <w:numFmt w:val="lowerLetter"/>
      <w:start w:val="1"/>
    </w:lvl>
  </w:abstractNum>
  <w:abstractNum w:abstractNumId="23">
    <w:nsid w:val="737B8DDC"/>
    <w:multiLevelType w:val="hybridMultilevel"/>
    <w:lvl w:ilvl="0">
      <w:lvlJc w:val="left"/>
      <w:lvlText w:val="(%1)"/>
      <w:numFmt w:val="lowerLetter"/>
      <w:start w:val="1"/>
    </w:lvl>
  </w:abstractNum>
  <w:abstractNum w:abstractNumId="24">
    <w:nsid w:val="6CEAF087"/>
    <w:multiLevelType w:val="hybridMultilevel"/>
    <w:lvl w:ilvl="0">
      <w:lvlJc w:val="left"/>
      <w:lvlText w:val="(%1)"/>
      <w:numFmt w:val="lowerLetter"/>
      <w:start w:val="1"/>
    </w:lvl>
  </w:abstractNum>
  <w:abstractNum w:abstractNumId="25">
    <w:nsid w:val="22221A70"/>
    <w:multiLevelType w:val="hybridMultilevel"/>
    <w:lvl w:ilvl="0">
      <w:lvlJc w:val="left"/>
      <w:lvlText w:val="(%1)"/>
      <w:numFmt w:val="lowerLetter"/>
      <w:start w:val="1"/>
    </w:lvl>
  </w:abstractNum>
  <w:abstractNum w:abstractNumId="26">
    <w:nsid w:val="4516DDE9"/>
    <w:multiLevelType w:val="hybridMultilevel"/>
    <w:lvl w:ilvl="0">
      <w:lvlJc w:val="left"/>
      <w:lvlText w:val="(%1)"/>
      <w:numFmt w:val="lowerLetter"/>
      <w:start w:val="1"/>
    </w:lvl>
  </w:abstractNum>
  <w:abstractNum w:abstractNumId="27">
    <w:nsid w:val="3006C83E"/>
    <w:multiLevelType w:val="hybridMultilevel"/>
    <w:lvl w:ilvl="0">
      <w:lvlJc w:val="left"/>
      <w:lvlText w:val="(%1)"/>
      <w:numFmt w:val="lowerLetter"/>
      <w:start w:val="1"/>
    </w:lvl>
  </w:abstractNum>
  <w:abstractNum w:abstractNumId="28">
    <w:nsid w:val="614FD4A1"/>
    <w:multiLevelType w:val="hybridMultilevel"/>
    <w:lvl w:ilvl="0">
      <w:lvlJc w:val="left"/>
      <w:lvlText w:val="%1"/>
      <w:numFmt w:val="decimal"/>
      <w:start w:val="104"/>
    </w:lvl>
    <w:lvl w:ilvl="1">
      <w:lvlJc w:val="left"/>
      <w:lvlText w:val="*"/>
      <w:numFmt w:val="bullet"/>
      <w:start w:val="1"/>
    </w:lvl>
  </w:abstractNum>
  <w:abstractNum w:abstractNumId="29">
    <w:nsid w:val="419AC241"/>
    <w:multiLevelType w:val="hybridMultilevel"/>
    <w:lvl w:ilvl="0">
      <w:lvlJc w:val="left"/>
      <w:lvlText w:val="%1"/>
      <w:numFmt w:val="decimal"/>
      <w:start w:val="1"/>
    </w:lvl>
    <w:lvl w:ilvl="1">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upperLetter"/>
      <w:start w:val="1"/>
    </w:lvl>
  </w:abstractNum>
  <w:abstractNum w:abstractNumId="33">
    <w:nsid w:val="3804823E"/>
    <w:multiLevelType w:val="hybridMultilevel"/>
    <w:lvl w:ilvl="0">
      <w:lvlJc w:val="left"/>
      <w:lvlText w:val="(%1)"/>
      <w:numFmt w:val="lowerRoman"/>
      <w:start w:val="1"/>
    </w:lvl>
  </w:abstractNum>
  <w:abstractNum w:abstractNumId="34">
    <w:nsid w:val="77465F01"/>
    <w:multiLevelType w:val="hybridMultilevel"/>
    <w:lvl w:ilvl="0">
      <w:lvlJc w:val="left"/>
      <w:lvlText w:val="(%1)"/>
      <w:numFmt w:val="lowerRoman"/>
      <w:start w:val="5"/>
    </w:lvl>
    <w:lvl w:ilvl="1">
      <w:lvlJc w:val="left"/>
      <w:lvlText w:val="(%2)"/>
      <w:numFmt w:val="upperLetter"/>
      <w:start w:val="1"/>
    </w:lvl>
  </w:abstractNum>
  <w:abstractNum w:abstractNumId="35">
    <w:nsid w:val="7724C67E"/>
    <w:multiLevelType w:val="hybridMultilevel"/>
    <w:lvl w:ilvl="0">
      <w:lvlJc w:val="left"/>
      <w:lvlText w:val="(%1)"/>
      <w:numFmt w:val="lowerRoman"/>
      <w:start w:val="6"/>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2" Type="http://schemas.openxmlformats.org/officeDocument/2006/relationships/image" Target="media/image704.png"/><Relationship Id="rId713" Type="http://schemas.openxmlformats.org/officeDocument/2006/relationships/image" Target="media/image705.png"/><Relationship Id="rId714" Type="http://schemas.openxmlformats.org/officeDocument/2006/relationships/image" Target="media/image706.png"/><Relationship Id="rId715" Type="http://schemas.openxmlformats.org/officeDocument/2006/relationships/image" Target="media/image707.png"/><Relationship Id="rId716" Type="http://schemas.openxmlformats.org/officeDocument/2006/relationships/image" Target="media/image708.png"/><Relationship Id="rId717" Type="http://schemas.openxmlformats.org/officeDocument/2006/relationships/image" Target="media/image709.png"/><Relationship Id="rId718" Type="http://schemas.openxmlformats.org/officeDocument/2006/relationships/image" Target="media/image710.png"/><Relationship Id="rId719" Type="http://schemas.openxmlformats.org/officeDocument/2006/relationships/image" Target="media/image711.png"/><Relationship Id="rId720" Type="http://schemas.openxmlformats.org/officeDocument/2006/relationships/image" Target="media/image712.png"/><Relationship Id="rId721" Type="http://schemas.openxmlformats.org/officeDocument/2006/relationships/image" Target="media/image713.png"/><Relationship Id="rId722" Type="http://schemas.openxmlformats.org/officeDocument/2006/relationships/image" Target="media/image714.png"/><Relationship Id="rId723" Type="http://schemas.openxmlformats.org/officeDocument/2006/relationships/image" Target="media/image715.png"/><Relationship Id="rId724" Type="http://schemas.openxmlformats.org/officeDocument/2006/relationships/image" Target="media/image716.jpeg"/><Relationship Id="rId725" Type="http://schemas.openxmlformats.org/officeDocument/2006/relationships/image" Target="media/image717.png"/><Relationship Id="rId726" Type="http://schemas.openxmlformats.org/officeDocument/2006/relationships/image" Target="media/image718.png"/><Relationship Id="rId727" Type="http://schemas.openxmlformats.org/officeDocument/2006/relationships/image" Target="media/image719.png"/><Relationship Id="rId728" Type="http://schemas.openxmlformats.org/officeDocument/2006/relationships/image" Target="media/image720.png"/><Relationship Id="rId729" Type="http://schemas.openxmlformats.org/officeDocument/2006/relationships/image" Target="media/image721.png"/><Relationship Id="rId730" Type="http://schemas.openxmlformats.org/officeDocument/2006/relationships/image" Target="media/image722.png"/><Relationship Id="rId731" Type="http://schemas.openxmlformats.org/officeDocument/2006/relationships/image" Target="media/image723.png"/><Relationship Id="rId732" Type="http://schemas.openxmlformats.org/officeDocument/2006/relationships/image" Target="media/image724.png"/><Relationship Id="rId733" Type="http://schemas.openxmlformats.org/officeDocument/2006/relationships/image" Target="media/image725.png"/><Relationship Id="rId734" Type="http://schemas.openxmlformats.org/officeDocument/2006/relationships/image" Target="media/image726.png"/><Relationship Id="rId735" Type="http://schemas.openxmlformats.org/officeDocument/2006/relationships/image" Target="media/image727.png"/><Relationship Id="rId736" Type="http://schemas.openxmlformats.org/officeDocument/2006/relationships/image" Target="media/image728.png"/><Relationship Id="rId737" Type="http://schemas.openxmlformats.org/officeDocument/2006/relationships/image" Target="media/image729.png"/><Relationship Id="rId738" Type="http://schemas.openxmlformats.org/officeDocument/2006/relationships/image" Target="media/image730.png"/><Relationship Id="rId739" Type="http://schemas.openxmlformats.org/officeDocument/2006/relationships/image" Target="media/image731.png"/><Relationship Id="rId740" Type="http://schemas.openxmlformats.org/officeDocument/2006/relationships/image" Target="media/image732.png"/><Relationship Id="rId741" Type="http://schemas.openxmlformats.org/officeDocument/2006/relationships/image" Target="media/image733.png"/><Relationship Id="rId711" Type="http://schemas.openxmlformats.org/officeDocument/2006/relationships/hyperlink" Target="https://www.sec.gov/Archives/edgar/data/1674862/000119312521014797/d80286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2021-07-29T13:56:42Z</dcterms:created>
  <dcterms:modified xsi:type="dcterms:W3CDTF">2021-07-29T13:56:42Z</dcterms:modified>
</cp:coreProperties>
</file>