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109855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77" w:lineRule="exact"/>
        <w:rPr>
          <w:sz w:val="24"/>
          <w:szCs w:val="24"/>
          <w:color w:val="auto"/>
        </w:rPr>
      </w:pPr>
    </w:p>
    <w:p>
      <w:pPr>
        <w:ind w:left="500" w:right="300" w:hanging="479"/>
        <w:spacing w:after="0" w:line="256" w:lineRule="auto"/>
        <w:tabs>
          <w:tab w:leader="none" w:pos="5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2023</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48" w:lineRule="exact"/>
        <w:rPr>
          <w:sz w:val="24"/>
          <w:szCs w:val="24"/>
          <w:color w:val="auto"/>
        </w:rPr>
      </w:pPr>
    </w:p>
    <w:p>
      <w:pPr>
        <w:ind w:left="500" w:right="280" w:hanging="479"/>
        <w:spacing w:after="0" w:line="256" w:lineRule="auto"/>
        <w:tabs>
          <w:tab w:leader="none" w:pos="5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4"/>
          <w:szCs w:val="24"/>
          <w:color w:val="auto"/>
        </w:rPr>
      </w:pPr>
    </w:p>
    <w:tbl>
      <w:tblPr>
        <w:tblLayout w:type="fixed"/>
        <w:tblInd w:w="420" w:type="dxa"/>
        <w:tblCellMar>
          <w:top w:w="0" w:type="dxa"/>
          <w:left w:w="0" w:type="dxa"/>
          <w:bottom w:w="0" w:type="dxa"/>
          <w:right w:w="0" w:type="dxa"/>
        </w:tblCellMar>
      </w:tblPr>
      <w:tr>
        <w:trPr>
          <w:trHeight w:val="207"/>
        </w:trPr>
        <w:tc>
          <w:tcPr>
            <w:tcW w:w="9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360" w:type="dxa"/>
            <w:vAlign w:val="bottom"/>
            <w:gridSpan w:val="2"/>
          </w:tcPr>
          <w:p>
            <w:pPr>
              <w:ind w:left="180"/>
              <w:spacing w:after="0"/>
              <w:rPr>
                <w:sz w:val="20"/>
                <w:szCs w:val="20"/>
                <w:color w:val="auto"/>
              </w:rPr>
            </w:pPr>
            <w:r>
              <w:rPr>
                <w:rFonts w:ascii="Arial" w:cs="Arial" w:eastAsia="Arial" w:hAnsi="Arial"/>
                <w:sz w:val="18"/>
                <w:szCs w:val="18"/>
                <w:color w:val="auto"/>
                <w:w w:val="93"/>
              </w:rPr>
              <w:t>For the transition period from</w:t>
            </w:r>
          </w:p>
        </w:tc>
        <w:tc>
          <w:tcPr>
            <w:tcW w:w="720" w:type="dxa"/>
            <w:vAlign w:val="bottom"/>
            <w:tcBorders>
              <w:bottom w:val="single" w:sz="8" w:color="auto"/>
            </w:tcBorders>
            <w:gridSpan w:val="2"/>
          </w:tcPr>
          <w:p>
            <w:pPr>
              <w:spacing w:after="0"/>
              <w:rPr>
                <w:sz w:val="17"/>
                <w:szCs w:val="17"/>
                <w:color w:val="auto"/>
              </w:rPr>
            </w:pPr>
          </w:p>
        </w:tc>
        <w:tc>
          <w:tcPr>
            <w:tcW w:w="4040" w:type="dxa"/>
            <w:vAlign w:val="bottom"/>
            <w:gridSpan w:val="2"/>
          </w:tcPr>
          <w:p>
            <w:pPr>
              <w:ind w:left="40"/>
              <w:spacing w:after="0"/>
              <w:rPr>
                <w:sz w:val="20"/>
                <w:szCs w:val="20"/>
                <w:color w:val="auto"/>
              </w:rPr>
            </w:pPr>
            <w:r>
              <w:rPr>
                <w:rFonts w:ascii="Arial" w:cs="Arial" w:eastAsia="Arial" w:hAnsi="Arial"/>
                <w:sz w:val="18"/>
                <w:szCs w:val="18"/>
                <w:color w:val="auto"/>
              </w:rPr>
              <w:t>to</w:t>
            </w:r>
          </w:p>
        </w:tc>
      </w:tr>
      <w:tr>
        <w:trPr>
          <w:trHeight w:val="345"/>
        </w:trPr>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120" w:type="dxa"/>
            <w:vAlign w:val="bottom"/>
            <w:gridSpan w:val="6"/>
          </w:tcPr>
          <w:p>
            <w:pPr>
              <w:jc w:val="center"/>
              <w:ind w:right="2810"/>
              <w:spacing w:after="0"/>
              <w:rPr>
                <w:sz w:val="20"/>
                <w:szCs w:val="20"/>
                <w:color w:val="auto"/>
              </w:rPr>
            </w:pPr>
            <w:r>
              <w:rPr>
                <w:rFonts w:ascii="Arial" w:cs="Arial" w:eastAsia="Arial" w:hAnsi="Arial"/>
                <w:sz w:val="18"/>
                <w:szCs w:val="18"/>
                <w:color w:val="auto"/>
                <w:w w:val="91"/>
              </w:rPr>
              <w:t>Commission file number 333-211719</w:t>
            </w:r>
          </w:p>
        </w:tc>
      </w:tr>
      <w:tr>
        <w:trPr>
          <w:trHeight w:val="657"/>
        </w:trPr>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120" w:type="dxa"/>
            <w:vAlign w:val="bottom"/>
            <w:gridSpan w:val="6"/>
          </w:tcPr>
          <w:p>
            <w:pPr>
              <w:jc w:val="center"/>
              <w:ind w:right="2830"/>
              <w:spacing w:after="0"/>
              <w:rPr>
                <w:sz w:val="20"/>
                <w:szCs w:val="20"/>
                <w:color w:val="auto"/>
              </w:rPr>
            </w:pPr>
            <w:r>
              <w:rPr>
                <w:rFonts w:ascii="Arial" w:cs="Arial" w:eastAsia="Arial" w:hAnsi="Arial"/>
                <w:sz w:val="43"/>
                <w:szCs w:val="43"/>
                <w:b w:val="1"/>
                <w:bCs w:val="1"/>
                <w:color w:val="auto"/>
              </w:rPr>
              <w:t>ASHLAND INC.</w:t>
            </w:r>
          </w:p>
        </w:tc>
      </w:tr>
      <w:tr>
        <w:trPr>
          <w:trHeight w:val="328"/>
        </w:trPr>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80" w:type="dxa"/>
            <w:vAlign w:val="bottom"/>
            <w:gridSpan w:val="4"/>
          </w:tcPr>
          <w:p>
            <w:pPr>
              <w:jc w:val="center"/>
              <w:ind w:left="1020"/>
              <w:spacing w:after="0"/>
              <w:rPr>
                <w:sz w:val="20"/>
                <w:szCs w:val="20"/>
                <w:color w:val="auto"/>
              </w:rPr>
            </w:pPr>
            <w:r>
              <w:rPr>
                <w:rFonts w:ascii="Arial" w:cs="Arial" w:eastAsia="Arial" w:hAnsi="Arial"/>
                <w:sz w:val="18"/>
                <w:szCs w:val="18"/>
                <w:color w:val="auto"/>
                <w:w w:val="90"/>
              </w:rPr>
              <w:t>(a Delaware corporation)</w:t>
            </w:r>
          </w:p>
        </w:tc>
        <w:tc>
          <w:tcPr>
            <w:tcW w:w="150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230"/>
        </w:trPr>
        <w:tc>
          <w:tcPr>
            <w:tcW w:w="9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80" w:type="dxa"/>
            <w:vAlign w:val="bottom"/>
            <w:gridSpan w:val="4"/>
          </w:tcPr>
          <w:p>
            <w:pPr>
              <w:jc w:val="center"/>
              <w:ind w:left="1020"/>
              <w:spacing w:after="0"/>
              <w:rPr>
                <w:sz w:val="20"/>
                <w:szCs w:val="20"/>
                <w:color w:val="auto"/>
              </w:rPr>
            </w:pPr>
            <w:r>
              <w:rPr>
                <w:rFonts w:ascii="Arial" w:cs="Arial" w:eastAsia="Arial" w:hAnsi="Arial"/>
                <w:sz w:val="18"/>
                <w:szCs w:val="18"/>
                <w:color w:val="auto"/>
                <w:w w:val="91"/>
              </w:rPr>
              <w:t>I.R.S. No. 81-2587835</w:t>
            </w:r>
          </w:p>
        </w:tc>
        <w:tc>
          <w:tcPr>
            <w:tcW w:w="1500" w:type="dxa"/>
            <w:vAlign w:val="bottom"/>
          </w:tcPr>
          <w:p>
            <w:pPr>
              <w:spacing w:after="0"/>
              <w:rPr>
                <w:sz w:val="20"/>
                <w:szCs w:val="20"/>
                <w:color w:val="auto"/>
              </w:rPr>
            </w:pPr>
          </w:p>
        </w:tc>
        <w:tc>
          <w:tcPr>
            <w:tcW w:w="2540" w:type="dxa"/>
            <w:vAlign w:val="bottom"/>
          </w:tcPr>
          <w:p>
            <w:pPr>
              <w:spacing w:after="0"/>
              <w:rPr>
                <w:sz w:val="20"/>
                <w:szCs w:val="20"/>
                <w:color w:val="auto"/>
              </w:rPr>
            </w:pPr>
          </w:p>
        </w:tc>
      </w:tr>
      <w:tr>
        <w:trPr>
          <w:trHeight w:val="323"/>
        </w:trPr>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80" w:type="dxa"/>
            <w:vAlign w:val="bottom"/>
            <w:gridSpan w:val="4"/>
          </w:tcPr>
          <w:p>
            <w:pPr>
              <w:jc w:val="center"/>
              <w:ind w:left="1020"/>
              <w:spacing w:after="0"/>
              <w:rPr>
                <w:sz w:val="20"/>
                <w:szCs w:val="20"/>
                <w:color w:val="auto"/>
              </w:rPr>
            </w:pPr>
            <w:r>
              <w:rPr>
                <w:rFonts w:ascii="Arial" w:cs="Arial" w:eastAsia="Arial" w:hAnsi="Arial"/>
                <w:sz w:val="18"/>
                <w:szCs w:val="18"/>
                <w:color w:val="auto"/>
                <w:w w:val="92"/>
              </w:rPr>
              <w:t>8145 Blazer Drive</w:t>
            </w:r>
          </w:p>
        </w:tc>
        <w:tc>
          <w:tcPr>
            <w:tcW w:w="150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216"/>
        </w:trPr>
        <w:tc>
          <w:tcPr>
            <w:tcW w:w="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120" w:type="dxa"/>
            <w:vAlign w:val="bottom"/>
            <w:gridSpan w:val="6"/>
          </w:tcPr>
          <w:p>
            <w:pPr>
              <w:jc w:val="center"/>
              <w:ind w:right="2810"/>
              <w:spacing w:after="0"/>
              <w:rPr>
                <w:sz w:val="20"/>
                <w:szCs w:val="20"/>
                <w:color w:val="auto"/>
              </w:rPr>
            </w:pPr>
            <w:r>
              <w:rPr>
                <w:rFonts w:ascii="Arial" w:cs="Arial" w:eastAsia="Arial" w:hAnsi="Arial"/>
                <w:sz w:val="18"/>
                <w:szCs w:val="18"/>
                <w:color w:val="auto"/>
                <w:w w:val="92"/>
              </w:rPr>
              <w:t>Wilmington, Delaware 19808</w:t>
            </w:r>
          </w:p>
        </w:tc>
      </w:tr>
      <w:tr>
        <w:trPr>
          <w:trHeight w:val="220"/>
        </w:trPr>
        <w:tc>
          <w:tcPr>
            <w:tcW w:w="9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120" w:type="dxa"/>
            <w:vAlign w:val="bottom"/>
            <w:gridSpan w:val="6"/>
          </w:tcPr>
          <w:p>
            <w:pPr>
              <w:jc w:val="center"/>
              <w:ind w:right="2830"/>
              <w:spacing w:after="0"/>
              <w:rPr>
                <w:sz w:val="20"/>
                <w:szCs w:val="20"/>
                <w:color w:val="auto"/>
              </w:rPr>
            </w:pPr>
            <w:r>
              <w:rPr>
                <w:rFonts w:ascii="Arial" w:cs="Arial" w:eastAsia="Arial" w:hAnsi="Arial"/>
                <w:sz w:val="18"/>
                <w:szCs w:val="18"/>
                <w:color w:val="auto"/>
                <w:w w:val="90"/>
              </w:rPr>
              <w:t>Telephone Number (302) 995-3000</w:t>
            </w:r>
          </w:p>
        </w:tc>
      </w:tr>
      <w:tr>
        <w:trPr>
          <w:trHeight w:val="206"/>
        </w:trPr>
        <w:tc>
          <w:tcPr>
            <w:tcW w:w="9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120" w:type="dxa"/>
            <w:vAlign w:val="bottom"/>
            <w:gridSpan w:val="6"/>
          </w:tcPr>
          <w:p>
            <w:pPr>
              <w:jc w:val="center"/>
              <w:ind w:right="2830"/>
              <w:spacing w:after="0"/>
              <w:rPr>
                <w:sz w:val="20"/>
                <w:szCs w:val="20"/>
                <w:color w:val="auto"/>
              </w:rPr>
            </w:pPr>
            <w:r>
              <w:rPr>
                <w:rFonts w:ascii="Arial" w:cs="Arial" w:eastAsia="Arial" w:hAnsi="Arial"/>
                <w:sz w:val="16"/>
                <w:szCs w:val="16"/>
                <w:color w:val="auto"/>
                <w:w w:val="91"/>
              </w:rPr>
              <w:t>Securities Registered Pursuant to Section 12(b) of the Act:</w:t>
            </w:r>
          </w:p>
        </w:tc>
      </w:tr>
      <w:tr>
        <w:trPr>
          <w:trHeight w:val="249"/>
        </w:trPr>
        <w:tc>
          <w:tcPr>
            <w:tcW w:w="9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2"/>
              </w:rPr>
              <w:t>Title of each class</w:t>
            </w:r>
          </w:p>
        </w:tc>
        <w:tc>
          <w:tcPr>
            <w:tcW w:w="1120" w:type="dxa"/>
            <w:vAlign w:val="bottom"/>
          </w:tcPr>
          <w:p>
            <w:pPr>
              <w:spacing w:after="0"/>
              <w:rPr>
                <w:sz w:val="21"/>
                <w:szCs w:val="21"/>
                <w:color w:val="auto"/>
              </w:rPr>
            </w:pPr>
          </w:p>
        </w:tc>
        <w:tc>
          <w:tcPr>
            <w:tcW w:w="3080" w:type="dxa"/>
            <w:vAlign w:val="bottom"/>
            <w:gridSpan w:val="4"/>
          </w:tcPr>
          <w:p>
            <w:pPr>
              <w:jc w:val="center"/>
              <w:ind w:left="1040"/>
              <w:spacing w:after="0"/>
              <w:rPr>
                <w:sz w:val="20"/>
                <w:szCs w:val="20"/>
                <w:color w:val="auto"/>
              </w:rPr>
            </w:pPr>
            <w:r>
              <w:rPr>
                <w:rFonts w:ascii="Arial" w:cs="Arial" w:eastAsia="Arial" w:hAnsi="Arial"/>
                <w:sz w:val="14"/>
                <w:szCs w:val="14"/>
                <w:color w:val="auto"/>
                <w:w w:val="95"/>
              </w:rPr>
              <w:t>Trading Symbol</w:t>
            </w:r>
          </w:p>
        </w:tc>
        <w:tc>
          <w:tcPr>
            <w:tcW w:w="4040" w:type="dxa"/>
            <w:vAlign w:val="bottom"/>
            <w:gridSpan w:val="2"/>
          </w:tcPr>
          <w:p>
            <w:pPr>
              <w:jc w:val="center"/>
              <w:ind w:left="1419"/>
              <w:spacing w:after="0"/>
              <w:rPr>
                <w:sz w:val="20"/>
                <w:szCs w:val="20"/>
                <w:color w:val="auto"/>
              </w:rPr>
            </w:pPr>
            <w:r>
              <w:rPr>
                <w:rFonts w:ascii="Arial" w:cs="Arial" w:eastAsia="Arial" w:hAnsi="Arial"/>
                <w:sz w:val="14"/>
                <w:szCs w:val="14"/>
                <w:color w:val="auto"/>
                <w:w w:val="91"/>
              </w:rPr>
              <w:t>Name of each exchange on which registered</w:t>
            </w:r>
          </w:p>
        </w:tc>
      </w:tr>
      <w:tr>
        <w:trPr>
          <w:trHeight w:val="20"/>
        </w:trPr>
        <w:tc>
          <w:tcPr>
            <w:tcW w:w="9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r>
      <w:tr>
        <w:trPr>
          <w:trHeight w:val="277"/>
        </w:trPr>
        <w:tc>
          <w:tcPr>
            <w:tcW w:w="3100" w:type="dxa"/>
            <w:vAlign w:val="bottom"/>
            <w:gridSpan w:val="3"/>
          </w:tcPr>
          <w:p>
            <w:pPr>
              <w:jc w:val="center"/>
              <w:ind w:right="180"/>
              <w:spacing w:after="0"/>
              <w:rPr>
                <w:sz w:val="20"/>
                <w:szCs w:val="20"/>
                <w:color w:val="auto"/>
              </w:rPr>
            </w:pPr>
            <w:r>
              <w:rPr>
                <w:rFonts w:ascii="Arial" w:cs="Arial" w:eastAsia="Arial" w:hAnsi="Arial"/>
                <w:sz w:val="18"/>
                <w:szCs w:val="18"/>
                <w:color w:val="auto"/>
                <w:w w:val="88"/>
              </w:rPr>
              <w:t>Common Stock, par value $.01 per share</w:t>
            </w:r>
          </w:p>
        </w:tc>
        <w:tc>
          <w:tcPr>
            <w:tcW w:w="1640" w:type="dxa"/>
            <w:vAlign w:val="bottom"/>
          </w:tcPr>
          <w:p>
            <w:pPr>
              <w:spacing w:after="0"/>
              <w:rPr>
                <w:sz w:val="24"/>
                <w:szCs w:val="24"/>
                <w:color w:val="auto"/>
              </w:rPr>
            </w:pPr>
          </w:p>
        </w:tc>
        <w:tc>
          <w:tcPr>
            <w:tcW w:w="1440" w:type="dxa"/>
            <w:vAlign w:val="bottom"/>
            <w:gridSpan w:val="3"/>
          </w:tcPr>
          <w:p>
            <w:pPr>
              <w:jc w:val="center"/>
              <w:ind w:right="520"/>
              <w:spacing w:after="0"/>
              <w:rPr>
                <w:sz w:val="20"/>
                <w:szCs w:val="20"/>
                <w:color w:val="auto"/>
              </w:rPr>
            </w:pPr>
            <w:r>
              <w:rPr>
                <w:rFonts w:ascii="Arial" w:cs="Arial" w:eastAsia="Arial" w:hAnsi="Arial"/>
                <w:sz w:val="18"/>
                <w:szCs w:val="18"/>
                <w:color w:val="auto"/>
                <w:w w:val="97"/>
              </w:rPr>
              <w:t>ASH</w:t>
            </w:r>
          </w:p>
        </w:tc>
        <w:tc>
          <w:tcPr>
            <w:tcW w:w="1500" w:type="dxa"/>
            <w:vAlign w:val="bottom"/>
          </w:tcPr>
          <w:p>
            <w:pPr>
              <w:spacing w:after="0"/>
              <w:rPr>
                <w:sz w:val="24"/>
                <w:szCs w:val="24"/>
                <w:color w:val="auto"/>
              </w:rPr>
            </w:pPr>
          </w:p>
        </w:tc>
        <w:tc>
          <w:tcPr>
            <w:tcW w:w="254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7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12(g) of the Act: None</w:t>
      </w:r>
    </w:p>
    <w:p>
      <w:pPr>
        <w:spacing w:after="0" w:line="122"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8" w:lineRule="exact"/>
        <w:rPr>
          <w:sz w:val="24"/>
          <w:szCs w:val="24"/>
          <w:color w:val="auto"/>
        </w:rPr>
      </w:pPr>
    </w:p>
    <w:p>
      <w:pPr>
        <w:jc w:val="both"/>
        <w:ind w:firstLine="509"/>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8" w:lineRule="exact"/>
        <w:rPr>
          <w:sz w:val="24"/>
          <w:szCs w:val="24"/>
          <w:color w:val="auto"/>
        </w:rPr>
      </w:pPr>
    </w:p>
    <w:p>
      <w:pPr>
        <w:jc w:val="both"/>
        <w:ind w:firstLine="509"/>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5" w:lineRule="exact"/>
        <w:rPr>
          <w:sz w:val="24"/>
          <w:szCs w:val="24"/>
          <w:color w:val="auto"/>
        </w:rPr>
      </w:pPr>
    </w:p>
    <w:tbl>
      <w:tblPr>
        <w:tblLayout w:type="fixed"/>
        <w:tblInd w:w="20" w:type="dxa"/>
        <w:tblCellMar>
          <w:top w:w="0" w:type="dxa"/>
          <w:left w:w="0" w:type="dxa"/>
          <w:bottom w:w="0" w:type="dxa"/>
          <w:right w:w="0" w:type="dxa"/>
        </w:tblCellMar>
      </w:tblPr>
      <w:tr>
        <w:trPr>
          <w:trHeight w:val="243"/>
        </w:trPr>
        <w:tc>
          <w:tcPr>
            <w:tcW w:w="26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900" w:type="dxa"/>
            <w:vAlign w:val="bottom"/>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4700" w:type="dxa"/>
            <w:vAlign w:val="bottom"/>
          </w:tcPr>
          <w:p>
            <w:pPr>
              <w:ind w:left="1780"/>
              <w:spacing w:after="0"/>
              <w:rPr>
                <w:sz w:val="20"/>
                <w:szCs w:val="20"/>
                <w:color w:val="auto"/>
              </w:rPr>
            </w:pPr>
            <w:r>
              <w:rPr>
                <w:rFonts w:ascii="Arial" w:cs="Arial" w:eastAsia="Arial" w:hAnsi="Arial"/>
                <w:sz w:val="18"/>
                <w:szCs w:val="18"/>
                <w:color w:val="auto"/>
              </w:rPr>
              <w:t>Accelerated Filer</w:t>
            </w:r>
          </w:p>
        </w:tc>
        <w:tc>
          <w:tcPr>
            <w:tcW w:w="980" w:type="dxa"/>
            <w:vAlign w:val="bottom"/>
          </w:tcPr>
          <w:p>
            <w:pPr>
              <w:ind w:left="8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3"/>
        </w:trPr>
        <w:tc>
          <w:tcPr>
            <w:tcW w:w="2620" w:type="dxa"/>
            <w:vAlign w:val="bottom"/>
          </w:tcPr>
          <w:p>
            <w:pPr>
              <w:spacing w:after="0"/>
              <w:rPr>
                <w:sz w:val="20"/>
                <w:szCs w:val="20"/>
                <w:color w:val="auto"/>
              </w:rPr>
            </w:pPr>
            <w:r>
              <w:rPr>
                <w:rFonts w:ascii="Arial" w:cs="Arial" w:eastAsia="Arial" w:hAnsi="Arial"/>
                <w:sz w:val="18"/>
                <w:szCs w:val="18"/>
                <w:color w:val="auto"/>
              </w:rPr>
              <w:t>Non-Accelerated Filer</w:t>
            </w:r>
          </w:p>
        </w:tc>
        <w:tc>
          <w:tcPr>
            <w:tcW w:w="2900" w:type="dxa"/>
            <w:vAlign w:val="bottom"/>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4700" w:type="dxa"/>
            <w:vAlign w:val="bottom"/>
          </w:tcPr>
          <w:p>
            <w:pPr>
              <w:ind w:left="1780"/>
              <w:spacing w:after="0"/>
              <w:rPr>
                <w:sz w:val="20"/>
                <w:szCs w:val="20"/>
                <w:color w:val="auto"/>
              </w:rPr>
            </w:pPr>
            <w:r>
              <w:rPr>
                <w:rFonts w:ascii="Arial" w:cs="Arial" w:eastAsia="Arial" w:hAnsi="Arial"/>
                <w:sz w:val="18"/>
                <w:szCs w:val="18"/>
                <w:color w:val="auto"/>
              </w:rPr>
              <w:t>Smaller Reporting Company</w:t>
            </w:r>
          </w:p>
        </w:tc>
        <w:tc>
          <w:tcPr>
            <w:tcW w:w="980" w:type="dxa"/>
            <w:vAlign w:val="bottom"/>
          </w:tcPr>
          <w:p>
            <w:pPr>
              <w:ind w:left="8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6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700" w:type="dxa"/>
            <w:vAlign w:val="bottom"/>
          </w:tcPr>
          <w:p>
            <w:pPr>
              <w:ind w:left="1780"/>
              <w:spacing w:after="0"/>
              <w:rPr>
                <w:sz w:val="20"/>
                <w:szCs w:val="20"/>
                <w:color w:val="auto"/>
              </w:rPr>
            </w:pPr>
            <w:r>
              <w:rPr>
                <w:rFonts w:ascii="Arial" w:cs="Arial" w:eastAsia="Arial" w:hAnsi="Arial"/>
                <w:sz w:val="18"/>
                <w:szCs w:val="18"/>
                <w:color w:val="auto"/>
              </w:rPr>
              <w:t>Emerging Growth Company</w:t>
            </w:r>
          </w:p>
        </w:tc>
        <w:tc>
          <w:tcPr>
            <w:tcW w:w="980" w:type="dxa"/>
            <w:vAlign w:val="bottom"/>
          </w:tcPr>
          <w:p>
            <w:pPr>
              <w:ind w:left="8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93" w:lineRule="exact"/>
        <w:rPr>
          <w:sz w:val="24"/>
          <w:szCs w:val="24"/>
          <w:color w:val="auto"/>
        </w:rPr>
      </w:pPr>
    </w:p>
    <w:p>
      <w:pPr>
        <w:jc w:val="both"/>
        <w:ind w:firstLine="509"/>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1" w:lineRule="exact"/>
        <w:rPr>
          <w:sz w:val="24"/>
          <w:szCs w:val="24"/>
          <w:color w:val="auto"/>
        </w:rPr>
      </w:pPr>
    </w:p>
    <w:p>
      <w:pPr>
        <w:ind w:left="520" w:right="1340"/>
        <w:spacing w:after="0" w:line="300"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At June 30, 2023, there were 51,241,016 shares of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364490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20"/>
          <w:szCs w:val="20"/>
          <w:b w:val="1"/>
          <w:bCs w:val="1"/>
          <w:u w:val="single" w:color="auto"/>
          <w:color w:val="auto"/>
        </w:rPr>
        <w:t>PART I - FINANCIAL INFORMATION</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ASHLAND INC. AND CONSOLIDATED SUBSIDIARIES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STATEMENTS OF CONSOLIDATED COMPREHENSIVE INCOME (LOSS)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44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2100" w:type="dxa"/>
            <w:vAlign w:val="bottom"/>
            <w:tcBorders>
              <w:top w:val="single" w:sz="8" w:color="auto"/>
            </w:tcBorders>
            <w:gridSpan w:val="4"/>
          </w:tcPr>
          <w:p>
            <w:pPr>
              <w:jc w:val="right"/>
              <w:ind w:right="390"/>
              <w:spacing w:after="0"/>
              <w:rPr>
                <w:sz w:val="20"/>
                <w:szCs w:val="20"/>
                <w:color w:val="auto"/>
              </w:rPr>
            </w:pPr>
            <w:r>
              <w:rPr>
                <w:rFonts w:ascii="Arial" w:cs="Arial" w:eastAsia="Arial" w:hAnsi="Arial"/>
                <w:sz w:val="18"/>
                <w:szCs w:val="18"/>
                <w:color w:val="auto"/>
                <w:w w:val="96"/>
              </w:rPr>
              <w:t>Three months ended</w:t>
            </w:r>
          </w:p>
        </w:tc>
        <w:tc>
          <w:tcPr>
            <w:tcW w:w="14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2140" w:type="dxa"/>
            <w:vAlign w:val="bottom"/>
            <w:tcBorders>
              <w:top w:val="single" w:sz="8" w:color="auto"/>
            </w:tcBorders>
            <w:gridSpan w:val="4"/>
          </w:tcPr>
          <w:p>
            <w:pPr>
              <w:jc w:val="right"/>
              <w:ind w:right="450"/>
              <w:spacing w:after="0"/>
              <w:rPr>
                <w:sz w:val="20"/>
                <w:szCs w:val="20"/>
                <w:color w:val="auto"/>
              </w:rPr>
            </w:pPr>
            <w:r>
              <w:rPr>
                <w:rFonts w:ascii="Arial" w:cs="Arial" w:eastAsia="Arial" w:hAnsi="Arial"/>
                <w:sz w:val="18"/>
                <w:szCs w:val="18"/>
                <w:color w:val="auto"/>
              </w:rPr>
              <w:t>Nine months ended</w:t>
            </w:r>
          </w:p>
        </w:tc>
      </w:tr>
      <w:tr>
        <w:trPr>
          <w:trHeight w:val="249"/>
        </w:trPr>
        <w:tc>
          <w:tcPr>
            <w:tcW w:w="64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June 30</w:t>
            </w:r>
          </w:p>
        </w:tc>
        <w:tc>
          <w:tcPr>
            <w:tcW w:w="86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June 30</w:t>
            </w:r>
          </w:p>
        </w:tc>
        <w:tc>
          <w:tcPr>
            <w:tcW w:w="880" w:type="dxa"/>
            <w:vAlign w:val="bottom"/>
            <w:tcBorders>
              <w:bottom w:val="single" w:sz="8" w:color="auto"/>
            </w:tcBorders>
          </w:tcPr>
          <w:p>
            <w:pPr>
              <w:spacing w:after="0"/>
              <w:rPr>
                <w:sz w:val="21"/>
                <w:szCs w:val="21"/>
                <w:color w:val="auto"/>
              </w:rPr>
            </w:pPr>
          </w:p>
        </w:tc>
      </w:tr>
      <w:tr>
        <w:trPr>
          <w:trHeight w:val="237"/>
        </w:trPr>
        <w:tc>
          <w:tcPr>
            <w:tcW w:w="6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 except per share data - unaudited)</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2023</w:t>
            </w: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2022</w:t>
            </w: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2022</w:t>
            </w:r>
          </w:p>
        </w:tc>
      </w:tr>
      <w:tr>
        <w:trPr>
          <w:trHeight w:val="243"/>
        </w:trPr>
        <w:tc>
          <w:tcPr>
            <w:tcW w:w="6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546</w:t>
            </w:r>
          </w:p>
        </w:tc>
        <w:tc>
          <w:tcPr>
            <w:tcW w:w="3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644</w:t>
            </w:r>
          </w:p>
        </w:tc>
        <w:tc>
          <w:tcPr>
            <w:tcW w:w="3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1,674</w:t>
            </w:r>
          </w:p>
        </w:tc>
        <w:tc>
          <w:tcPr>
            <w:tcW w:w="3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1,759</w:t>
            </w:r>
          </w:p>
        </w:tc>
      </w:tr>
      <w:tr>
        <w:trPr>
          <w:trHeight w:val="243"/>
        </w:trPr>
        <w:tc>
          <w:tcPr>
            <w:tcW w:w="644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368</w:t>
            </w:r>
          </w:p>
        </w:tc>
        <w:tc>
          <w:tcPr>
            <w:tcW w:w="1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404</w:t>
            </w:r>
          </w:p>
        </w:tc>
        <w:tc>
          <w:tcPr>
            <w:tcW w:w="1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1,134</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1,139</w:t>
            </w:r>
          </w:p>
        </w:tc>
      </w:tr>
      <w:tr>
        <w:trPr>
          <w:trHeight w:val="237"/>
        </w:trPr>
        <w:tc>
          <w:tcPr>
            <w:tcW w:w="6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178</w:t>
            </w: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240</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540</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620</w:t>
            </w:r>
          </w:p>
        </w:tc>
      </w:tr>
      <w:tr>
        <w:trPr>
          <w:trHeight w:val="243"/>
        </w:trPr>
        <w:tc>
          <w:tcPr>
            <w:tcW w:w="6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43"/>
        </w:trPr>
        <w:tc>
          <w:tcPr>
            <w:tcW w:w="6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Selling, general and administrative expense</w:t>
            </w: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84</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127</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256</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299</w:t>
            </w:r>
          </w:p>
        </w:tc>
      </w:tr>
      <w:tr>
        <w:trPr>
          <w:trHeight w:val="237"/>
        </w:trPr>
        <w:tc>
          <w:tcPr>
            <w:tcW w:w="6440" w:type="dxa"/>
            <w:vAlign w:val="bottom"/>
          </w:tcPr>
          <w:p>
            <w:pPr>
              <w:ind w:left="20"/>
              <w:spacing w:after="0"/>
              <w:rPr>
                <w:sz w:val="20"/>
                <w:szCs w:val="20"/>
                <w:color w:val="auto"/>
              </w:rPr>
            </w:pPr>
            <w:r>
              <w:rPr>
                <w:rFonts w:ascii="Arial" w:cs="Arial" w:eastAsia="Arial" w:hAnsi="Arial"/>
                <w:sz w:val="18"/>
                <w:szCs w:val="18"/>
                <w:color w:val="auto"/>
              </w:rPr>
              <w:t>Research and development expense</w:t>
            </w:r>
          </w:p>
        </w:tc>
        <w:tc>
          <w:tcPr>
            <w:tcW w:w="220" w:type="dxa"/>
            <w:vAlign w:val="bottom"/>
          </w:tcPr>
          <w:p>
            <w:pPr>
              <w:spacing w:after="0"/>
              <w:rPr>
                <w:sz w:val="20"/>
                <w:szCs w:val="20"/>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40</w:t>
            </w:r>
          </w:p>
        </w:tc>
      </w:tr>
      <w:tr>
        <w:trPr>
          <w:trHeight w:val="249"/>
        </w:trPr>
        <w:tc>
          <w:tcPr>
            <w:tcW w:w="6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Intangibles amortization expense - Note G</w:t>
            </w: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71</w:t>
            </w:r>
          </w:p>
        </w:tc>
      </w:tr>
      <w:tr>
        <w:trPr>
          <w:trHeight w:val="237"/>
        </w:trPr>
        <w:tc>
          <w:tcPr>
            <w:tcW w:w="6440" w:type="dxa"/>
            <w:vAlign w:val="bottom"/>
          </w:tcPr>
          <w:p>
            <w:pPr>
              <w:ind w:left="20"/>
              <w:spacing w:after="0"/>
              <w:rPr>
                <w:sz w:val="20"/>
                <w:szCs w:val="20"/>
                <w:color w:val="auto"/>
              </w:rPr>
            </w:pPr>
            <w:r>
              <w:rPr>
                <w:rFonts w:ascii="Arial" w:cs="Arial" w:eastAsia="Arial" w:hAnsi="Arial"/>
                <w:sz w:val="18"/>
                <w:szCs w:val="18"/>
                <w:color w:val="auto"/>
              </w:rPr>
              <w:t>Equity and other income</w:t>
            </w:r>
          </w:p>
        </w:tc>
        <w:tc>
          <w:tcPr>
            <w:tcW w:w="220" w:type="dxa"/>
            <w:vAlign w:val="bottom"/>
          </w:tcPr>
          <w:p>
            <w:pPr>
              <w:spacing w:after="0"/>
              <w:rPr>
                <w:sz w:val="20"/>
                <w:szCs w:val="20"/>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2</w:t>
            </w:r>
          </w:p>
        </w:tc>
      </w:tr>
      <w:tr>
        <w:trPr>
          <w:trHeight w:val="249"/>
        </w:trPr>
        <w:tc>
          <w:tcPr>
            <w:tcW w:w="6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Income on acquisitions and divestitures, net - Note B</w:t>
            </w:r>
          </w:p>
        </w:tc>
        <w:tc>
          <w:tcPr>
            <w:tcW w:w="22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35</w:t>
            </w: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42</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20"/>
                <w:szCs w:val="20"/>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62</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112</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254</w:t>
            </w:r>
          </w:p>
        </w:tc>
      </w:tr>
      <w:tr>
        <w:trPr>
          <w:trHeight w:val="249"/>
        </w:trPr>
        <w:tc>
          <w:tcPr>
            <w:tcW w:w="64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r>
      <w:tr>
        <w:trPr>
          <w:trHeight w:val="237"/>
        </w:trPr>
        <w:tc>
          <w:tcPr>
            <w:tcW w:w="6440" w:type="dxa"/>
            <w:vAlign w:val="bottom"/>
          </w:tcPr>
          <w:p>
            <w:pPr>
              <w:ind w:left="20"/>
              <w:spacing w:after="0"/>
              <w:rPr>
                <w:sz w:val="20"/>
                <w:szCs w:val="20"/>
                <w:color w:val="auto"/>
              </w:rPr>
            </w:pPr>
            <w:r>
              <w:rPr>
                <w:rFonts w:ascii="Arial" w:cs="Arial" w:eastAsia="Arial" w:hAnsi="Arial"/>
                <w:sz w:val="18"/>
                <w:szCs w:val="18"/>
                <w:color w:val="auto"/>
              </w:rPr>
              <w:t>Net interest and other expense (income)</w:t>
            </w:r>
          </w:p>
        </w:tc>
        <w:tc>
          <w:tcPr>
            <w:tcW w:w="220" w:type="dxa"/>
            <w:vAlign w:val="bottom"/>
          </w:tcPr>
          <w:p>
            <w:pPr>
              <w:spacing w:after="0"/>
              <w:rPr>
                <w:sz w:val="20"/>
                <w:szCs w:val="20"/>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59</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108</w:t>
            </w:r>
          </w:p>
        </w:tc>
      </w:tr>
      <w:tr>
        <w:trPr>
          <w:trHeight w:val="249"/>
        </w:trPr>
        <w:tc>
          <w:tcPr>
            <w:tcW w:w="6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net periodic benefit loss - Note K</w:t>
            </w:r>
          </w:p>
        </w:tc>
        <w:tc>
          <w:tcPr>
            <w:tcW w:w="22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Income from continuing operations before income taxes</w:t>
            </w:r>
          </w:p>
        </w:tc>
        <w:tc>
          <w:tcPr>
            <w:tcW w:w="220" w:type="dxa"/>
            <w:vAlign w:val="bottom"/>
          </w:tcPr>
          <w:p>
            <w:pPr>
              <w:spacing w:after="0"/>
              <w:rPr>
                <w:sz w:val="20"/>
                <w:szCs w:val="20"/>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146</w:t>
            </w:r>
          </w:p>
        </w:tc>
      </w:tr>
      <w:tr>
        <w:trPr>
          <w:trHeight w:val="249"/>
        </w:trPr>
        <w:tc>
          <w:tcPr>
            <w:tcW w:w="6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Income tax expense - Note J</w:t>
            </w:r>
          </w:p>
        </w:tc>
        <w:tc>
          <w:tcPr>
            <w:tcW w:w="22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15</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25</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tcPr>
          <w:p>
            <w:pPr>
              <w:spacing w:after="0"/>
              <w:rPr>
                <w:sz w:val="20"/>
                <w:szCs w:val="20"/>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121</w:t>
            </w:r>
          </w:p>
        </w:tc>
      </w:tr>
      <w:tr>
        <w:trPr>
          <w:trHeight w:val="249"/>
        </w:trPr>
        <w:tc>
          <w:tcPr>
            <w:tcW w:w="6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Income (loss) from discontinued operations (net of income taxes) - Note C</w:t>
            </w:r>
          </w:p>
        </w:tc>
        <w:tc>
          <w:tcPr>
            <w:tcW w:w="22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(15 )</w:t>
            </w: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749</w:t>
            </w:r>
          </w:p>
        </w:tc>
      </w:tr>
      <w:tr>
        <w:trPr>
          <w:trHeight w:val="237"/>
        </w:trPr>
        <w:tc>
          <w:tcPr>
            <w:tcW w:w="64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50</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36</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182</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870</w:t>
            </w:r>
          </w:p>
        </w:tc>
      </w:tr>
      <w:tr>
        <w:trPr>
          <w:trHeight w:val="20"/>
        </w:trPr>
        <w:tc>
          <w:tcPr>
            <w:tcW w:w="6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6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r>
      <w:tr>
        <w:trPr>
          <w:trHeight w:val="239"/>
        </w:trPr>
        <w:tc>
          <w:tcPr>
            <w:tcW w:w="6440" w:type="dxa"/>
            <w:vAlign w:val="bottom"/>
          </w:tcPr>
          <w:p>
            <w:pPr>
              <w:ind w:left="20"/>
              <w:spacing w:after="0"/>
              <w:rPr>
                <w:sz w:val="20"/>
                <w:szCs w:val="20"/>
                <w:color w:val="auto"/>
              </w:rPr>
            </w:pPr>
            <w:r>
              <w:rPr>
                <w:rFonts w:ascii="Arial" w:cs="Arial" w:eastAsia="Arial" w:hAnsi="Arial"/>
                <w:sz w:val="18"/>
                <w:szCs w:val="18"/>
                <w:b w:val="1"/>
                <w:bCs w:val="1"/>
                <w:color w:val="auto"/>
              </w:rPr>
              <w:t>PER SHARE DATA</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47"/>
        </w:trPr>
        <w:tc>
          <w:tcPr>
            <w:tcW w:w="6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Basic earnings per share - Note M</w:t>
            </w: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r>
      <w:tr>
        <w:trPr>
          <w:trHeight w:val="237"/>
        </w:trPr>
        <w:tc>
          <w:tcPr>
            <w:tcW w:w="6440" w:type="dxa"/>
            <w:vAlign w:val="bottom"/>
          </w:tcPr>
          <w:p>
            <w:pPr>
              <w:ind w:left="200"/>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0.81</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0.94</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3.29</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2.16</w:t>
            </w:r>
          </w:p>
        </w:tc>
      </w:tr>
      <w:tr>
        <w:trPr>
          <w:trHeight w:val="249"/>
        </w:trPr>
        <w:tc>
          <w:tcPr>
            <w:tcW w:w="64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Income (loss) from discontinued operations</w:t>
            </w:r>
          </w:p>
        </w:tc>
        <w:tc>
          <w:tcPr>
            <w:tcW w:w="22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0.15</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(0.28 )</w:t>
            </w: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0.11</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13.40</w:t>
            </w:r>
          </w:p>
        </w:tc>
      </w:tr>
      <w:tr>
        <w:trPr>
          <w:trHeight w:val="236"/>
        </w:trPr>
        <w:tc>
          <w:tcPr>
            <w:tcW w:w="64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0.96</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0.66</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3.40</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15.56</w:t>
            </w:r>
          </w:p>
        </w:tc>
      </w:tr>
      <w:tr>
        <w:trPr>
          <w:trHeight w:val="20"/>
        </w:trPr>
        <w:tc>
          <w:tcPr>
            <w:tcW w:w="6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6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r>
      <w:tr>
        <w:trPr>
          <w:trHeight w:val="237"/>
        </w:trPr>
        <w:tc>
          <w:tcPr>
            <w:tcW w:w="6440" w:type="dxa"/>
            <w:vAlign w:val="bottom"/>
          </w:tcPr>
          <w:p>
            <w:pPr>
              <w:ind w:left="20"/>
              <w:spacing w:after="0"/>
              <w:rPr>
                <w:sz w:val="20"/>
                <w:szCs w:val="20"/>
                <w:color w:val="auto"/>
              </w:rPr>
            </w:pPr>
            <w:r>
              <w:rPr>
                <w:rFonts w:ascii="Arial" w:cs="Arial" w:eastAsia="Arial" w:hAnsi="Arial"/>
                <w:sz w:val="18"/>
                <w:szCs w:val="18"/>
                <w:color w:val="auto"/>
              </w:rPr>
              <w:t>Diluted earnings per share - Note M</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49"/>
        </w:trPr>
        <w:tc>
          <w:tcPr>
            <w:tcW w:w="64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0.79</w:t>
            </w:r>
          </w:p>
        </w:tc>
        <w:tc>
          <w:tcPr>
            <w:tcW w:w="3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0.93</w:t>
            </w:r>
          </w:p>
        </w:tc>
        <w:tc>
          <w:tcPr>
            <w:tcW w:w="3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3.24</w:t>
            </w:r>
          </w:p>
        </w:tc>
        <w:tc>
          <w:tcPr>
            <w:tcW w:w="3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2.12</w:t>
            </w:r>
          </w:p>
        </w:tc>
      </w:tr>
      <w:tr>
        <w:trPr>
          <w:trHeight w:val="243"/>
        </w:trPr>
        <w:tc>
          <w:tcPr>
            <w:tcW w:w="6440" w:type="dxa"/>
            <w:vAlign w:val="bottom"/>
          </w:tcPr>
          <w:p>
            <w:pPr>
              <w:ind w:left="200"/>
              <w:spacing w:after="0"/>
              <w:rPr>
                <w:sz w:val="20"/>
                <w:szCs w:val="20"/>
                <w:color w:val="auto"/>
              </w:rPr>
            </w:pPr>
            <w:r>
              <w:rPr>
                <w:rFonts w:ascii="Arial" w:cs="Arial" w:eastAsia="Arial" w:hAnsi="Arial"/>
                <w:sz w:val="18"/>
                <w:szCs w:val="18"/>
                <w:color w:val="auto"/>
              </w:rPr>
              <w:t>Income (loss) from discontinued operations</w:t>
            </w: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0.15</w:t>
            </w:r>
          </w:p>
        </w:tc>
        <w:tc>
          <w:tcPr>
            <w:tcW w:w="1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(0.28 )</w:t>
            </w:r>
          </w:p>
        </w:tc>
        <w:tc>
          <w:tcPr>
            <w:tcW w:w="1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13.16</w:t>
            </w:r>
          </w:p>
        </w:tc>
      </w:tr>
      <w:tr>
        <w:trPr>
          <w:trHeight w:val="277"/>
        </w:trPr>
        <w:tc>
          <w:tcPr>
            <w:tcW w:w="64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0.94</w:t>
            </w:r>
          </w:p>
        </w:tc>
        <w:tc>
          <w:tcPr>
            <w:tcW w:w="1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0.65</w:t>
            </w:r>
          </w:p>
        </w:tc>
        <w:tc>
          <w:tcPr>
            <w:tcW w:w="1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3.35</w:t>
            </w:r>
          </w:p>
        </w:tc>
        <w:tc>
          <w:tcPr>
            <w:tcW w:w="1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15.28</w:t>
            </w:r>
          </w:p>
        </w:tc>
      </w:tr>
      <w:tr>
        <w:trPr>
          <w:trHeight w:val="223"/>
        </w:trPr>
        <w:tc>
          <w:tcPr>
            <w:tcW w:w="6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43"/>
        </w:trPr>
        <w:tc>
          <w:tcPr>
            <w:tcW w:w="64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r>
      <w:tr>
        <w:trPr>
          <w:trHeight w:val="237"/>
        </w:trPr>
        <w:tc>
          <w:tcPr>
            <w:tcW w:w="64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50</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36</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182</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870</w:t>
            </w:r>
          </w:p>
        </w:tc>
      </w:tr>
      <w:tr>
        <w:trPr>
          <w:trHeight w:val="249"/>
        </w:trPr>
        <w:tc>
          <w:tcPr>
            <w:tcW w:w="6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r>
      <w:tr>
        <w:trPr>
          <w:trHeight w:val="237"/>
        </w:trPr>
        <w:tc>
          <w:tcPr>
            <w:tcW w:w="6440" w:type="dxa"/>
            <w:vAlign w:val="bottom"/>
          </w:tcPr>
          <w:p>
            <w:pPr>
              <w:ind w:left="200"/>
              <w:spacing w:after="0"/>
              <w:rPr>
                <w:sz w:val="20"/>
                <w:szCs w:val="20"/>
                <w:color w:val="auto"/>
              </w:rPr>
            </w:pPr>
            <w:r>
              <w:rPr>
                <w:rFonts w:ascii="Arial" w:cs="Arial" w:eastAsia="Arial" w:hAnsi="Arial"/>
                <w:sz w:val="18"/>
                <w:szCs w:val="18"/>
                <w:color w:val="auto"/>
              </w:rPr>
              <w:t>Unrealized translation gain (loss)</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(4 )</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(86 )</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(107 )</w:t>
            </w:r>
          </w:p>
        </w:tc>
      </w:tr>
      <w:tr>
        <w:trPr>
          <w:trHeight w:val="249"/>
        </w:trPr>
        <w:tc>
          <w:tcPr>
            <w:tcW w:w="64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Unrealized gain (loss) on commodity hedges</w:t>
            </w:r>
          </w:p>
        </w:tc>
        <w:tc>
          <w:tcPr>
            <w:tcW w:w="22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(3 )</w:t>
            </w: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(6 )</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(2 )</w:t>
            </w:r>
          </w:p>
        </w:tc>
      </w:tr>
      <w:tr>
        <w:trPr>
          <w:trHeight w:val="237"/>
        </w:trPr>
        <w:tc>
          <w:tcPr>
            <w:tcW w:w="6440" w:type="dxa"/>
            <w:vAlign w:val="bottom"/>
          </w:tcPr>
          <w:p>
            <w:pPr>
              <w:ind w:left="200"/>
              <w:spacing w:after="0"/>
              <w:rPr>
                <w:sz w:val="20"/>
                <w:szCs w:val="20"/>
                <w:color w:val="auto"/>
              </w:rPr>
            </w:pPr>
            <w:r>
              <w:rPr>
                <w:rFonts w:ascii="Arial" w:cs="Arial" w:eastAsia="Arial" w:hAnsi="Arial"/>
                <w:sz w:val="18"/>
                <w:szCs w:val="18"/>
                <w:color w:val="auto"/>
              </w:rPr>
              <w:t>Other comprehensive income (loss) - Note N</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(3 )</w:t>
            </w: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(89 )</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(109 )</w:t>
            </w:r>
          </w:p>
        </w:tc>
      </w:tr>
      <w:tr>
        <w:trPr>
          <w:trHeight w:val="276"/>
        </w:trPr>
        <w:tc>
          <w:tcPr>
            <w:tcW w:w="6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Comprehensive income (loss)</w:t>
            </w: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47</w:t>
            </w:r>
          </w:p>
        </w:tc>
        <w:tc>
          <w:tcPr>
            <w:tcW w:w="1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(53 )</w:t>
            </w:r>
          </w:p>
        </w:tc>
        <w:tc>
          <w:tcPr>
            <w:tcW w:w="1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281</w:t>
            </w:r>
          </w:p>
        </w:tc>
        <w:tc>
          <w:tcPr>
            <w:tcW w:w="1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761</w:t>
            </w:r>
          </w:p>
        </w:tc>
      </w:tr>
      <w:tr>
        <w:trPr>
          <w:trHeight w:val="223"/>
        </w:trPr>
        <w:tc>
          <w:tcPr>
            <w:tcW w:w="64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-4653915</wp:posOffset>
            </wp:positionV>
            <wp:extent cx="85725"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-4653915</wp:posOffset>
            </wp:positionV>
            <wp:extent cx="85725" cy="163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-4653915</wp:posOffset>
            </wp:positionV>
            <wp:extent cx="77470" cy="163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-4028440</wp:posOffset>
            </wp:positionV>
            <wp:extent cx="85725"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-4028440</wp:posOffset>
            </wp:positionV>
            <wp:extent cx="85725"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-4028440</wp:posOffset>
            </wp:positionV>
            <wp:extent cx="7747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-3710940</wp:posOffset>
            </wp:positionV>
            <wp:extent cx="85725"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-3710940</wp:posOffset>
            </wp:positionV>
            <wp:extent cx="85725"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-3710940</wp:posOffset>
            </wp:positionV>
            <wp:extent cx="7747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-3394075</wp:posOffset>
            </wp:positionV>
            <wp:extent cx="85725" cy="188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-3394075</wp:posOffset>
            </wp:positionV>
            <wp:extent cx="85725" cy="188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-3394075</wp:posOffset>
            </wp:positionV>
            <wp:extent cx="77470" cy="188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-2433955</wp:posOffset>
            </wp:positionV>
            <wp:extent cx="85725" cy="1885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-2433955</wp:posOffset>
            </wp:positionV>
            <wp:extent cx="85725" cy="1885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-2433955</wp:posOffset>
            </wp:positionV>
            <wp:extent cx="77470" cy="1885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-1464945</wp:posOffset>
            </wp:positionV>
            <wp:extent cx="1637030" cy="1797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637030" cy="17970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-513715</wp:posOffset>
            </wp:positionV>
            <wp:extent cx="8572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-513715</wp:posOffset>
            </wp:positionV>
            <wp:extent cx="85725"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-513715</wp:posOffset>
            </wp:positionV>
            <wp:extent cx="7747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-187960</wp:posOffset>
            </wp:positionV>
            <wp:extent cx="1637030" cy="1885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637030" cy="188595"/>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Arial" w:cs="Arial" w:eastAsia="Arial" w:hAnsi="Arial"/>
          <w:sz w:val="20"/>
          <w:szCs w:val="20"/>
          <w:color w:val="auto"/>
        </w:rPr>
        <w:t>SEE NOTES TO CONDENSED CONSOLIDATED FINANCIAL STATEMENTS.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spacing w:after="0"/>
        <w:rPr>
          <w:sz w:val="20"/>
          <w:szCs w:val="20"/>
          <w:color w:val="auto"/>
        </w:rPr>
      </w:pPr>
      <w:r>
        <w:rPr>
          <w:rFonts w:ascii="Arial" w:cs="Arial" w:eastAsia="Arial" w:hAnsi="Arial"/>
          <w:sz w:val="20"/>
          <w:szCs w:val="20"/>
          <w:b w:val="1"/>
          <w:bCs w:val="1"/>
          <w:color w:val="auto"/>
        </w:rPr>
        <w:t>ASHLAND INC. AND CONSOLIDATED SUBSIDIARIES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CONDENSED CONSOLIDATED BALANCE SHEETS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spacing w:after="0"/>
              <w:rPr>
                <w:sz w:val="19"/>
                <w:szCs w:val="19"/>
                <w:color w:val="auto"/>
              </w:rPr>
            </w:pPr>
          </w:p>
        </w:tc>
        <w:tc>
          <w:tcPr>
            <w:tcW w:w="52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June 30</w:t>
            </w:r>
          </w:p>
        </w:tc>
        <w:tc>
          <w:tcPr>
            <w:tcW w:w="6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5"/>
              </w:rPr>
              <w:t>September 30</w:t>
            </w:r>
          </w:p>
        </w:tc>
      </w:tr>
      <w:tr>
        <w:trPr>
          <w:trHeight w:val="237"/>
        </w:trPr>
        <w:tc>
          <w:tcPr>
            <w:tcW w:w="760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color w:val="auto"/>
              </w:rPr>
              <w:t>(In millions - unaudited)</w:t>
            </w: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2023</w:t>
            </w:r>
          </w:p>
        </w:tc>
        <w:tc>
          <w:tcPr>
            <w:tcW w:w="6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2022</w:t>
            </w:r>
          </w:p>
        </w:tc>
      </w:tr>
      <w:tr>
        <w:trPr>
          <w:trHeight w:val="223"/>
        </w:trPr>
        <w:tc>
          <w:tcPr>
            <w:tcW w:w="2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line="189" w:lineRule="exact"/>
              <w:rPr>
                <w:sz w:val="20"/>
                <w:szCs w:val="20"/>
                <w:color w:val="auto"/>
              </w:rPr>
            </w:pPr>
            <w:r>
              <w:rPr>
                <w:rFonts w:ascii="Arial" w:cs="Arial" w:eastAsia="Arial" w:hAnsi="Arial"/>
                <w:sz w:val="18"/>
                <w:szCs w:val="18"/>
                <w:b w:val="1"/>
                <w:bCs w:val="1"/>
                <w:color w:val="auto"/>
                <w:w w:val="91"/>
              </w:rPr>
              <w:t>ASSETS</w:t>
            </w:r>
          </w:p>
        </w:tc>
        <w:tc>
          <w:tcPr>
            <w:tcW w:w="6900" w:type="dxa"/>
            <w:vAlign w:val="bottom"/>
            <w:tcBorders>
              <w:bottom w:val="single" w:sz="8" w:color="CFF0FC"/>
            </w:tcBorders>
            <w:gridSpan w:val="2"/>
            <w:shd w:val="clear" w:color="auto" w:fill="CFF0FC"/>
          </w:tcPr>
          <w:p>
            <w:pPr>
              <w:spacing w:after="0"/>
              <w:rPr>
                <w:sz w:val="19"/>
                <w:szCs w:val="19"/>
                <w:color w:val="auto"/>
              </w:rPr>
            </w:pPr>
          </w:p>
        </w:tc>
        <w:tc>
          <w:tcPr>
            <w:tcW w:w="110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520" w:type="dxa"/>
            <w:vAlign w:val="bottom"/>
            <w:tcBorders>
              <w:bottom w:val="single" w:sz="8" w:color="CFF0FC"/>
            </w:tcBorders>
            <w:shd w:val="clear" w:color="auto" w:fill="CFF0FC"/>
          </w:tcPr>
          <w:p>
            <w:pPr>
              <w:spacing w:after="0"/>
              <w:rPr>
                <w:sz w:val="19"/>
                <w:szCs w:val="19"/>
                <w:color w:val="auto"/>
              </w:rPr>
            </w:pPr>
          </w:p>
        </w:tc>
      </w:tr>
      <w:tr>
        <w:trPr>
          <w:trHeight w:val="239"/>
        </w:trPr>
        <w:tc>
          <w:tcPr>
            <w:tcW w:w="7600" w:type="dxa"/>
            <w:vAlign w:val="bottom"/>
            <w:gridSpan w:val="4"/>
          </w:tcPr>
          <w:p>
            <w:pPr>
              <w:ind w:left="20"/>
              <w:spacing w:after="0"/>
              <w:rPr>
                <w:sz w:val="20"/>
                <w:szCs w:val="20"/>
                <w:color w:val="auto"/>
              </w:rPr>
            </w:pPr>
            <w:r>
              <w:rPr>
                <w:rFonts w:ascii="Arial" w:cs="Arial" w:eastAsia="Arial" w:hAnsi="Arial"/>
                <w:sz w:val="18"/>
                <w:szCs w:val="18"/>
                <w:b w:val="1"/>
                <w:bCs w:val="1"/>
                <w:color w:val="auto"/>
              </w:rPr>
              <w:t>Current assets</w:t>
            </w:r>
          </w:p>
        </w:tc>
        <w:tc>
          <w:tcPr>
            <w:tcW w:w="1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47"/>
        </w:trPr>
        <w:tc>
          <w:tcPr>
            <w:tcW w:w="7600" w:type="dxa"/>
            <w:vAlign w:val="bottom"/>
            <w:gridSpan w:val="4"/>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1100" w:type="dxa"/>
            <w:vAlign w:val="bottom"/>
            <w:shd w:val="clear" w:color="auto" w:fill="CFF0FC"/>
          </w:tcPr>
          <w:p>
            <w:pPr>
              <w:jc w:val="right"/>
              <w:ind w:right="91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349</w:t>
            </w:r>
          </w:p>
        </w:tc>
        <w:tc>
          <w:tcPr>
            <w:tcW w:w="4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646</w:t>
            </w:r>
          </w:p>
        </w:tc>
      </w:tr>
      <w:tr>
        <w:trPr>
          <w:trHeight w:val="237"/>
        </w:trPr>
        <w:tc>
          <w:tcPr>
            <w:tcW w:w="7600" w:type="dxa"/>
            <w:vAlign w:val="bottom"/>
            <w:gridSpan w:val="4"/>
          </w:tcPr>
          <w:p>
            <w:pPr>
              <w:ind w:left="20"/>
              <w:spacing w:after="0"/>
              <w:rPr>
                <w:sz w:val="20"/>
                <w:szCs w:val="20"/>
                <w:color w:val="auto"/>
              </w:rPr>
            </w:pPr>
            <w:r>
              <w:rPr>
                <w:rFonts w:ascii="Arial" w:cs="Arial" w:eastAsia="Arial" w:hAnsi="Arial"/>
                <w:sz w:val="18"/>
                <w:szCs w:val="18"/>
                <w:color w:val="auto"/>
              </w:rPr>
              <w:t xml:space="preserve">Accounts receivable </w:t>
            </w:r>
            <w:r>
              <w:rPr>
                <w:rFonts w:ascii="Arial" w:cs="Arial" w:eastAsia="Arial" w:hAnsi="Arial"/>
                <w:sz w:val="14"/>
                <w:szCs w:val="14"/>
                <w:color w:val="auto"/>
              </w:rPr>
              <w:t>(a)</w:t>
            </w:r>
            <w:r>
              <w:rPr>
                <w:rFonts w:ascii="Arial" w:cs="Arial" w:eastAsia="Arial" w:hAnsi="Arial"/>
                <w:sz w:val="18"/>
                <w:szCs w:val="18"/>
                <w:color w:val="auto"/>
              </w:rPr>
              <w:t xml:space="preserve"> - Note H</w:t>
            </w:r>
          </w:p>
        </w:tc>
        <w:tc>
          <w:tcPr>
            <w:tcW w:w="1100" w:type="dxa"/>
            <w:vAlign w:val="bottom"/>
          </w:tcPr>
          <w:p>
            <w:pPr>
              <w:spacing w:after="0"/>
              <w:rPr>
                <w:sz w:val="20"/>
                <w:szCs w:val="20"/>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color w:val="auto"/>
              </w:rPr>
              <w:t>345</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402</w:t>
            </w:r>
          </w:p>
        </w:tc>
      </w:tr>
      <w:tr>
        <w:trPr>
          <w:trHeight w:val="249"/>
        </w:trPr>
        <w:tc>
          <w:tcPr>
            <w:tcW w:w="7600" w:type="dxa"/>
            <w:vAlign w:val="bottom"/>
            <w:gridSpan w:val="4"/>
            <w:shd w:val="clear" w:color="auto" w:fill="CFF0FC"/>
          </w:tcPr>
          <w:p>
            <w:pPr>
              <w:ind w:left="20"/>
              <w:spacing w:after="0"/>
              <w:rPr>
                <w:sz w:val="20"/>
                <w:szCs w:val="20"/>
                <w:color w:val="auto"/>
              </w:rPr>
            </w:pPr>
            <w:r>
              <w:rPr>
                <w:rFonts w:ascii="Arial" w:cs="Arial" w:eastAsia="Arial" w:hAnsi="Arial"/>
                <w:sz w:val="18"/>
                <w:szCs w:val="18"/>
                <w:color w:val="auto"/>
              </w:rPr>
              <w:t>Inventories - Note F</w:t>
            </w:r>
          </w:p>
        </w:tc>
        <w:tc>
          <w:tcPr>
            <w:tcW w:w="1100" w:type="dxa"/>
            <w:vAlign w:val="bottom"/>
            <w:shd w:val="clear" w:color="auto" w:fill="CFF0FC"/>
          </w:tcPr>
          <w:p>
            <w:pPr>
              <w:spacing w:after="0"/>
              <w:rPr>
                <w:sz w:val="21"/>
                <w:szCs w:val="21"/>
                <w:color w:val="auto"/>
              </w:rPr>
            </w:pPr>
          </w:p>
        </w:tc>
        <w:tc>
          <w:tcPr>
            <w:tcW w:w="6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712</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629</w:t>
            </w:r>
          </w:p>
        </w:tc>
      </w:tr>
      <w:tr>
        <w:trPr>
          <w:trHeight w:val="243"/>
        </w:trPr>
        <w:tc>
          <w:tcPr>
            <w:tcW w:w="7600" w:type="dxa"/>
            <w:vAlign w:val="bottom"/>
            <w:gridSpan w:val="4"/>
          </w:tcPr>
          <w:p>
            <w:pPr>
              <w:ind w:left="20"/>
              <w:spacing w:after="0"/>
              <w:rPr>
                <w:sz w:val="20"/>
                <w:szCs w:val="20"/>
                <w:color w:val="auto"/>
              </w:rPr>
            </w:pPr>
            <w:r>
              <w:rPr>
                <w:rFonts w:ascii="Arial" w:cs="Arial" w:eastAsia="Arial" w:hAnsi="Arial"/>
                <w:sz w:val="18"/>
                <w:szCs w:val="18"/>
                <w:color w:val="auto"/>
              </w:rPr>
              <w:t>Other assets</w:t>
            </w:r>
          </w:p>
        </w:tc>
        <w:tc>
          <w:tcPr>
            <w:tcW w:w="11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120</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91</w:t>
            </w:r>
          </w:p>
        </w:tc>
      </w:tr>
      <w:tr>
        <w:trPr>
          <w:trHeight w:val="237"/>
        </w:trPr>
        <w:tc>
          <w:tcPr>
            <w:tcW w:w="20" w:type="dxa"/>
            <w:vAlign w:val="bottom"/>
            <w:shd w:val="clear" w:color="auto" w:fill="CFF0FC"/>
          </w:tcPr>
          <w:p>
            <w:pPr>
              <w:spacing w:after="0"/>
              <w:rPr>
                <w:sz w:val="20"/>
                <w:szCs w:val="20"/>
                <w:color w:val="auto"/>
              </w:rPr>
            </w:pPr>
          </w:p>
        </w:tc>
        <w:tc>
          <w:tcPr>
            <w:tcW w:w="7580" w:type="dxa"/>
            <w:vAlign w:val="bottom"/>
            <w:gridSpan w:val="3"/>
            <w:shd w:val="clear" w:color="auto" w:fill="CFF0FC"/>
          </w:tcPr>
          <w:p>
            <w:pPr>
              <w:ind w:left="180"/>
              <w:spacing w:after="0"/>
              <w:rPr>
                <w:sz w:val="20"/>
                <w:szCs w:val="20"/>
                <w:color w:val="auto"/>
              </w:rPr>
            </w:pPr>
            <w:r>
              <w:rPr>
                <w:rFonts w:ascii="Arial" w:cs="Arial" w:eastAsia="Arial" w:hAnsi="Arial"/>
                <w:sz w:val="18"/>
                <w:szCs w:val="18"/>
                <w:color w:val="auto"/>
              </w:rPr>
              <w:t>Total current assets</w:t>
            </w:r>
          </w:p>
        </w:tc>
        <w:tc>
          <w:tcPr>
            <w:tcW w:w="1100" w:type="dxa"/>
            <w:vAlign w:val="bottom"/>
            <w:shd w:val="clear" w:color="auto" w:fill="CFF0FC"/>
          </w:tcPr>
          <w:p>
            <w:pPr>
              <w:spacing w:after="0"/>
              <w:rPr>
                <w:sz w:val="20"/>
                <w:szCs w:val="20"/>
                <w:color w:val="auto"/>
              </w:rPr>
            </w:pPr>
          </w:p>
        </w:tc>
        <w:tc>
          <w:tcPr>
            <w:tcW w:w="6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7"/>
              </w:rPr>
              <w:t>1,526</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5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1,768</w:t>
            </w:r>
          </w:p>
        </w:tc>
      </w:tr>
      <w:tr>
        <w:trPr>
          <w:trHeight w:val="239"/>
        </w:trPr>
        <w:tc>
          <w:tcPr>
            <w:tcW w:w="7600" w:type="dxa"/>
            <w:vAlign w:val="bottom"/>
            <w:gridSpan w:val="4"/>
          </w:tcPr>
          <w:p>
            <w:pPr>
              <w:ind w:left="20"/>
              <w:spacing w:after="0"/>
              <w:rPr>
                <w:sz w:val="20"/>
                <w:szCs w:val="20"/>
                <w:color w:val="auto"/>
              </w:rPr>
            </w:pPr>
            <w:r>
              <w:rPr>
                <w:rFonts w:ascii="Arial" w:cs="Arial" w:eastAsia="Arial" w:hAnsi="Arial"/>
                <w:sz w:val="18"/>
                <w:szCs w:val="18"/>
                <w:b w:val="1"/>
                <w:bCs w:val="1"/>
                <w:color w:val="auto"/>
              </w:rPr>
              <w:t>Noncurrent assets</w:t>
            </w:r>
          </w:p>
        </w:tc>
        <w:tc>
          <w:tcPr>
            <w:tcW w:w="1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47"/>
        </w:trPr>
        <w:tc>
          <w:tcPr>
            <w:tcW w:w="7600" w:type="dxa"/>
            <w:vAlign w:val="bottom"/>
            <w:gridSpan w:val="4"/>
            <w:shd w:val="clear" w:color="auto" w:fill="CFF0FC"/>
          </w:tcPr>
          <w:p>
            <w:pPr>
              <w:ind w:left="20"/>
              <w:spacing w:after="0"/>
              <w:rPr>
                <w:sz w:val="20"/>
                <w:szCs w:val="20"/>
                <w:color w:val="auto"/>
              </w:rPr>
            </w:pPr>
            <w:r>
              <w:rPr>
                <w:rFonts w:ascii="Arial" w:cs="Arial" w:eastAsia="Arial" w:hAnsi="Arial"/>
                <w:sz w:val="18"/>
                <w:szCs w:val="18"/>
                <w:color w:val="auto"/>
              </w:rPr>
              <w:t>Property, plant and equipment</w:t>
            </w:r>
          </w:p>
        </w:tc>
        <w:tc>
          <w:tcPr>
            <w:tcW w:w="110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20" w:type="dxa"/>
            <w:vAlign w:val="bottom"/>
            <w:shd w:val="clear" w:color="auto" w:fill="CFF0FC"/>
          </w:tcPr>
          <w:p>
            <w:pPr>
              <w:spacing w:after="0"/>
              <w:rPr>
                <w:sz w:val="21"/>
                <w:szCs w:val="21"/>
                <w:color w:val="auto"/>
              </w:rPr>
            </w:pPr>
          </w:p>
        </w:tc>
      </w:tr>
      <w:tr>
        <w:trPr>
          <w:trHeight w:val="237"/>
        </w:trPr>
        <w:tc>
          <w:tcPr>
            <w:tcW w:w="7600" w:type="dxa"/>
            <w:vAlign w:val="bottom"/>
            <w:gridSpan w:val="4"/>
          </w:tcPr>
          <w:p>
            <w:pPr>
              <w:ind w:left="20"/>
              <w:spacing w:after="0"/>
              <w:rPr>
                <w:sz w:val="20"/>
                <w:szCs w:val="20"/>
                <w:color w:val="auto"/>
              </w:rPr>
            </w:pPr>
            <w:r>
              <w:rPr>
                <w:rFonts w:ascii="Arial" w:cs="Arial" w:eastAsia="Arial" w:hAnsi="Arial"/>
                <w:sz w:val="18"/>
                <w:szCs w:val="18"/>
                <w:color w:val="auto"/>
              </w:rPr>
              <w:t>Cost</w:t>
            </w:r>
          </w:p>
        </w:tc>
        <w:tc>
          <w:tcPr>
            <w:tcW w:w="1100" w:type="dxa"/>
            <w:vAlign w:val="bottom"/>
          </w:tcPr>
          <w:p>
            <w:pPr>
              <w:spacing w:after="0"/>
              <w:rPr>
                <w:sz w:val="20"/>
                <w:szCs w:val="20"/>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color w:val="auto"/>
                <w:w w:val="97"/>
              </w:rPr>
              <w:t>3,191</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3,050</w:t>
            </w:r>
          </w:p>
        </w:tc>
      </w:tr>
      <w:tr>
        <w:trPr>
          <w:trHeight w:val="249"/>
        </w:trPr>
        <w:tc>
          <w:tcPr>
            <w:tcW w:w="7600" w:type="dxa"/>
            <w:vAlign w:val="bottom"/>
            <w:tcBorders>
              <w:bottom w:val="single" w:sz="8" w:color="CFF0FC"/>
            </w:tcBorders>
            <w:gridSpan w:val="4"/>
            <w:shd w:val="clear" w:color="auto" w:fill="CFF0FC"/>
          </w:tcPr>
          <w:p>
            <w:pPr>
              <w:ind w:left="20"/>
              <w:spacing w:after="0"/>
              <w:rPr>
                <w:sz w:val="20"/>
                <w:szCs w:val="20"/>
                <w:color w:val="auto"/>
              </w:rPr>
            </w:pPr>
            <w:r>
              <w:rPr>
                <w:rFonts w:ascii="Arial" w:cs="Arial" w:eastAsia="Arial" w:hAnsi="Arial"/>
                <w:sz w:val="18"/>
                <w:szCs w:val="18"/>
                <w:color w:val="auto"/>
              </w:rPr>
              <w:t>Accumulated depreciation</w:t>
            </w:r>
          </w:p>
        </w:tc>
        <w:tc>
          <w:tcPr>
            <w:tcW w:w="110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7"/>
              </w:rPr>
              <w:t>1,837</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1,712</w:t>
            </w:r>
          </w:p>
        </w:tc>
      </w:tr>
      <w:tr>
        <w:trPr>
          <w:trHeight w:val="230"/>
        </w:trPr>
        <w:tc>
          <w:tcPr>
            <w:tcW w:w="20" w:type="dxa"/>
            <w:vAlign w:val="bottom"/>
          </w:tcPr>
          <w:p>
            <w:pPr>
              <w:spacing w:after="0"/>
              <w:rPr>
                <w:sz w:val="20"/>
                <w:szCs w:val="20"/>
                <w:color w:val="auto"/>
              </w:rPr>
            </w:pPr>
          </w:p>
        </w:tc>
        <w:tc>
          <w:tcPr>
            <w:tcW w:w="7580" w:type="dxa"/>
            <w:vAlign w:val="bottom"/>
            <w:gridSpan w:val="3"/>
          </w:tcPr>
          <w:p>
            <w:pPr>
              <w:ind w:left="180"/>
              <w:spacing w:after="0"/>
              <w:rPr>
                <w:sz w:val="20"/>
                <w:szCs w:val="20"/>
                <w:color w:val="auto"/>
              </w:rPr>
            </w:pPr>
            <w:r>
              <w:rPr>
                <w:rFonts w:ascii="Arial" w:cs="Arial" w:eastAsia="Arial" w:hAnsi="Arial"/>
                <w:sz w:val="18"/>
                <w:szCs w:val="18"/>
                <w:color w:val="auto"/>
              </w:rPr>
              <w:t>Net property, plant and equipment</w:t>
            </w:r>
          </w:p>
        </w:tc>
        <w:tc>
          <w:tcPr>
            <w:tcW w:w="1100" w:type="dxa"/>
            <w:vAlign w:val="bottom"/>
          </w:tcPr>
          <w:p>
            <w:pPr>
              <w:spacing w:after="0"/>
              <w:rPr>
                <w:sz w:val="20"/>
                <w:szCs w:val="20"/>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color w:val="auto"/>
                <w:w w:val="97"/>
              </w:rPr>
              <w:t>1,354</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1,338</w:t>
            </w:r>
          </w:p>
        </w:tc>
      </w:tr>
      <w:tr>
        <w:trPr>
          <w:trHeight w:val="249"/>
        </w:trPr>
        <w:tc>
          <w:tcPr>
            <w:tcW w:w="7600" w:type="dxa"/>
            <w:vAlign w:val="bottom"/>
            <w:gridSpan w:val="4"/>
            <w:shd w:val="clear" w:color="auto" w:fill="CFF0FC"/>
          </w:tcPr>
          <w:p>
            <w:pPr>
              <w:ind w:left="20"/>
              <w:spacing w:after="0"/>
              <w:rPr>
                <w:sz w:val="20"/>
                <w:szCs w:val="20"/>
                <w:color w:val="auto"/>
              </w:rPr>
            </w:pPr>
            <w:r>
              <w:rPr>
                <w:rFonts w:ascii="Arial" w:cs="Arial" w:eastAsia="Arial" w:hAnsi="Arial"/>
                <w:sz w:val="18"/>
                <w:szCs w:val="18"/>
                <w:color w:val="auto"/>
              </w:rPr>
              <w:t>Goodwill - Note G</w:t>
            </w:r>
          </w:p>
        </w:tc>
        <w:tc>
          <w:tcPr>
            <w:tcW w:w="1100" w:type="dxa"/>
            <w:vAlign w:val="bottom"/>
            <w:shd w:val="clear" w:color="auto" w:fill="CFF0FC"/>
          </w:tcPr>
          <w:p>
            <w:pPr>
              <w:spacing w:after="0"/>
              <w:rPr>
                <w:sz w:val="21"/>
                <w:szCs w:val="21"/>
                <w:color w:val="auto"/>
              </w:rPr>
            </w:pPr>
          </w:p>
        </w:tc>
        <w:tc>
          <w:tcPr>
            <w:tcW w:w="6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7"/>
              </w:rPr>
              <w:t>1,383</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1,312</w:t>
            </w:r>
          </w:p>
        </w:tc>
      </w:tr>
      <w:tr>
        <w:trPr>
          <w:trHeight w:val="237"/>
        </w:trPr>
        <w:tc>
          <w:tcPr>
            <w:tcW w:w="7600" w:type="dxa"/>
            <w:vAlign w:val="bottom"/>
            <w:gridSpan w:val="4"/>
          </w:tcPr>
          <w:p>
            <w:pPr>
              <w:ind w:left="20"/>
              <w:spacing w:after="0"/>
              <w:rPr>
                <w:sz w:val="20"/>
                <w:szCs w:val="20"/>
                <w:color w:val="auto"/>
              </w:rPr>
            </w:pPr>
            <w:r>
              <w:rPr>
                <w:rFonts w:ascii="Arial" w:cs="Arial" w:eastAsia="Arial" w:hAnsi="Arial"/>
                <w:sz w:val="18"/>
                <w:szCs w:val="18"/>
                <w:color w:val="auto"/>
              </w:rPr>
              <w:t>Intangibles - Note G</w:t>
            </w:r>
          </w:p>
        </w:tc>
        <w:tc>
          <w:tcPr>
            <w:tcW w:w="1100" w:type="dxa"/>
            <w:vAlign w:val="bottom"/>
          </w:tcPr>
          <w:p>
            <w:pPr>
              <w:spacing w:after="0"/>
              <w:rPr>
                <w:sz w:val="20"/>
                <w:szCs w:val="20"/>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color w:val="auto"/>
              </w:rPr>
              <w:t>916</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963</w:t>
            </w:r>
          </w:p>
        </w:tc>
      </w:tr>
      <w:tr>
        <w:trPr>
          <w:trHeight w:val="249"/>
        </w:trPr>
        <w:tc>
          <w:tcPr>
            <w:tcW w:w="7600" w:type="dxa"/>
            <w:vAlign w:val="bottom"/>
            <w:gridSpan w:val="4"/>
            <w:shd w:val="clear" w:color="auto" w:fill="CFF0FC"/>
          </w:tcPr>
          <w:p>
            <w:pPr>
              <w:ind w:left="20"/>
              <w:spacing w:after="0"/>
              <w:rPr>
                <w:sz w:val="20"/>
                <w:szCs w:val="20"/>
                <w:color w:val="auto"/>
              </w:rPr>
            </w:pPr>
            <w:r>
              <w:rPr>
                <w:rFonts w:ascii="Arial" w:cs="Arial" w:eastAsia="Arial" w:hAnsi="Arial"/>
                <w:sz w:val="18"/>
                <w:szCs w:val="18"/>
                <w:color w:val="auto"/>
              </w:rPr>
              <w:t>Operating lease assets, net - Note I</w:t>
            </w:r>
          </w:p>
        </w:tc>
        <w:tc>
          <w:tcPr>
            <w:tcW w:w="1100" w:type="dxa"/>
            <w:vAlign w:val="bottom"/>
            <w:shd w:val="clear" w:color="auto" w:fill="CFF0FC"/>
          </w:tcPr>
          <w:p>
            <w:pPr>
              <w:spacing w:after="0"/>
              <w:rPr>
                <w:sz w:val="21"/>
                <w:szCs w:val="21"/>
                <w:color w:val="auto"/>
              </w:rPr>
            </w:pPr>
          </w:p>
        </w:tc>
        <w:tc>
          <w:tcPr>
            <w:tcW w:w="6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126</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107</w:t>
            </w:r>
          </w:p>
        </w:tc>
      </w:tr>
      <w:tr>
        <w:trPr>
          <w:trHeight w:val="237"/>
        </w:trPr>
        <w:tc>
          <w:tcPr>
            <w:tcW w:w="7600" w:type="dxa"/>
            <w:vAlign w:val="bottom"/>
            <w:gridSpan w:val="4"/>
          </w:tcPr>
          <w:p>
            <w:pPr>
              <w:ind w:left="20"/>
              <w:spacing w:after="0"/>
              <w:rPr>
                <w:sz w:val="20"/>
                <w:szCs w:val="20"/>
                <w:color w:val="auto"/>
              </w:rPr>
            </w:pPr>
            <w:r>
              <w:rPr>
                <w:rFonts w:ascii="Arial" w:cs="Arial" w:eastAsia="Arial" w:hAnsi="Arial"/>
                <w:sz w:val="18"/>
                <w:szCs w:val="18"/>
                <w:color w:val="auto"/>
              </w:rPr>
              <w:t>Restricted investments - Note E</w:t>
            </w:r>
          </w:p>
        </w:tc>
        <w:tc>
          <w:tcPr>
            <w:tcW w:w="1100" w:type="dxa"/>
            <w:vAlign w:val="bottom"/>
          </w:tcPr>
          <w:p>
            <w:pPr>
              <w:spacing w:after="0"/>
              <w:rPr>
                <w:sz w:val="20"/>
                <w:szCs w:val="20"/>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313</w:t>
            </w:r>
          </w:p>
        </w:tc>
      </w:tr>
      <w:tr>
        <w:trPr>
          <w:trHeight w:val="249"/>
        </w:trPr>
        <w:tc>
          <w:tcPr>
            <w:tcW w:w="7600" w:type="dxa"/>
            <w:vAlign w:val="bottom"/>
            <w:gridSpan w:val="4"/>
            <w:shd w:val="clear" w:color="auto" w:fill="CFF0FC"/>
          </w:tcPr>
          <w:p>
            <w:pPr>
              <w:ind w:left="20"/>
              <w:spacing w:after="0"/>
              <w:rPr>
                <w:sz w:val="20"/>
                <w:szCs w:val="20"/>
                <w:color w:val="auto"/>
              </w:rPr>
            </w:pPr>
            <w:r>
              <w:rPr>
                <w:rFonts w:ascii="Arial" w:cs="Arial" w:eastAsia="Arial" w:hAnsi="Arial"/>
                <w:sz w:val="18"/>
                <w:szCs w:val="18"/>
                <w:color w:val="auto"/>
              </w:rPr>
              <w:t xml:space="preserve">Asbestos insurance receivable </w:t>
            </w:r>
            <w:r>
              <w:rPr>
                <w:rFonts w:ascii="Arial" w:cs="Arial" w:eastAsia="Arial" w:hAnsi="Arial"/>
                <w:sz w:val="14"/>
                <w:szCs w:val="14"/>
                <w:color w:val="auto"/>
              </w:rPr>
              <w:t>(b)</w:t>
            </w:r>
            <w:r>
              <w:rPr>
                <w:rFonts w:ascii="Arial" w:cs="Arial" w:eastAsia="Arial" w:hAnsi="Arial"/>
                <w:sz w:val="18"/>
                <w:szCs w:val="18"/>
                <w:color w:val="auto"/>
              </w:rPr>
              <w:t xml:space="preserve"> - Note L</w:t>
            </w:r>
          </w:p>
        </w:tc>
        <w:tc>
          <w:tcPr>
            <w:tcW w:w="1100" w:type="dxa"/>
            <w:vAlign w:val="bottom"/>
            <w:shd w:val="clear" w:color="auto" w:fill="CFF0FC"/>
          </w:tcPr>
          <w:p>
            <w:pPr>
              <w:spacing w:after="0"/>
              <w:rPr>
                <w:sz w:val="21"/>
                <w:szCs w:val="21"/>
                <w:color w:val="auto"/>
              </w:rPr>
            </w:pPr>
          </w:p>
        </w:tc>
        <w:tc>
          <w:tcPr>
            <w:tcW w:w="6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129</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138</w:t>
            </w:r>
          </w:p>
        </w:tc>
      </w:tr>
      <w:tr>
        <w:trPr>
          <w:trHeight w:val="237"/>
        </w:trPr>
        <w:tc>
          <w:tcPr>
            <w:tcW w:w="7600" w:type="dxa"/>
            <w:vAlign w:val="bottom"/>
            <w:gridSpan w:val="4"/>
          </w:tcPr>
          <w:p>
            <w:pPr>
              <w:ind w:left="20"/>
              <w:spacing w:after="0"/>
              <w:rPr>
                <w:sz w:val="20"/>
                <w:szCs w:val="20"/>
                <w:color w:val="auto"/>
              </w:rPr>
            </w:pPr>
            <w:r>
              <w:rPr>
                <w:rFonts w:ascii="Arial" w:cs="Arial" w:eastAsia="Arial" w:hAnsi="Arial"/>
                <w:sz w:val="18"/>
                <w:szCs w:val="18"/>
                <w:color w:val="auto"/>
              </w:rPr>
              <w:t>Deferred income taxes</w:t>
            </w:r>
          </w:p>
        </w:tc>
        <w:tc>
          <w:tcPr>
            <w:tcW w:w="1100" w:type="dxa"/>
            <w:vAlign w:val="bottom"/>
          </w:tcPr>
          <w:p>
            <w:pPr>
              <w:spacing w:after="0"/>
              <w:rPr>
                <w:sz w:val="20"/>
                <w:szCs w:val="20"/>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20</w:t>
            </w:r>
          </w:p>
        </w:tc>
      </w:tr>
      <w:tr>
        <w:trPr>
          <w:trHeight w:val="249"/>
        </w:trPr>
        <w:tc>
          <w:tcPr>
            <w:tcW w:w="7600" w:type="dxa"/>
            <w:vAlign w:val="bottom"/>
            <w:tcBorders>
              <w:bottom w:val="single" w:sz="8" w:color="CFF0FC"/>
            </w:tcBorders>
            <w:gridSpan w:val="4"/>
            <w:shd w:val="clear" w:color="auto" w:fill="CFF0FC"/>
          </w:tcPr>
          <w:p>
            <w:pPr>
              <w:ind w:left="20"/>
              <w:spacing w:after="0"/>
              <w:rPr>
                <w:sz w:val="20"/>
                <w:szCs w:val="20"/>
                <w:color w:val="auto"/>
              </w:rPr>
            </w:pPr>
            <w:r>
              <w:rPr>
                <w:rFonts w:ascii="Arial" w:cs="Arial" w:eastAsia="Arial" w:hAnsi="Arial"/>
                <w:sz w:val="18"/>
                <w:szCs w:val="18"/>
                <w:color w:val="auto"/>
              </w:rPr>
              <w:t>Other assets</w:t>
            </w:r>
          </w:p>
        </w:tc>
        <w:tc>
          <w:tcPr>
            <w:tcW w:w="110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254</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254</w:t>
            </w:r>
          </w:p>
        </w:tc>
      </w:tr>
      <w:tr>
        <w:trPr>
          <w:trHeight w:val="237"/>
        </w:trPr>
        <w:tc>
          <w:tcPr>
            <w:tcW w:w="20" w:type="dxa"/>
            <w:vAlign w:val="bottom"/>
          </w:tcPr>
          <w:p>
            <w:pPr>
              <w:spacing w:after="0"/>
              <w:rPr>
                <w:sz w:val="20"/>
                <w:szCs w:val="20"/>
                <w:color w:val="auto"/>
              </w:rPr>
            </w:pPr>
          </w:p>
        </w:tc>
        <w:tc>
          <w:tcPr>
            <w:tcW w:w="7580" w:type="dxa"/>
            <w:vAlign w:val="bottom"/>
            <w:gridSpan w:val="3"/>
          </w:tcPr>
          <w:p>
            <w:pPr>
              <w:ind w:left="180"/>
              <w:spacing w:after="0"/>
              <w:rPr>
                <w:sz w:val="20"/>
                <w:szCs w:val="20"/>
                <w:color w:val="auto"/>
              </w:rPr>
            </w:pPr>
            <w:r>
              <w:rPr>
                <w:rFonts w:ascii="Arial" w:cs="Arial" w:eastAsia="Arial" w:hAnsi="Arial"/>
                <w:sz w:val="18"/>
                <w:szCs w:val="18"/>
                <w:color w:val="auto"/>
              </w:rPr>
              <w:t>Total noncurrent assets</w:t>
            </w:r>
          </w:p>
        </w:tc>
        <w:tc>
          <w:tcPr>
            <w:tcW w:w="1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7"/>
              </w:rPr>
              <w:t>4,503</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4,445</w:t>
            </w:r>
          </w:p>
        </w:tc>
      </w:tr>
      <w:tr>
        <w:trPr>
          <w:trHeight w:val="277"/>
        </w:trPr>
        <w:tc>
          <w:tcPr>
            <w:tcW w:w="7600" w:type="dxa"/>
            <w:vAlign w:val="bottom"/>
            <w:tcBorders>
              <w:bottom w:val="single" w:sz="8" w:color="CFF0FC"/>
            </w:tcBorders>
            <w:gridSpan w:val="4"/>
            <w:shd w:val="clear" w:color="auto" w:fill="CFF0FC"/>
          </w:tcPr>
          <w:p>
            <w:pPr>
              <w:ind w:left="20"/>
              <w:spacing w:after="0"/>
              <w:rPr>
                <w:sz w:val="20"/>
                <w:szCs w:val="20"/>
                <w:color w:val="auto"/>
              </w:rPr>
            </w:pPr>
            <w:r>
              <w:rPr>
                <w:rFonts w:ascii="Arial" w:cs="Arial" w:eastAsia="Arial" w:hAnsi="Arial"/>
                <w:sz w:val="18"/>
                <w:szCs w:val="18"/>
                <w:b w:val="1"/>
                <w:bCs w:val="1"/>
                <w:color w:val="auto"/>
              </w:rPr>
              <w:t>Total assets</w:t>
            </w:r>
          </w:p>
        </w:tc>
        <w:tc>
          <w:tcPr>
            <w:tcW w:w="1100" w:type="dxa"/>
            <w:vAlign w:val="bottom"/>
            <w:tcBorders>
              <w:bottom w:val="single" w:sz="8" w:color="auto"/>
            </w:tcBorders>
            <w:shd w:val="clear" w:color="auto" w:fill="CFF0FC"/>
          </w:tcPr>
          <w:p>
            <w:pPr>
              <w:jc w:val="right"/>
              <w:ind w:right="91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7"/>
              </w:rPr>
              <w:t>6,029</w:t>
            </w:r>
          </w:p>
        </w:tc>
        <w:tc>
          <w:tcPr>
            <w:tcW w:w="2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6,213</w:t>
            </w:r>
          </w:p>
        </w:tc>
      </w:tr>
      <w:tr>
        <w:trPr>
          <w:trHeight w:val="223"/>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3"/>
        </w:trPr>
        <w:tc>
          <w:tcPr>
            <w:tcW w:w="20" w:type="dxa"/>
            <w:vAlign w:val="bottom"/>
            <w:tcBorders>
              <w:bottom w:val="single" w:sz="8" w:color="CFF0FC"/>
            </w:tcBorders>
            <w:shd w:val="clear" w:color="auto" w:fill="CFF0FC"/>
          </w:tcPr>
          <w:p>
            <w:pPr>
              <w:spacing w:after="0"/>
              <w:rPr>
                <w:sz w:val="19"/>
                <w:szCs w:val="19"/>
                <w:color w:val="auto"/>
              </w:rPr>
            </w:pPr>
          </w:p>
        </w:tc>
        <w:tc>
          <w:tcPr>
            <w:tcW w:w="2300" w:type="dxa"/>
            <w:vAlign w:val="bottom"/>
            <w:tcBorders>
              <w:bottom w:val="single" w:sz="8" w:color="auto"/>
            </w:tcBorders>
            <w:gridSpan w:val="2"/>
            <w:shd w:val="clear" w:color="auto" w:fill="CFF0FC"/>
          </w:tcPr>
          <w:p>
            <w:pPr>
              <w:spacing w:after="0" w:line="189" w:lineRule="exact"/>
              <w:rPr>
                <w:sz w:val="20"/>
                <w:szCs w:val="20"/>
                <w:color w:val="auto"/>
              </w:rPr>
            </w:pPr>
            <w:r>
              <w:rPr>
                <w:rFonts w:ascii="Arial" w:cs="Arial" w:eastAsia="Arial" w:hAnsi="Arial"/>
                <w:sz w:val="18"/>
                <w:szCs w:val="18"/>
                <w:b w:val="1"/>
                <w:bCs w:val="1"/>
                <w:color w:val="auto"/>
              </w:rPr>
              <w:t>LIABILITIES AND EQUITY</w:t>
            </w:r>
          </w:p>
        </w:tc>
        <w:tc>
          <w:tcPr>
            <w:tcW w:w="528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520" w:type="dxa"/>
            <w:vAlign w:val="bottom"/>
            <w:tcBorders>
              <w:bottom w:val="single" w:sz="8" w:color="CFF0FC"/>
            </w:tcBorders>
            <w:shd w:val="clear" w:color="auto" w:fill="CFF0FC"/>
          </w:tcPr>
          <w:p>
            <w:pPr>
              <w:spacing w:after="0"/>
              <w:rPr>
                <w:sz w:val="19"/>
                <w:szCs w:val="19"/>
                <w:color w:val="auto"/>
              </w:rPr>
            </w:pPr>
          </w:p>
        </w:tc>
      </w:tr>
      <w:tr>
        <w:trPr>
          <w:trHeight w:val="239"/>
        </w:trPr>
        <w:tc>
          <w:tcPr>
            <w:tcW w:w="7600" w:type="dxa"/>
            <w:vAlign w:val="bottom"/>
            <w:gridSpan w:val="4"/>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1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47"/>
        </w:trPr>
        <w:tc>
          <w:tcPr>
            <w:tcW w:w="7600" w:type="dxa"/>
            <w:vAlign w:val="bottom"/>
            <w:gridSpan w:val="4"/>
            <w:shd w:val="clear" w:color="auto" w:fill="CFF0FC"/>
          </w:tcPr>
          <w:p>
            <w:pPr>
              <w:ind w:left="20"/>
              <w:spacing w:after="0"/>
              <w:rPr>
                <w:sz w:val="20"/>
                <w:szCs w:val="20"/>
                <w:color w:val="auto"/>
              </w:rPr>
            </w:pPr>
            <w:r>
              <w:rPr>
                <w:rFonts w:ascii="Arial" w:cs="Arial" w:eastAsia="Arial" w:hAnsi="Arial"/>
                <w:sz w:val="18"/>
                <w:szCs w:val="18"/>
                <w:color w:val="auto"/>
              </w:rPr>
              <w:t>Trade and other payables</w:t>
            </w:r>
          </w:p>
        </w:tc>
        <w:tc>
          <w:tcPr>
            <w:tcW w:w="1100" w:type="dxa"/>
            <w:vAlign w:val="bottom"/>
            <w:shd w:val="clear" w:color="auto" w:fill="CFF0FC"/>
          </w:tcPr>
          <w:p>
            <w:pPr>
              <w:jc w:val="right"/>
              <w:ind w:right="91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210</w:t>
            </w:r>
          </w:p>
        </w:tc>
        <w:tc>
          <w:tcPr>
            <w:tcW w:w="4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265</w:t>
            </w:r>
          </w:p>
        </w:tc>
      </w:tr>
      <w:tr>
        <w:trPr>
          <w:trHeight w:val="237"/>
        </w:trPr>
        <w:tc>
          <w:tcPr>
            <w:tcW w:w="7600" w:type="dxa"/>
            <w:vAlign w:val="bottom"/>
            <w:gridSpan w:val="4"/>
          </w:tcPr>
          <w:p>
            <w:pPr>
              <w:ind w:left="20"/>
              <w:spacing w:after="0"/>
              <w:rPr>
                <w:sz w:val="20"/>
                <w:szCs w:val="20"/>
                <w:color w:val="auto"/>
              </w:rPr>
            </w:pPr>
            <w:r>
              <w:rPr>
                <w:rFonts w:ascii="Arial" w:cs="Arial" w:eastAsia="Arial" w:hAnsi="Arial"/>
                <w:sz w:val="18"/>
                <w:szCs w:val="18"/>
                <w:color w:val="auto"/>
              </w:rPr>
              <w:t>Accrued expenses and other liabilities</w:t>
            </w:r>
          </w:p>
        </w:tc>
        <w:tc>
          <w:tcPr>
            <w:tcW w:w="1100" w:type="dxa"/>
            <w:vAlign w:val="bottom"/>
          </w:tcPr>
          <w:p>
            <w:pPr>
              <w:spacing w:after="0"/>
              <w:rPr>
                <w:sz w:val="20"/>
                <w:szCs w:val="20"/>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color w:val="auto"/>
              </w:rPr>
              <w:t>201</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269</w:t>
            </w:r>
          </w:p>
        </w:tc>
      </w:tr>
      <w:tr>
        <w:trPr>
          <w:trHeight w:val="249"/>
        </w:trPr>
        <w:tc>
          <w:tcPr>
            <w:tcW w:w="7600" w:type="dxa"/>
            <w:vAlign w:val="bottom"/>
            <w:tcBorders>
              <w:bottom w:val="single" w:sz="8" w:color="CFF0FC"/>
            </w:tcBorders>
            <w:gridSpan w:val="4"/>
            <w:shd w:val="clear" w:color="auto" w:fill="CFF0FC"/>
          </w:tcPr>
          <w:p>
            <w:pPr>
              <w:ind w:left="20"/>
              <w:spacing w:after="0"/>
              <w:rPr>
                <w:sz w:val="20"/>
                <w:szCs w:val="20"/>
                <w:color w:val="auto"/>
              </w:rPr>
            </w:pPr>
            <w:r>
              <w:rPr>
                <w:rFonts w:ascii="Arial" w:cs="Arial" w:eastAsia="Arial" w:hAnsi="Arial"/>
                <w:sz w:val="18"/>
                <w:szCs w:val="18"/>
                <w:color w:val="auto"/>
              </w:rPr>
              <w:t>Current operating lease obligations - Note I</w:t>
            </w:r>
          </w:p>
        </w:tc>
        <w:tc>
          <w:tcPr>
            <w:tcW w:w="110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21</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19</w:t>
            </w:r>
          </w:p>
        </w:tc>
      </w:tr>
      <w:tr>
        <w:trPr>
          <w:trHeight w:val="230"/>
        </w:trPr>
        <w:tc>
          <w:tcPr>
            <w:tcW w:w="20" w:type="dxa"/>
            <w:vAlign w:val="bottom"/>
          </w:tcPr>
          <w:p>
            <w:pPr>
              <w:spacing w:after="0"/>
              <w:rPr>
                <w:sz w:val="20"/>
                <w:szCs w:val="20"/>
                <w:color w:val="auto"/>
              </w:rPr>
            </w:pPr>
          </w:p>
        </w:tc>
        <w:tc>
          <w:tcPr>
            <w:tcW w:w="7580" w:type="dxa"/>
            <w:vAlign w:val="bottom"/>
            <w:gridSpan w:val="3"/>
          </w:tcPr>
          <w:p>
            <w:pPr>
              <w:ind w:left="180"/>
              <w:spacing w:after="0"/>
              <w:rPr>
                <w:sz w:val="20"/>
                <w:szCs w:val="20"/>
                <w:color w:val="auto"/>
              </w:rPr>
            </w:pPr>
            <w:r>
              <w:rPr>
                <w:rFonts w:ascii="Arial" w:cs="Arial" w:eastAsia="Arial" w:hAnsi="Arial"/>
                <w:sz w:val="18"/>
                <w:szCs w:val="18"/>
                <w:color w:val="auto"/>
              </w:rPr>
              <w:t>Total current liabilities</w:t>
            </w:r>
          </w:p>
        </w:tc>
        <w:tc>
          <w:tcPr>
            <w:tcW w:w="1100" w:type="dxa"/>
            <w:vAlign w:val="bottom"/>
          </w:tcPr>
          <w:p>
            <w:pPr>
              <w:spacing w:after="0"/>
              <w:rPr>
                <w:sz w:val="20"/>
                <w:szCs w:val="20"/>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color w:val="auto"/>
              </w:rPr>
              <w:t>432</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553</w:t>
            </w:r>
          </w:p>
        </w:tc>
      </w:tr>
      <w:tr>
        <w:trPr>
          <w:trHeight w:val="249"/>
        </w:trPr>
        <w:tc>
          <w:tcPr>
            <w:tcW w:w="7600" w:type="dxa"/>
            <w:vAlign w:val="bottom"/>
            <w:gridSpan w:val="4"/>
            <w:shd w:val="clear" w:color="auto" w:fill="CFF0FC"/>
          </w:tcPr>
          <w:p>
            <w:pPr>
              <w:ind w:left="20"/>
              <w:spacing w:after="0"/>
              <w:rPr>
                <w:sz w:val="20"/>
                <w:szCs w:val="20"/>
                <w:color w:val="auto"/>
              </w:rPr>
            </w:pPr>
            <w:r>
              <w:rPr>
                <w:rFonts w:ascii="Arial" w:cs="Arial" w:eastAsia="Arial" w:hAnsi="Arial"/>
                <w:sz w:val="18"/>
                <w:szCs w:val="18"/>
                <w:b w:val="1"/>
                <w:bCs w:val="1"/>
                <w:color w:val="auto"/>
              </w:rPr>
              <w:t>Noncurrent liabilities</w:t>
            </w:r>
          </w:p>
        </w:tc>
        <w:tc>
          <w:tcPr>
            <w:tcW w:w="110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20" w:type="dxa"/>
            <w:vAlign w:val="bottom"/>
            <w:shd w:val="clear" w:color="auto" w:fill="CFF0FC"/>
          </w:tcPr>
          <w:p>
            <w:pPr>
              <w:spacing w:after="0"/>
              <w:rPr>
                <w:sz w:val="21"/>
                <w:szCs w:val="21"/>
                <w:color w:val="auto"/>
              </w:rPr>
            </w:pPr>
          </w:p>
        </w:tc>
      </w:tr>
      <w:tr>
        <w:trPr>
          <w:trHeight w:val="237"/>
        </w:trPr>
        <w:tc>
          <w:tcPr>
            <w:tcW w:w="7600" w:type="dxa"/>
            <w:vAlign w:val="bottom"/>
            <w:gridSpan w:val="4"/>
          </w:tcPr>
          <w:p>
            <w:pPr>
              <w:ind w:left="20"/>
              <w:spacing w:after="0"/>
              <w:rPr>
                <w:sz w:val="20"/>
                <w:szCs w:val="20"/>
                <w:color w:val="auto"/>
              </w:rPr>
            </w:pPr>
            <w:r>
              <w:rPr>
                <w:rFonts w:ascii="Arial" w:cs="Arial" w:eastAsia="Arial" w:hAnsi="Arial"/>
                <w:sz w:val="18"/>
                <w:szCs w:val="18"/>
                <w:color w:val="auto"/>
              </w:rPr>
              <w:t>Long-term debt - Note H</w:t>
            </w:r>
          </w:p>
        </w:tc>
        <w:tc>
          <w:tcPr>
            <w:tcW w:w="1100" w:type="dxa"/>
            <w:vAlign w:val="bottom"/>
          </w:tcPr>
          <w:p>
            <w:pPr>
              <w:spacing w:after="0"/>
              <w:rPr>
                <w:sz w:val="20"/>
                <w:szCs w:val="20"/>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color w:val="auto"/>
                <w:w w:val="97"/>
              </w:rPr>
              <w:t>1,328</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1,270</w:t>
            </w:r>
          </w:p>
        </w:tc>
      </w:tr>
      <w:tr>
        <w:trPr>
          <w:trHeight w:val="249"/>
        </w:trPr>
        <w:tc>
          <w:tcPr>
            <w:tcW w:w="7600" w:type="dxa"/>
            <w:vAlign w:val="bottom"/>
            <w:gridSpan w:val="4"/>
            <w:shd w:val="clear" w:color="auto" w:fill="CFF0FC"/>
          </w:tcPr>
          <w:p>
            <w:pPr>
              <w:ind w:left="20"/>
              <w:spacing w:after="0"/>
              <w:rPr>
                <w:sz w:val="20"/>
                <w:szCs w:val="20"/>
                <w:color w:val="auto"/>
              </w:rPr>
            </w:pPr>
            <w:r>
              <w:rPr>
                <w:rFonts w:ascii="Arial" w:cs="Arial" w:eastAsia="Arial" w:hAnsi="Arial"/>
                <w:sz w:val="18"/>
                <w:szCs w:val="18"/>
                <w:color w:val="auto"/>
              </w:rPr>
              <w:t>Asbestos litigation reserve - Note L</w:t>
            </w:r>
          </w:p>
        </w:tc>
        <w:tc>
          <w:tcPr>
            <w:tcW w:w="1100" w:type="dxa"/>
            <w:vAlign w:val="bottom"/>
            <w:shd w:val="clear" w:color="auto" w:fill="CFF0FC"/>
          </w:tcPr>
          <w:p>
            <w:pPr>
              <w:spacing w:after="0"/>
              <w:rPr>
                <w:sz w:val="21"/>
                <w:szCs w:val="21"/>
                <w:color w:val="auto"/>
              </w:rPr>
            </w:pPr>
          </w:p>
        </w:tc>
        <w:tc>
          <w:tcPr>
            <w:tcW w:w="6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437</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472</w:t>
            </w:r>
          </w:p>
        </w:tc>
      </w:tr>
      <w:tr>
        <w:trPr>
          <w:trHeight w:val="237"/>
        </w:trPr>
        <w:tc>
          <w:tcPr>
            <w:tcW w:w="7600" w:type="dxa"/>
            <w:vAlign w:val="bottom"/>
            <w:gridSpan w:val="4"/>
          </w:tcPr>
          <w:p>
            <w:pPr>
              <w:ind w:left="20"/>
              <w:spacing w:after="0"/>
              <w:rPr>
                <w:sz w:val="20"/>
                <w:szCs w:val="20"/>
                <w:color w:val="auto"/>
              </w:rPr>
            </w:pPr>
            <w:r>
              <w:rPr>
                <w:rFonts w:ascii="Arial" w:cs="Arial" w:eastAsia="Arial" w:hAnsi="Arial"/>
                <w:sz w:val="18"/>
                <w:szCs w:val="18"/>
                <w:color w:val="auto"/>
              </w:rPr>
              <w:t>Deferred income taxes</w:t>
            </w:r>
          </w:p>
        </w:tc>
        <w:tc>
          <w:tcPr>
            <w:tcW w:w="1100" w:type="dxa"/>
            <w:vAlign w:val="bottom"/>
          </w:tcPr>
          <w:p>
            <w:pPr>
              <w:spacing w:after="0"/>
              <w:rPr>
                <w:sz w:val="20"/>
                <w:szCs w:val="20"/>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color w:val="auto"/>
              </w:rPr>
              <w:t>176</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176</w:t>
            </w:r>
          </w:p>
        </w:tc>
      </w:tr>
      <w:tr>
        <w:trPr>
          <w:trHeight w:val="249"/>
        </w:trPr>
        <w:tc>
          <w:tcPr>
            <w:tcW w:w="7600" w:type="dxa"/>
            <w:vAlign w:val="bottom"/>
            <w:gridSpan w:val="4"/>
            <w:shd w:val="clear" w:color="auto" w:fill="CFF0FC"/>
          </w:tcPr>
          <w:p>
            <w:pPr>
              <w:ind w:left="20"/>
              <w:spacing w:after="0"/>
              <w:rPr>
                <w:sz w:val="20"/>
                <w:szCs w:val="20"/>
                <w:color w:val="auto"/>
              </w:rPr>
            </w:pPr>
            <w:r>
              <w:rPr>
                <w:rFonts w:ascii="Arial" w:cs="Arial" w:eastAsia="Arial" w:hAnsi="Arial"/>
                <w:sz w:val="18"/>
                <w:szCs w:val="18"/>
                <w:color w:val="auto"/>
              </w:rPr>
              <w:t>Employee benefit obligations - Note K</w:t>
            </w:r>
          </w:p>
        </w:tc>
        <w:tc>
          <w:tcPr>
            <w:tcW w:w="1100" w:type="dxa"/>
            <w:vAlign w:val="bottom"/>
            <w:shd w:val="clear" w:color="auto" w:fill="CFF0FC"/>
          </w:tcPr>
          <w:p>
            <w:pPr>
              <w:spacing w:after="0"/>
              <w:rPr>
                <w:sz w:val="21"/>
                <w:szCs w:val="21"/>
                <w:color w:val="auto"/>
              </w:rPr>
            </w:pPr>
          </w:p>
        </w:tc>
        <w:tc>
          <w:tcPr>
            <w:tcW w:w="6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108</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103</w:t>
            </w:r>
          </w:p>
        </w:tc>
      </w:tr>
      <w:tr>
        <w:trPr>
          <w:trHeight w:val="237"/>
        </w:trPr>
        <w:tc>
          <w:tcPr>
            <w:tcW w:w="7600" w:type="dxa"/>
            <w:vAlign w:val="bottom"/>
            <w:gridSpan w:val="4"/>
          </w:tcPr>
          <w:p>
            <w:pPr>
              <w:ind w:left="20"/>
              <w:spacing w:after="0"/>
              <w:rPr>
                <w:sz w:val="20"/>
                <w:szCs w:val="20"/>
                <w:color w:val="auto"/>
              </w:rPr>
            </w:pPr>
            <w:r>
              <w:rPr>
                <w:rFonts w:ascii="Arial" w:cs="Arial" w:eastAsia="Arial" w:hAnsi="Arial"/>
                <w:sz w:val="18"/>
                <w:szCs w:val="18"/>
                <w:color w:val="auto"/>
              </w:rPr>
              <w:t>Operating lease obligations - Note I</w:t>
            </w:r>
          </w:p>
        </w:tc>
        <w:tc>
          <w:tcPr>
            <w:tcW w:w="1100" w:type="dxa"/>
            <w:vAlign w:val="bottom"/>
          </w:tcPr>
          <w:p>
            <w:pPr>
              <w:spacing w:after="0"/>
              <w:rPr>
                <w:sz w:val="20"/>
                <w:szCs w:val="20"/>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color w:val="auto"/>
              </w:rPr>
              <w:t>109</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94</w:t>
            </w:r>
          </w:p>
        </w:tc>
      </w:tr>
      <w:tr>
        <w:trPr>
          <w:trHeight w:val="249"/>
        </w:trPr>
        <w:tc>
          <w:tcPr>
            <w:tcW w:w="7600" w:type="dxa"/>
            <w:vAlign w:val="bottom"/>
            <w:tcBorders>
              <w:bottom w:val="single" w:sz="8" w:color="CFF0FC"/>
            </w:tcBorders>
            <w:gridSpan w:val="4"/>
            <w:shd w:val="clear" w:color="auto" w:fill="CFF0FC"/>
          </w:tcPr>
          <w:p>
            <w:pPr>
              <w:ind w:left="20"/>
              <w:spacing w:after="0"/>
              <w:rPr>
                <w:sz w:val="20"/>
                <w:szCs w:val="20"/>
                <w:color w:val="auto"/>
              </w:rPr>
            </w:pPr>
            <w:r>
              <w:rPr>
                <w:rFonts w:ascii="Arial" w:cs="Arial" w:eastAsia="Arial" w:hAnsi="Arial"/>
                <w:sz w:val="18"/>
                <w:szCs w:val="18"/>
                <w:color w:val="auto"/>
              </w:rPr>
              <w:t>Other liabilities</w:t>
            </w:r>
          </w:p>
        </w:tc>
        <w:tc>
          <w:tcPr>
            <w:tcW w:w="110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290</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325</w:t>
            </w:r>
          </w:p>
        </w:tc>
      </w:tr>
      <w:tr>
        <w:trPr>
          <w:trHeight w:val="230"/>
        </w:trPr>
        <w:tc>
          <w:tcPr>
            <w:tcW w:w="20" w:type="dxa"/>
            <w:vAlign w:val="bottom"/>
          </w:tcPr>
          <w:p>
            <w:pPr>
              <w:spacing w:after="0"/>
              <w:rPr>
                <w:sz w:val="20"/>
                <w:szCs w:val="20"/>
                <w:color w:val="auto"/>
              </w:rPr>
            </w:pPr>
          </w:p>
        </w:tc>
        <w:tc>
          <w:tcPr>
            <w:tcW w:w="7580" w:type="dxa"/>
            <w:vAlign w:val="bottom"/>
            <w:gridSpan w:val="3"/>
          </w:tcPr>
          <w:p>
            <w:pPr>
              <w:ind w:left="180"/>
              <w:spacing w:after="0"/>
              <w:rPr>
                <w:sz w:val="20"/>
                <w:szCs w:val="20"/>
                <w:color w:val="auto"/>
              </w:rPr>
            </w:pPr>
            <w:r>
              <w:rPr>
                <w:rFonts w:ascii="Arial" w:cs="Arial" w:eastAsia="Arial" w:hAnsi="Arial"/>
                <w:sz w:val="18"/>
                <w:szCs w:val="18"/>
                <w:color w:val="auto"/>
              </w:rPr>
              <w:t>Total noncurrent liabilities</w:t>
            </w:r>
          </w:p>
        </w:tc>
        <w:tc>
          <w:tcPr>
            <w:tcW w:w="1100" w:type="dxa"/>
            <w:vAlign w:val="bottom"/>
          </w:tcPr>
          <w:p>
            <w:pPr>
              <w:spacing w:after="0"/>
              <w:rPr>
                <w:sz w:val="20"/>
                <w:szCs w:val="20"/>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color w:val="auto"/>
                <w:w w:val="97"/>
              </w:rPr>
              <w:t>2,448</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2,440</w:t>
            </w:r>
          </w:p>
        </w:tc>
      </w:tr>
      <w:tr>
        <w:trPr>
          <w:trHeight w:val="249"/>
        </w:trPr>
        <w:tc>
          <w:tcPr>
            <w:tcW w:w="7600" w:type="dxa"/>
            <w:vAlign w:val="bottom"/>
            <w:gridSpan w:val="4"/>
            <w:shd w:val="clear" w:color="auto" w:fill="CFF0FC"/>
          </w:tcPr>
          <w:p>
            <w:pPr>
              <w:ind w:left="20"/>
              <w:spacing w:after="0"/>
              <w:rPr>
                <w:sz w:val="20"/>
                <w:szCs w:val="20"/>
                <w:color w:val="auto"/>
              </w:rPr>
            </w:pPr>
            <w:r>
              <w:rPr>
                <w:rFonts w:ascii="Arial" w:cs="Arial" w:eastAsia="Arial" w:hAnsi="Arial"/>
                <w:sz w:val="18"/>
                <w:szCs w:val="18"/>
                <w:color w:val="auto"/>
              </w:rPr>
              <w:t>Commitments and contingencies - Note L</w:t>
            </w:r>
          </w:p>
        </w:tc>
        <w:tc>
          <w:tcPr>
            <w:tcW w:w="110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20" w:type="dxa"/>
            <w:vAlign w:val="bottom"/>
            <w:shd w:val="clear" w:color="auto" w:fill="CFF0FC"/>
          </w:tcPr>
          <w:p>
            <w:pPr>
              <w:spacing w:after="0"/>
              <w:rPr>
                <w:sz w:val="21"/>
                <w:szCs w:val="21"/>
                <w:color w:val="auto"/>
              </w:rPr>
            </w:pPr>
          </w:p>
        </w:tc>
      </w:tr>
      <w:tr>
        <w:trPr>
          <w:trHeight w:val="239"/>
        </w:trPr>
        <w:tc>
          <w:tcPr>
            <w:tcW w:w="7600" w:type="dxa"/>
            <w:vAlign w:val="bottom"/>
            <w:gridSpan w:val="4"/>
          </w:tcPr>
          <w:p>
            <w:pPr>
              <w:ind w:left="20"/>
              <w:spacing w:after="0"/>
              <w:rPr>
                <w:sz w:val="20"/>
                <w:szCs w:val="20"/>
                <w:color w:val="auto"/>
              </w:rPr>
            </w:pPr>
            <w:r>
              <w:rPr>
                <w:rFonts w:ascii="Arial" w:cs="Arial" w:eastAsia="Arial" w:hAnsi="Arial"/>
                <w:sz w:val="18"/>
                <w:szCs w:val="18"/>
                <w:b w:val="1"/>
                <w:bCs w:val="1"/>
                <w:color w:val="auto"/>
              </w:rPr>
              <w:t>Stockholders’ equity - Note N</w:t>
            </w:r>
          </w:p>
        </w:tc>
        <w:tc>
          <w:tcPr>
            <w:tcW w:w="1100" w:type="dxa"/>
            <w:vAlign w:val="bottom"/>
          </w:tcPr>
          <w:p>
            <w:pPr>
              <w:spacing w:after="0"/>
              <w:rPr>
                <w:sz w:val="20"/>
                <w:szCs w:val="20"/>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color w:val="auto"/>
                <w:w w:val="97"/>
              </w:rPr>
              <w:t>3,149</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3,220</w:t>
            </w:r>
          </w:p>
        </w:tc>
      </w:tr>
      <w:tr>
        <w:trPr>
          <w:trHeight w:val="247"/>
        </w:trPr>
        <w:tc>
          <w:tcPr>
            <w:tcW w:w="2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bottom w:val="single" w:sz="8" w:color="CFF0FC"/>
            </w:tcBorders>
            <w:shd w:val="clear" w:color="auto" w:fill="CFF0FC"/>
          </w:tcPr>
          <w:p>
            <w:pPr>
              <w:spacing w:after="0"/>
              <w:rPr>
                <w:sz w:val="21"/>
                <w:szCs w:val="21"/>
                <w:color w:val="auto"/>
              </w:rPr>
            </w:pPr>
          </w:p>
        </w:tc>
        <w:tc>
          <w:tcPr>
            <w:tcW w:w="528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spacing w:after="0"/>
              <w:rPr>
                <w:sz w:val="21"/>
                <w:szCs w:val="21"/>
                <w:color w:val="auto"/>
              </w:rPr>
            </w:pPr>
          </w:p>
        </w:tc>
      </w:tr>
      <w:tr>
        <w:trPr>
          <w:trHeight w:val="237"/>
        </w:trPr>
        <w:tc>
          <w:tcPr>
            <w:tcW w:w="7600" w:type="dxa"/>
            <w:vAlign w:val="bottom"/>
            <w:gridSpan w:val="4"/>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1100" w:type="dxa"/>
            <w:vAlign w:val="bottom"/>
          </w:tcPr>
          <w:p>
            <w:pPr>
              <w:jc w:val="right"/>
              <w:ind w:right="91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50"/>
              <w:spacing w:after="0"/>
              <w:rPr>
                <w:sz w:val="20"/>
                <w:szCs w:val="20"/>
                <w:color w:val="auto"/>
              </w:rPr>
            </w:pPr>
            <w:r>
              <w:rPr>
                <w:rFonts w:ascii="Arial" w:cs="Arial" w:eastAsia="Arial" w:hAnsi="Arial"/>
                <w:sz w:val="18"/>
                <w:szCs w:val="18"/>
                <w:color w:val="auto"/>
                <w:w w:val="97"/>
              </w:rPr>
              <w:t>6,029</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6,213</w:t>
            </w: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r>
        <w:trPr>
          <w:trHeight w:val="129"/>
        </w:trPr>
        <w:tc>
          <w:tcPr>
            <w:tcW w:w="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tcPr>
          <w:p>
            <w:pPr>
              <w:spacing w:after="0"/>
              <w:rPr>
                <w:sz w:val="11"/>
                <w:szCs w:val="11"/>
                <w:color w:val="auto"/>
              </w:rPr>
            </w:pPr>
          </w:p>
        </w:tc>
        <w:tc>
          <w:tcPr>
            <w:tcW w:w="52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-4679950</wp:posOffset>
            </wp:positionV>
            <wp:extent cx="137160"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7160" cy="16319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-3437255</wp:posOffset>
            </wp:positionV>
            <wp:extent cx="13716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7160" cy="17145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-3110865</wp:posOffset>
            </wp:positionV>
            <wp:extent cx="137160" cy="1797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7160" cy="17970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-2159635</wp:posOffset>
            </wp:positionV>
            <wp:extent cx="137160" cy="163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7160" cy="16319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-916940</wp:posOffset>
            </wp:positionV>
            <wp:extent cx="137160" cy="163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7160" cy="16319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-290830</wp:posOffset>
            </wp:positionV>
            <wp:extent cx="137160" cy="2914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7160" cy="291465"/>
                    </a:xfrm>
                    <a:prstGeom prst="rect">
                      <a:avLst/>
                    </a:prstGeom>
                    <a:noFill/>
                  </pic:spPr>
                </pic:pic>
              </a:graphicData>
            </a:graphic>
          </wp:anchor>
        </w:drawing>
      </w:r>
    </w:p>
    <w:p>
      <w:pPr>
        <w:spacing w:after="0" w:line="69" w:lineRule="exact"/>
        <w:rPr>
          <w:sz w:val="20"/>
          <w:szCs w:val="20"/>
          <w:color w:val="auto"/>
        </w:rPr>
      </w:pPr>
    </w:p>
    <w:p>
      <w:pPr>
        <w:ind w:left="380" w:hanging="372"/>
        <w:spacing w:after="0"/>
        <w:tabs>
          <w:tab w:leader="none" w:pos="380" w:val="left"/>
        </w:tabs>
        <w:numPr>
          <w:ilvl w:val="0"/>
          <w:numId w:val="3"/>
        </w:numPr>
        <w:rPr>
          <w:rFonts w:ascii="Arial" w:cs="Arial" w:eastAsia="Arial" w:hAnsi="Arial"/>
          <w:sz w:val="14"/>
          <w:szCs w:val="14"/>
          <w:color w:val="auto"/>
        </w:rPr>
      </w:pPr>
      <w:r>
        <w:rPr>
          <w:rFonts w:ascii="Arial" w:cs="Arial" w:eastAsia="Arial" w:hAnsi="Arial"/>
          <w:sz w:val="14"/>
          <w:szCs w:val="14"/>
          <w:color w:val="auto"/>
        </w:rPr>
        <w:t>Accounts receivable includes an allowance for credit losses of $4 million at both June 30, 2023 and September 30, 2022, respectively.</w:t>
      </w:r>
    </w:p>
    <w:p>
      <w:pPr>
        <w:spacing w:after="0" w:line="28" w:lineRule="exact"/>
        <w:rPr>
          <w:rFonts w:ascii="Arial" w:cs="Arial" w:eastAsia="Arial" w:hAnsi="Arial"/>
          <w:sz w:val="14"/>
          <w:szCs w:val="14"/>
          <w:color w:val="auto"/>
        </w:rPr>
      </w:pPr>
    </w:p>
    <w:p>
      <w:pPr>
        <w:ind w:left="380" w:hanging="372"/>
        <w:spacing w:after="0"/>
        <w:tabs>
          <w:tab w:leader="none" w:pos="380" w:val="left"/>
        </w:tabs>
        <w:numPr>
          <w:ilvl w:val="0"/>
          <w:numId w:val="3"/>
        </w:numPr>
        <w:rPr>
          <w:rFonts w:ascii="Arial" w:cs="Arial" w:eastAsia="Arial" w:hAnsi="Arial"/>
          <w:sz w:val="14"/>
          <w:szCs w:val="14"/>
          <w:color w:val="auto"/>
        </w:rPr>
      </w:pPr>
      <w:r>
        <w:rPr>
          <w:rFonts w:ascii="Arial" w:cs="Arial" w:eastAsia="Arial" w:hAnsi="Arial"/>
          <w:sz w:val="14"/>
          <w:szCs w:val="14"/>
          <w:color w:val="auto"/>
        </w:rPr>
        <w:t>Asbestos insurance receivable includes an allowance for credit losses of $3 million at both June 30, 2023 and September 30, 2022, respectively.</w:t>
      </w:r>
    </w:p>
    <w:p>
      <w:pPr>
        <w:spacing w:after="0" w:line="97" w:lineRule="exact"/>
        <w:rPr>
          <w:sz w:val="20"/>
          <w:szCs w:val="20"/>
          <w:color w:val="auto"/>
        </w:rPr>
      </w:pPr>
    </w:p>
    <w:p>
      <w:pPr>
        <w:spacing w:after="0"/>
        <w:rPr>
          <w:sz w:val="20"/>
          <w:szCs w:val="20"/>
          <w:color w:val="auto"/>
        </w:rPr>
      </w:pPr>
      <w:r>
        <w:rPr>
          <w:rFonts w:ascii="Arial" w:cs="Arial" w:eastAsia="Arial" w:hAnsi="Arial"/>
          <w:sz w:val="20"/>
          <w:szCs w:val="20"/>
          <w:color w:val="auto"/>
        </w:rPr>
        <w:t>SEE NOTES TO CONDENSED CONSOLIDATED FINANCIAL STATEMENTS.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ind w:right="5300"/>
        <w:spacing w:after="0" w:line="293" w:lineRule="auto"/>
        <w:rPr>
          <w:sz w:val="20"/>
          <w:szCs w:val="20"/>
          <w:color w:val="auto"/>
        </w:rPr>
      </w:pPr>
      <w:r>
        <w:rPr>
          <w:rFonts w:ascii="Arial" w:cs="Arial" w:eastAsia="Arial" w:hAnsi="Arial"/>
          <w:sz w:val="19"/>
          <w:szCs w:val="19"/>
          <w:b w:val="1"/>
          <w:bCs w:val="1"/>
          <w:color w:val="auto"/>
        </w:rPr>
        <w:t>ASHLAND INC. AND CONSOLIDATED SUBSIDIARIES STATEMENTS OF CONDENSED CONSOLIDATED CASH FLOWS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4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000" w:type="dxa"/>
            <w:vAlign w:val="bottom"/>
            <w:tcBorders>
              <w:top w:val="single" w:sz="8" w:color="auto"/>
            </w:tcBorders>
            <w:gridSpan w:val="3"/>
          </w:tcPr>
          <w:p>
            <w:pPr>
              <w:jc w:val="right"/>
              <w:ind w:right="80"/>
              <w:spacing w:after="0"/>
              <w:rPr>
                <w:sz w:val="20"/>
                <w:szCs w:val="20"/>
                <w:color w:val="auto"/>
              </w:rPr>
            </w:pPr>
            <w:r>
              <w:rPr>
                <w:rFonts w:ascii="Arial" w:cs="Arial" w:eastAsia="Arial" w:hAnsi="Arial"/>
                <w:sz w:val="15"/>
                <w:szCs w:val="15"/>
                <w:color w:val="auto"/>
              </w:rPr>
              <w:t>Nine months ended</w:t>
            </w:r>
          </w:p>
        </w:tc>
        <w:tc>
          <w:tcPr>
            <w:tcW w:w="1140" w:type="dxa"/>
            <w:vAlign w:val="bottom"/>
            <w:tcBorders>
              <w:top w:val="single" w:sz="8" w:color="auto"/>
            </w:tcBorders>
          </w:tcPr>
          <w:p>
            <w:pPr>
              <w:spacing w:after="0"/>
              <w:rPr>
                <w:sz w:val="17"/>
                <w:szCs w:val="17"/>
                <w:color w:val="auto"/>
              </w:rPr>
            </w:pPr>
          </w:p>
        </w:tc>
      </w:tr>
      <w:tr>
        <w:trPr>
          <w:trHeight w:val="189"/>
        </w:trPr>
        <w:tc>
          <w:tcPr>
            <w:tcW w:w="7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5"/>
                <w:szCs w:val="15"/>
                <w:color w:val="auto"/>
              </w:rPr>
              <w:t>June 30</w:t>
            </w:r>
          </w:p>
        </w:tc>
        <w:tc>
          <w:tcPr>
            <w:tcW w:w="1140" w:type="dxa"/>
            <w:vAlign w:val="bottom"/>
            <w:tcBorders>
              <w:bottom w:val="single" w:sz="8" w:color="auto"/>
            </w:tcBorders>
          </w:tcPr>
          <w:p>
            <w:pPr>
              <w:spacing w:after="0"/>
              <w:rPr>
                <w:sz w:val="16"/>
                <w:szCs w:val="16"/>
                <w:color w:val="auto"/>
              </w:rPr>
            </w:pPr>
          </w:p>
        </w:tc>
      </w:tr>
      <w:tr>
        <w:trPr>
          <w:trHeight w:val="183"/>
        </w:trPr>
        <w:tc>
          <w:tcPr>
            <w:tcW w:w="77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(In millions - unaudited)</w:t>
            </w:r>
          </w:p>
        </w:tc>
        <w:tc>
          <w:tcPr>
            <w:tcW w:w="3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64"/>
              <w:spacing w:after="0"/>
              <w:rPr>
                <w:sz w:val="20"/>
                <w:szCs w:val="20"/>
                <w:color w:val="auto"/>
              </w:rPr>
            </w:pPr>
            <w:r>
              <w:rPr>
                <w:rFonts w:ascii="Arial" w:cs="Arial" w:eastAsia="Arial" w:hAnsi="Arial"/>
                <w:sz w:val="15"/>
                <w:szCs w:val="15"/>
                <w:color w:val="auto"/>
              </w:rPr>
              <w:t>2023</w:t>
            </w:r>
          </w:p>
        </w:tc>
        <w:tc>
          <w:tcPr>
            <w:tcW w:w="2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664"/>
              <w:spacing w:after="0"/>
              <w:rPr>
                <w:sz w:val="20"/>
                <w:szCs w:val="20"/>
                <w:color w:val="auto"/>
              </w:rPr>
            </w:pPr>
            <w:r>
              <w:rPr>
                <w:rFonts w:ascii="Arial" w:cs="Arial" w:eastAsia="Arial" w:hAnsi="Arial"/>
                <w:sz w:val="15"/>
                <w:szCs w:val="15"/>
                <w:color w:val="auto"/>
              </w:rPr>
              <w:t>2022</w:t>
            </w:r>
          </w:p>
        </w:tc>
      </w:tr>
      <w:tr>
        <w:trPr>
          <w:trHeight w:val="152"/>
        </w:trPr>
        <w:tc>
          <w:tcPr>
            <w:tcW w:w="7740" w:type="dxa"/>
            <w:vAlign w:val="bottom"/>
            <w:shd w:val="clear" w:color="auto" w:fill="CFF0FC"/>
          </w:tcPr>
          <w:p>
            <w:pPr>
              <w:ind w:left="20"/>
              <w:spacing w:after="0" w:line="152" w:lineRule="exact"/>
              <w:rPr>
                <w:sz w:val="20"/>
                <w:szCs w:val="20"/>
                <w:color w:val="auto"/>
              </w:rPr>
            </w:pPr>
            <w:r>
              <w:rPr>
                <w:rFonts w:ascii="Arial" w:cs="Arial" w:eastAsia="Arial" w:hAnsi="Arial"/>
                <w:sz w:val="15"/>
                <w:szCs w:val="15"/>
                <w:b w:val="1"/>
                <w:bCs w:val="1"/>
                <w:color w:val="auto"/>
              </w:rPr>
              <w:t>CASH FLOWS PROVIDED (USED) BY OPERATING ACTIVITIES FROM</w:t>
            </w:r>
          </w:p>
        </w:tc>
        <w:tc>
          <w:tcPr>
            <w:tcW w:w="36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r>
      <w:tr>
        <w:trPr>
          <w:trHeight w:val="193"/>
        </w:trPr>
        <w:tc>
          <w:tcPr>
            <w:tcW w:w="7740" w:type="dxa"/>
            <w:vAlign w:val="bottom"/>
            <w:shd w:val="clear" w:color="auto" w:fill="CFF0FC"/>
          </w:tcPr>
          <w:p>
            <w:pPr>
              <w:ind w:left="140"/>
              <w:spacing w:after="0"/>
              <w:rPr>
                <w:sz w:val="20"/>
                <w:szCs w:val="20"/>
                <w:color w:val="auto"/>
              </w:rPr>
            </w:pPr>
            <w:r>
              <w:rPr>
                <w:rFonts w:ascii="Arial" w:cs="Arial" w:eastAsia="Arial" w:hAnsi="Arial"/>
                <w:sz w:val="15"/>
                <w:szCs w:val="15"/>
                <w:b w:val="1"/>
                <w:bCs w:val="1"/>
                <w:color w:val="auto"/>
              </w:rPr>
              <w:t>CONTINUING OPERATIONS</w:t>
            </w:r>
          </w:p>
        </w:tc>
        <w:tc>
          <w:tcPr>
            <w:tcW w:w="36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r>
      <w:tr>
        <w:trPr>
          <w:trHeight w:val="189"/>
        </w:trPr>
        <w:tc>
          <w:tcPr>
            <w:tcW w:w="7740" w:type="dxa"/>
            <w:vAlign w:val="bottom"/>
          </w:tcPr>
          <w:p>
            <w:pPr>
              <w:ind w:left="200"/>
              <w:spacing w:after="0"/>
              <w:rPr>
                <w:sz w:val="20"/>
                <w:szCs w:val="20"/>
                <w:color w:val="auto"/>
              </w:rPr>
            </w:pPr>
            <w:r>
              <w:rPr>
                <w:rFonts w:ascii="Arial" w:cs="Arial" w:eastAsia="Arial" w:hAnsi="Arial"/>
                <w:sz w:val="15"/>
                <w:szCs w:val="15"/>
                <w:color w:val="auto"/>
              </w:rPr>
              <w:t>Net income</w:t>
            </w:r>
          </w:p>
        </w:tc>
        <w:tc>
          <w:tcPr>
            <w:tcW w:w="360" w:type="dxa"/>
            <w:vAlign w:val="bottom"/>
          </w:tcPr>
          <w:p>
            <w:pPr>
              <w:jc w:val="right"/>
              <w:ind w:right="184"/>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ind w:right="84"/>
              <w:spacing w:after="0"/>
              <w:rPr>
                <w:sz w:val="20"/>
                <w:szCs w:val="20"/>
                <w:color w:val="auto"/>
              </w:rPr>
            </w:pPr>
            <w:r>
              <w:rPr>
                <w:rFonts w:ascii="Arial" w:cs="Arial" w:eastAsia="Arial" w:hAnsi="Arial"/>
                <w:sz w:val="15"/>
                <w:szCs w:val="15"/>
                <w:color w:val="auto"/>
              </w:rPr>
              <w:t>182</w:t>
            </w:r>
          </w:p>
        </w:tc>
        <w:tc>
          <w:tcPr>
            <w:tcW w:w="700" w:type="dxa"/>
            <w:vAlign w:val="bottom"/>
            <w:gridSpan w:val="2"/>
          </w:tcPr>
          <w:p>
            <w:pPr>
              <w:jc w:val="right"/>
              <w:ind w:right="420"/>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84"/>
              <w:spacing w:after="0"/>
              <w:rPr>
                <w:sz w:val="20"/>
                <w:szCs w:val="20"/>
                <w:color w:val="auto"/>
              </w:rPr>
            </w:pPr>
            <w:r>
              <w:rPr>
                <w:rFonts w:ascii="Arial" w:cs="Arial" w:eastAsia="Arial" w:hAnsi="Arial"/>
                <w:sz w:val="15"/>
                <w:szCs w:val="15"/>
                <w:color w:val="auto"/>
              </w:rPr>
              <w:t>870</w:t>
            </w:r>
          </w:p>
        </w:tc>
      </w:tr>
      <w:tr>
        <w:trPr>
          <w:trHeight w:val="189"/>
        </w:trPr>
        <w:tc>
          <w:tcPr>
            <w:tcW w:w="7740" w:type="dxa"/>
            <w:vAlign w:val="bottom"/>
            <w:shd w:val="clear" w:color="auto" w:fill="CFF0FC"/>
          </w:tcPr>
          <w:p>
            <w:pPr>
              <w:ind w:left="200"/>
              <w:spacing w:after="0"/>
              <w:rPr>
                <w:sz w:val="20"/>
                <w:szCs w:val="20"/>
                <w:color w:val="auto"/>
              </w:rPr>
            </w:pPr>
            <w:r>
              <w:rPr>
                <w:rFonts w:ascii="Arial" w:cs="Arial" w:eastAsia="Arial" w:hAnsi="Arial"/>
                <w:sz w:val="15"/>
                <w:szCs w:val="15"/>
                <w:color w:val="auto"/>
              </w:rPr>
              <w:t>Income from discontinued operations (net of income taxes)</w:t>
            </w:r>
          </w:p>
        </w:tc>
        <w:tc>
          <w:tcPr>
            <w:tcW w:w="36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rPr>
              <w:t>(6 )</w:t>
            </w:r>
          </w:p>
        </w:tc>
        <w:tc>
          <w:tcPr>
            <w:tcW w:w="20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rPr>
              <w:t>(749 )</w:t>
            </w:r>
          </w:p>
        </w:tc>
      </w:tr>
      <w:tr>
        <w:trPr>
          <w:trHeight w:val="189"/>
        </w:trPr>
        <w:tc>
          <w:tcPr>
            <w:tcW w:w="7740" w:type="dxa"/>
            <w:vAlign w:val="bottom"/>
          </w:tcPr>
          <w:p>
            <w:pPr>
              <w:ind w:left="200"/>
              <w:spacing w:after="0"/>
              <w:rPr>
                <w:sz w:val="20"/>
                <w:szCs w:val="20"/>
                <w:color w:val="auto"/>
              </w:rPr>
            </w:pPr>
            <w:r>
              <w:rPr>
                <w:rFonts w:ascii="Arial" w:cs="Arial" w:eastAsia="Arial" w:hAnsi="Arial"/>
                <w:sz w:val="15"/>
                <w:szCs w:val="15"/>
                <w:color w:val="auto"/>
              </w:rPr>
              <w:t>Adjustments to reconcile income from continuing operations to</w:t>
            </w:r>
          </w:p>
        </w:tc>
        <w:tc>
          <w:tcPr>
            <w:tcW w:w="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9"/>
        </w:trPr>
        <w:tc>
          <w:tcPr>
            <w:tcW w:w="7740" w:type="dxa"/>
            <w:vAlign w:val="bottom"/>
            <w:shd w:val="clear" w:color="auto" w:fill="CFF0FC"/>
          </w:tcPr>
          <w:p>
            <w:pPr>
              <w:ind w:left="300"/>
              <w:spacing w:after="0"/>
              <w:rPr>
                <w:sz w:val="20"/>
                <w:szCs w:val="20"/>
                <w:color w:val="auto"/>
              </w:rPr>
            </w:pPr>
            <w:r>
              <w:rPr>
                <w:rFonts w:ascii="Arial" w:cs="Arial" w:eastAsia="Arial" w:hAnsi="Arial"/>
                <w:sz w:val="15"/>
                <w:szCs w:val="15"/>
                <w:color w:val="auto"/>
              </w:rPr>
              <w:t>cash flows from operating activities:</w:t>
            </w:r>
          </w:p>
        </w:tc>
        <w:tc>
          <w:tcPr>
            <w:tcW w:w="36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r>
      <w:tr>
        <w:trPr>
          <w:trHeight w:val="189"/>
        </w:trPr>
        <w:tc>
          <w:tcPr>
            <w:tcW w:w="7740" w:type="dxa"/>
            <w:vAlign w:val="bottom"/>
          </w:tcPr>
          <w:p>
            <w:pPr>
              <w:ind w:left="380"/>
              <w:spacing w:after="0"/>
              <w:rPr>
                <w:sz w:val="20"/>
                <w:szCs w:val="20"/>
                <w:color w:val="auto"/>
              </w:rPr>
            </w:pPr>
            <w:r>
              <w:rPr>
                <w:rFonts w:ascii="Arial" w:cs="Arial" w:eastAsia="Arial" w:hAnsi="Arial"/>
                <w:sz w:val="15"/>
                <w:szCs w:val="15"/>
                <w:color w:val="auto"/>
              </w:rPr>
              <w:t>Depreciation and amortization</w:t>
            </w:r>
          </w:p>
        </w:tc>
        <w:tc>
          <w:tcPr>
            <w:tcW w:w="360" w:type="dxa"/>
            <w:vAlign w:val="bottom"/>
          </w:tcPr>
          <w:p>
            <w:pPr>
              <w:spacing w:after="0"/>
              <w:rPr>
                <w:sz w:val="16"/>
                <w:szCs w:val="16"/>
                <w:color w:val="auto"/>
              </w:rPr>
            </w:pPr>
          </w:p>
        </w:tc>
        <w:tc>
          <w:tcPr>
            <w:tcW w:w="1300" w:type="dxa"/>
            <w:vAlign w:val="bottom"/>
          </w:tcPr>
          <w:p>
            <w:pPr>
              <w:jc w:val="right"/>
              <w:ind w:right="84"/>
              <w:spacing w:after="0"/>
              <w:rPr>
                <w:sz w:val="20"/>
                <w:szCs w:val="20"/>
                <w:color w:val="auto"/>
              </w:rPr>
            </w:pPr>
            <w:r>
              <w:rPr>
                <w:rFonts w:ascii="Arial" w:cs="Arial" w:eastAsia="Arial" w:hAnsi="Arial"/>
                <w:sz w:val="15"/>
                <w:szCs w:val="15"/>
                <w:color w:val="auto"/>
              </w:rPr>
              <w:t>181</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40" w:type="dxa"/>
            <w:vAlign w:val="bottom"/>
          </w:tcPr>
          <w:p>
            <w:pPr>
              <w:jc w:val="right"/>
              <w:ind w:right="84"/>
              <w:spacing w:after="0"/>
              <w:rPr>
                <w:sz w:val="20"/>
                <w:szCs w:val="20"/>
                <w:color w:val="auto"/>
              </w:rPr>
            </w:pPr>
            <w:r>
              <w:rPr>
                <w:rFonts w:ascii="Arial" w:cs="Arial" w:eastAsia="Arial" w:hAnsi="Arial"/>
                <w:sz w:val="15"/>
                <w:szCs w:val="15"/>
                <w:color w:val="auto"/>
              </w:rPr>
              <w:t>182</w:t>
            </w:r>
          </w:p>
        </w:tc>
      </w:tr>
      <w:tr>
        <w:trPr>
          <w:trHeight w:val="189"/>
        </w:trPr>
        <w:tc>
          <w:tcPr>
            <w:tcW w:w="7740" w:type="dxa"/>
            <w:vAlign w:val="bottom"/>
            <w:shd w:val="clear" w:color="auto" w:fill="CFF0FC"/>
          </w:tcPr>
          <w:p>
            <w:pPr>
              <w:ind w:left="380"/>
              <w:spacing w:after="0"/>
              <w:rPr>
                <w:sz w:val="20"/>
                <w:szCs w:val="20"/>
                <w:color w:val="auto"/>
              </w:rPr>
            </w:pPr>
            <w:r>
              <w:rPr>
                <w:rFonts w:ascii="Arial" w:cs="Arial" w:eastAsia="Arial" w:hAnsi="Arial"/>
                <w:sz w:val="15"/>
                <w:szCs w:val="15"/>
                <w:color w:val="auto"/>
              </w:rPr>
              <w:t>Original issue discount and debt issuance costs amortization</w:t>
            </w:r>
          </w:p>
        </w:tc>
        <w:tc>
          <w:tcPr>
            <w:tcW w:w="36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rPr>
              <w:t>4</w:t>
            </w:r>
          </w:p>
        </w:tc>
        <w:tc>
          <w:tcPr>
            <w:tcW w:w="20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rPr>
              <w:t>4</w:t>
            </w:r>
          </w:p>
        </w:tc>
      </w:tr>
      <w:tr>
        <w:trPr>
          <w:trHeight w:val="189"/>
        </w:trPr>
        <w:tc>
          <w:tcPr>
            <w:tcW w:w="7740" w:type="dxa"/>
            <w:vAlign w:val="bottom"/>
          </w:tcPr>
          <w:p>
            <w:pPr>
              <w:ind w:left="380"/>
              <w:spacing w:after="0"/>
              <w:rPr>
                <w:sz w:val="20"/>
                <w:szCs w:val="20"/>
                <w:color w:val="auto"/>
              </w:rPr>
            </w:pPr>
            <w:r>
              <w:rPr>
                <w:rFonts w:ascii="Arial" w:cs="Arial" w:eastAsia="Arial" w:hAnsi="Arial"/>
                <w:sz w:val="15"/>
                <w:szCs w:val="15"/>
                <w:color w:val="auto"/>
              </w:rPr>
              <w:t>Deferred income taxes</w:t>
            </w:r>
          </w:p>
        </w:tc>
        <w:tc>
          <w:tcPr>
            <w:tcW w:w="360" w:type="dxa"/>
            <w:vAlign w:val="bottom"/>
          </w:tcPr>
          <w:p>
            <w:pPr>
              <w:spacing w:after="0"/>
              <w:rPr>
                <w:sz w:val="16"/>
                <w:szCs w:val="16"/>
                <w:color w:val="auto"/>
              </w:rPr>
            </w:pPr>
          </w:p>
        </w:tc>
        <w:tc>
          <w:tcPr>
            <w:tcW w:w="1300" w:type="dxa"/>
            <w:vAlign w:val="bottom"/>
          </w:tcPr>
          <w:p>
            <w:pPr>
              <w:jc w:val="right"/>
              <w:ind w:right="84"/>
              <w:spacing w:after="0"/>
              <w:rPr>
                <w:sz w:val="20"/>
                <w:szCs w:val="20"/>
                <w:color w:val="auto"/>
              </w:rPr>
            </w:pPr>
            <w:r>
              <w:rPr>
                <w:rFonts w:ascii="Arial" w:cs="Arial" w:eastAsia="Arial" w:hAnsi="Arial"/>
                <w:sz w:val="15"/>
                <w:szCs w:val="15"/>
                <w:color w:val="auto"/>
              </w:rPr>
              <w:t>11</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color w:val="auto"/>
              </w:rPr>
              <w:t>(5 )</w:t>
            </w:r>
          </w:p>
        </w:tc>
      </w:tr>
      <w:tr>
        <w:trPr>
          <w:trHeight w:val="189"/>
        </w:trPr>
        <w:tc>
          <w:tcPr>
            <w:tcW w:w="7740" w:type="dxa"/>
            <w:vAlign w:val="bottom"/>
            <w:shd w:val="clear" w:color="auto" w:fill="CFF0FC"/>
          </w:tcPr>
          <w:p>
            <w:pPr>
              <w:ind w:left="380"/>
              <w:spacing w:after="0"/>
              <w:rPr>
                <w:sz w:val="20"/>
                <w:szCs w:val="20"/>
                <w:color w:val="auto"/>
              </w:rPr>
            </w:pPr>
            <w:r>
              <w:rPr>
                <w:rFonts w:ascii="Arial" w:cs="Arial" w:eastAsia="Arial" w:hAnsi="Arial"/>
                <w:sz w:val="15"/>
                <w:szCs w:val="15"/>
                <w:color w:val="auto"/>
              </w:rPr>
              <w:t>Gain from sales of property and equipment</w:t>
            </w:r>
          </w:p>
        </w:tc>
        <w:tc>
          <w:tcPr>
            <w:tcW w:w="36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rPr>
              <w:t>(1 )</w:t>
            </w:r>
          </w:p>
        </w:tc>
        <w:tc>
          <w:tcPr>
            <w:tcW w:w="20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rPr>
              <w:t>—</w:t>
            </w:r>
          </w:p>
        </w:tc>
      </w:tr>
      <w:tr>
        <w:trPr>
          <w:trHeight w:val="189"/>
        </w:trPr>
        <w:tc>
          <w:tcPr>
            <w:tcW w:w="7740" w:type="dxa"/>
            <w:vAlign w:val="bottom"/>
          </w:tcPr>
          <w:p>
            <w:pPr>
              <w:ind w:left="380"/>
              <w:spacing w:after="0"/>
              <w:rPr>
                <w:sz w:val="20"/>
                <w:szCs w:val="20"/>
                <w:color w:val="auto"/>
              </w:rPr>
            </w:pPr>
            <w:r>
              <w:rPr>
                <w:rFonts w:ascii="Arial" w:cs="Arial" w:eastAsia="Arial" w:hAnsi="Arial"/>
                <w:sz w:val="15"/>
                <w:szCs w:val="15"/>
                <w:color w:val="auto"/>
              </w:rPr>
              <w:t>Stock based compensation expense</w:t>
            </w:r>
          </w:p>
        </w:tc>
        <w:tc>
          <w:tcPr>
            <w:tcW w:w="360" w:type="dxa"/>
            <w:vAlign w:val="bottom"/>
          </w:tcPr>
          <w:p>
            <w:pPr>
              <w:spacing w:after="0"/>
              <w:rPr>
                <w:sz w:val="16"/>
                <w:szCs w:val="16"/>
                <w:color w:val="auto"/>
              </w:rPr>
            </w:pPr>
          </w:p>
        </w:tc>
        <w:tc>
          <w:tcPr>
            <w:tcW w:w="1300" w:type="dxa"/>
            <w:vAlign w:val="bottom"/>
          </w:tcPr>
          <w:p>
            <w:pPr>
              <w:jc w:val="right"/>
              <w:ind w:right="84"/>
              <w:spacing w:after="0"/>
              <w:rPr>
                <w:sz w:val="20"/>
                <w:szCs w:val="20"/>
                <w:color w:val="auto"/>
              </w:rPr>
            </w:pPr>
            <w:r>
              <w:rPr>
                <w:rFonts w:ascii="Arial" w:cs="Arial" w:eastAsia="Arial" w:hAnsi="Arial"/>
                <w:sz w:val="15"/>
                <w:szCs w:val="15"/>
                <w:color w:val="auto"/>
              </w:rPr>
              <w:t>17</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40" w:type="dxa"/>
            <w:vAlign w:val="bottom"/>
          </w:tcPr>
          <w:p>
            <w:pPr>
              <w:jc w:val="right"/>
              <w:ind w:right="84"/>
              <w:spacing w:after="0"/>
              <w:rPr>
                <w:sz w:val="20"/>
                <w:szCs w:val="20"/>
                <w:color w:val="auto"/>
              </w:rPr>
            </w:pPr>
            <w:r>
              <w:rPr>
                <w:rFonts w:ascii="Arial" w:cs="Arial" w:eastAsia="Arial" w:hAnsi="Arial"/>
                <w:sz w:val="15"/>
                <w:szCs w:val="15"/>
                <w:color w:val="auto"/>
              </w:rPr>
              <w:t>14</w:t>
            </w:r>
          </w:p>
        </w:tc>
      </w:tr>
      <w:tr>
        <w:trPr>
          <w:trHeight w:val="189"/>
        </w:trPr>
        <w:tc>
          <w:tcPr>
            <w:tcW w:w="7740" w:type="dxa"/>
            <w:vAlign w:val="bottom"/>
            <w:shd w:val="clear" w:color="auto" w:fill="CFF0FC"/>
          </w:tcPr>
          <w:p>
            <w:pPr>
              <w:ind w:left="380"/>
              <w:spacing w:after="0"/>
              <w:rPr>
                <w:sz w:val="20"/>
                <w:szCs w:val="20"/>
                <w:color w:val="auto"/>
              </w:rPr>
            </w:pPr>
            <w:r>
              <w:rPr>
                <w:rFonts w:ascii="Arial" w:cs="Arial" w:eastAsia="Arial" w:hAnsi="Arial"/>
                <w:sz w:val="15"/>
                <w:szCs w:val="15"/>
                <w:color w:val="auto"/>
              </w:rPr>
              <w:t>Excess tax benefit on stock based compensation</w:t>
            </w:r>
          </w:p>
        </w:tc>
        <w:tc>
          <w:tcPr>
            <w:tcW w:w="36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rPr>
              <w:t>1</w:t>
            </w:r>
          </w:p>
        </w:tc>
        <w:tc>
          <w:tcPr>
            <w:tcW w:w="20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rPr>
              <w:t>1</w:t>
            </w:r>
          </w:p>
        </w:tc>
      </w:tr>
      <w:tr>
        <w:trPr>
          <w:trHeight w:val="189"/>
        </w:trPr>
        <w:tc>
          <w:tcPr>
            <w:tcW w:w="7740" w:type="dxa"/>
            <w:vAlign w:val="bottom"/>
          </w:tcPr>
          <w:p>
            <w:pPr>
              <w:ind w:left="380"/>
              <w:spacing w:after="0"/>
              <w:rPr>
                <w:sz w:val="20"/>
                <w:szCs w:val="20"/>
                <w:color w:val="auto"/>
              </w:rPr>
            </w:pPr>
            <w:r>
              <w:rPr>
                <w:rFonts w:ascii="Arial" w:cs="Arial" w:eastAsia="Arial" w:hAnsi="Arial"/>
                <w:sz w:val="15"/>
                <w:szCs w:val="15"/>
                <w:color w:val="auto"/>
              </w:rPr>
              <w:t>Loss (income) from restricted investments</w:t>
            </w:r>
          </w:p>
        </w:tc>
        <w:tc>
          <w:tcPr>
            <w:tcW w:w="360" w:type="dxa"/>
            <w:vAlign w:val="bottom"/>
          </w:tcPr>
          <w:p>
            <w:pPr>
              <w:spacing w:after="0"/>
              <w:rPr>
                <w:sz w:val="16"/>
                <w:szCs w:val="16"/>
                <w:color w:val="auto"/>
              </w:rPr>
            </w:pPr>
          </w:p>
        </w:tc>
        <w:tc>
          <w:tcPr>
            <w:tcW w:w="1300" w:type="dxa"/>
            <w:vAlign w:val="bottom"/>
          </w:tcPr>
          <w:p>
            <w:pPr>
              <w:jc w:val="right"/>
              <w:ind w:right="4"/>
              <w:spacing w:after="0"/>
              <w:rPr>
                <w:sz w:val="20"/>
                <w:szCs w:val="20"/>
                <w:color w:val="auto"/>
              </w:rPr>
            </w:pPr>
            <w:r>
              <w:rPr>
                <w:rFonts w:ascii="Arial" w:cs="Arial" w:eastAsia="Arial" w:hAnsi="Arial"/>
                <w:sz w:val="15"/>
                <w:szCs w:val="15"/>
                <w:color w:val="auto"/>
              </w:rPr>
              <w:t>(57 )</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40" w:type="dxa"/>
            <w:vAlign w:val="bottom"/>
          </w:tcPr>
          <w:p>
            <w:pPr>
              <w:jc w:val="right"/>
              <w:ind w:right="84"/>
              <w:spacing w:after="0"/>
              <w:rPr>
                <w:sz w:val="20"/>
                <w:szCs w:val="20"/>
                <w:color w:val="auto"/>
              </w:rPr>
            </w:pPr>
            <w:r>
              <w:rPr>
                <w:rFonts w:ascii="Arial" w:cs="Arial" w:eastAsia="Arial" w:hAnsi="Arial"/>
                <w:sz w:val="15"/>
                <w:szCs w:val="15"/>
                <w:color w:val="auto"/>
              </w:rPr>
              <w:t>59</w:t>
            </w:r>
          </w:p>
        </w:tc>
      </w:tr>
      <w:tr>
        <w:trPr>
          <w:trHeight w:val="189"/>
        </w:trPr>
        <w:tc>
          <w:tcPr>
            <w:tcW w:w="7740" w:type="dxa"/>
            <w:vAlign w:val="bottom"/>
            <w:shd w:val="clear" w:color="auto" w:fill="CFF0FC"/>
          </w:tcPr>
          <w:p>
            <w:pPr>
              <w:ind w:left="380"/>
              <w:spacing w:after="0"/>
              <w:rPr>
                <w:sz w:val="20"/>
                <w:szCs w:val="20"/>
                <w:color w:val="auto"/>
              </w:rPr>
            </w:pPr>
            <w:r>
              <w:rPr>
                <w:rFonts w:ascii="Arial" w:cs="Arial" w:eastAsia="Arial" w:hAnsi="Arial"/>
                <w:sz w:val="15"/>
                <w:szCs w:val="15"/>
                <w:color w:val="auto"/>
              </w:rPr>
              <w:t>Income on acquisitions and divestitures</w:t>
            </w:r>
          </w:p>
        </w:tc>
        <w:tc>
          <w:tcPr>
            <w:tcW w:w="36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rPr>
              <w:t>(42 )</w:t>
            </w:r>
          </w:p>
        </w:tc>
      </w:tr>
      <w:tr>
        <w:trPr>
          <w:trHeight w:val="189"/>
        </w:trPr>
        <w:tc>
          <w:tcPr>
            <w:tcW w:w="7740" w:type="dxa"/>
            <w:vAlign w:val="bottom"/>
          </w:tcPr>
          <w:p>
            <w:pPr>
              <w:ind w:left="380"/>
              <w:spacing w:after="0"/>
              <w:rPr>
                <w:sz w:val="20"/>
                <w:szCs w:val="20"/>
                <w:color w:val="auto"/>
              </w:rPr>
            </w:pPr>
            <w:r>
              <w:rPr>
                <w:rFonts w:ascii="Arial" w:cs="Arial" w:eastAsia="Arial" w:hAnsi="Arial"/>
                <w:sz w:val="15"/>
                <w:szCs w:val="15"/>
                <w:color w:val="auto"/>
              </w:rPr>
              <w:t>Asset impairments</w:t>
            </w:r>
          </w:p>
        </w:tc>
        <w:tc>
          <w:tcPr>
            <w:tcW w:w="360" w:type="dxa"/>
            <w:vAlign w:val="bottom"/>
          </w:tcPr>
          <w:p>
            <w:pPr>
              <w:spacing w:after="0"/>
              <w:rPr>
                <w:sz w:val="16"/>
                <w:szCs w:val="16"/>
                <w:color w:val="auto"/>
              </w:rPr>
            </w:pPr>
          </w:p>
        </w:tc>
        <w:tc>
          <w:tcPr>
            <w:tcW w:w="1300" w:type="dxa"/>
            <w:vAlign w:val="bottom"/>
          </w:tcPr>
          <w:p>
            <w:pPr>
              <w:jc w:val="right"/>
              <w:ind w:right="84"/>
              <w:spacing w:after="0"/>
              <w:rPr>
                <w:sz w:val="20"/>
                <w:szCs w:val="20"/>
                <w:color w:val="auto"/>
              </w:rPr>
            </w:pPr>
            <w:r>
              <w:rPr>
                <w:rFonts w:ascii="Arial" w:cs="Arial" w:eastAsia="Arial" w:hAnsi="Arial"/>
                <w:sz w:val="15"/>
                <w:szCs w:val="15"/>
                <w:color w:val="auto"/>
              </w:rPr>
              <w:t>4</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40" w:type="dxa"/>
            <w:vAlign w:val="bottom"/>
          </w:tcPr>
          <w:p>
            <w:pPr>
              <w:jc w:val="right"/>
              <w:ind w:right="84"/>
              <w:spacing w:after="0"/>
              <w:rPr>
                <w:sz w:val="20"/>
                <w:szCs w:val="20"/>
                <w:color w:val="auto"/>
              </w:rPr>
            </w:pPr>
            <w:r>
              <w:rPr>
                <w:rFonts w:ascii="Arial" w:cs="Arial" w:eastAsia="Arial" w:hAnsi="Arial"/>
                <w:sz w:val="15"/>
                <w:szCs w:val="15"/>
                <w:color w:val="auto"/>
              </w:rPr>
              <w:t>—</w:t>
            </w:r>
          </w:p>
        </w:tc>
      </w:tr>
      <w:tr>
        <w:trPr>
          <w:trHeight w:val="189"/>
        </w:trPr>
        <w:tc>
          <w:tcPr>
            <w:tcW w:w="7740" w:type="dxa"/>
            <w:vAlign w:val="bottom"/>
            <w:shd w:val="clear" w:color="auto" w:fill="CFF0FC"/>
          </w:tcPr>
          <w:p>
            <w:pPr>
              <w:ind w:left="380"/>
              <w:spacing w:after="0"/>
              <w:rPr>
                <w:sz w:val="20"/>
                <w:szCs w:val="20"/>
                <w:color w:val="auto"/>
              </w:rPr>
            </w:pPr>
            <w:r>
              <w:rPr>
                <w:rFonts w:ascii="Arial" w:cs="Arial" w:eastAsia="Arial" w:hAnsi="Arial"/>
                <w:sz w:val="15"/>
                <w:szCs w:val="15"/>
                <w:color w:val="auto"/>
              </w:rPr>
              <w:t>Pension contributions</w:t>
            </w:r>
          </w:p>
        </w:tc>
        <w:tc>
          <w:tcPr>
            <w:tcW w:w="36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rPr>
              <w:t>(7 )</w:t>
            </w:r>
          </w:p>
        </w:tc>
        <w:tc>
          <w:tcPr>
            <w:tcW w:w="20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rPr>
              <w:t>(4 )</w:t>
            </w:r>
          </w:p>
        </w:tc>
      </w:tr>
      <w:tr>
        <w:trPr>
          <w:trHeight w:val="189"/>
        </w:trPr>
        <w:tc>
          <w:tcPr>
            <w:tcW w:w="7740" w:type="dxa"/>
            <w:vAlign w:val="bottom"/>
          </w:tcPr>
          <w:p>
            <w:pPr>
              <w:ind w:left="380"/>
              <w:spacing w:after="0"/>
              <w:rPr>
                <w:sz w:val="20"/>
                <w:szCs w:val="20"/>
                <w:color w:val="auto"/>
              </w:rPr>
            </w:pPr>
            <w:r>
              <w:rPr>
                <w:rFonts w:ascii="Arial" w:cs="Arial" w:eastAsia="Arial" w:hAnsi="Arial"/>
                <w:sz w:val="15"/>
                <w:szCs w:val="15"/>
                <w:color w:val="auto"/>
              </w:rPr>
              <w:t>Gain on pension and other postretirement plan remeasurements</w:t>
            </w:r>
          </w:p>
        </w:tc>
        <w:tc>
          <w:tcPr>
            <w:tcW w:w="360" w:type="dxa"/>
            <w:vAlign w:val="bottom"/>
          </w:tcPr>
          <w:p>
            <w:pPr>
              <w:spacing w:after="0"/>
              <w:rPr>
                <w:sz w:val="16"/>
                <w:szCs w:val="16"/>
                <w:color w:val="auto"/>
              </w:rPr>
            </w:pPr>
          </w:p>
        </w:tc>
        <w:tc>
          <w:tcPr>
            <w:tcW w:w="130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color w:val="auto"/>
              </w:rPr>
              <w:t>(1 )</w:t>
            </w:r>
          </w:p>
        </w:tc>
      </w:tr>
      <w:tr>
        <w:trPr>
          <w:trHeight w:val="189"/>
        </w:trPr>
        <w:tc>
          <w:tcPr>
            <w:tcW w:w="77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5"/>
                <w:szCs w:val="15"/>
                <w:color w:val="auto"/>
              </w:rPr>
              <w:t>Change in operating assets and liabilities (a)</w:t>
            </w:r>
          </w:p>
        </w:tc>
        <w:tc>
          <w:tcPr>
            <w:tcW w:w="360" w:type="dxa"/>
            <w:vAlign w:val="bottom"/>
            <w:tcBorders>
              <w:bottom w:val="single" w:sz="8" w:color="auto"/>
            </w:tcBorders>
            <w:shd w:val="clear" w:color="auto" w:fill="CFF0FC"/>
          </w:tcPr>
          <w:p>
            <w:pPr>
              <w:spacing w:after="0"/>
              <w:rPr>
                <w:sz w:val="16"/>
                <w:szCs w:val="16"/>
                <w:color w:val="auto"/>
              </w:rPr>
            </w:pPr>
          </w:p>
        </w:tc>
        <w:tc>
          <w:tcPr>
            <w:tcW w:w="1300" w:type="dxa"/>
            <w:vAlign w:val="bottom"/>
            <w:tcBorders>
              <w:bottom w:val="single" w:sz="8" w:color="auto"/>
            </w:tcBorders>
            <w:shd w:val="clear" w:color="auto" w:fill="CFF0FC"/>
          </w:tcPr>
          <w:p>
            <w:pPr>
              <w:jc w:val="right"/>
              <w:ind w:right="4"/>
              <w:spacing w:after="0"/>
              <w:rPr>
                <w:sz w:val="20"/>
                <w:szCs w:val="20"/>
                <w:color w:val="auto"/>
              </w:rPr>
            </w:pPr>
            <w:r>
              <w:rPr>
                <w:rFonts w:ascii="Arial" w:cs="Arial" w:eastAsia="Arial" w:hAnsi="Arial"/>
                <w:sz w:val="15"/>
                <w:szCs w:val="15"/>
                <w:color w:val="auto"/>
              </w:rPr>
              <w:t>(166 )</w:t>
            </w:r>
          </w:p>
        </w:tc>
        <w:tc>
          <w:tcPr>
            <w:tcW w:w="200" w:type="dxa"/>
            <w:vAlign w:val="bottom"/>
            <w:tcBorders>
              <w:bottom w:val="single" w:sz="8" w:color="CFF0FC"/>
            </w:tcBorders>
            <w:shd w:val="clear" w:color="auto" w:fill="CFF0FC"/>
          </w:tcPr>
          <w:p>
            <w:pPr>
              <w:spacing w:after="0"/>
              <w:rPr>
                <w:sz w:val="16"/>
                <w:szCs w:val="16"/>
                <w:color w:val="auto"/>
              </w:rPr>
            </w:pPr>
          </w:p>
        </w:tc>
        <w:tc>
          <w:tcPr>
            <w:tcW w:w="50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ind w:right="4"/>
              <w:spacing w:after="0"/>
              <w:rPr>
                <w:sz w:val="20"/>
                <w:szCs w:val="20"/>
                <w:color w:val="auto"/>
              </w:rPr>
            </w:pPr>
            <w:r>
              <w:rPr>
                <w:rFonts w:ascii="Arial" w:cs="Arial" w:eastAsia="Arial" w:hAnsi="Arial"/>
                <w:sz w:val="15"/>
                <w:szCs w:val="15"/>
                <w:color w:val="auto"/>
              </w:rPr>
              <w:t>(315 )</w:t>
            </w:r>
          </w:p>
        </w:tc>
      </w:tr>
      <w:tr>
        <w:trPr>
          <w:trHeight w:val="183"/>
        </w:trPr>
        <w:tc>
          <w:tcPr>
            <w:tcW w:w="7740" w:type="dxa"/>
            <w:vAlign w:val="bottom"/>
          </w:tcPr>
          <w:p>
            <w:pPr>
              <w:ind w:left="200"/>
              <w:spacing w:after="0"/>
              <w:rPr>
                <w:sz w:val="20"/>
                <w:szCs w:val="20"/>
                <w:color w:val="auto"/>
              </w:rPr>
            </w:pPr>
            <w:r>
              <w:rPr>
                <w:rFonts w:ascii="Arial" w:cs="Arial" w:eastAsia="Arial" w:hAnsi="Arial"/>
                <w:sz w:val="15"/>
                <w:szCs w:val="15"/>
                <w:color w:val="auto"/>
              </w:rPr>
              <w:t>Total cash flows provided by operating activities from continuing operations</w:t>
            </w:r>
          </w:p>
        </w:tc>
        <w:tc>
          <w:tcPr>
            <w:tcW w:w="360" w:type="dxa"/>
            <w:vAlign w:val="bottom"/>
          </w:tcPr>
          <w:p>
            <w:pPr>
              <w:spacing w:after="0"/>
              <w:rPr>
                <w:sz w:val="15"/>
                <w:szCs w:val="15"/>
                <w:color w:val="auto"/>
              </w:rPr>
            </w:pPr>
          </w:p>
        </w:tc>
        <w:tc>
          <w:tcPr>
            <w:tcW w:w="1300" w:type="dxa"/>
            <w:vAlign w:val="bottom"/>
          </w:tcPr>
          <w:p>
            <w:pPr>
              <w:jc w:val="right"/>
              <w:ind w:right="84"/>
              <w:spacing w:after="0"/>
              <w:rPr>
                <w:sz w:val="20"/>
                <w:szCs w:val="20"/>
                <w:color w:val="auto"/>
              </w:rPr>
            </w:pPr>
            <w:r>
              <w:rPr>
                <w:rFonts w:ascii="Arial" w:cs="Arial" w:eastAsia="Arial" w:hAnsi="Arial"/>
                <w:sz w:val="15"/>
                <w:szCs w:val="15"/>
                <w:color w:val="auto"/>
              </w:rPr>
              <w:t>163</w:t>
            </w: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tcPr>
          <w:p>
            <w:pPr>
              <w:jc w:val="right"/>
              <w:ind w:right="84"/>
              <w:spacing w:after="0"/>
              <w:rPr>
                <w:sz w:val="20"/>
                <w:szCs w:val="20"/>
                <w:color w:val="auto"/>
              </w:rPr>
            </w:pPr>
            <w:r>
              <w:rPr>
                <w:rFonts w:ascii="Arial" w:cs="Arial" w:eastAsia="Arial" w:hAnsi="Arial"/>
                <w:sz w:val="15"/>
                <w:szCs w:val="15"/>
                <w:color w:val="auto"/>
              </w:rPr>
              <w:t>14</w:t>
            </w:r>
          </w:p>
        </w:tc>
      </w:tr>
      <w:tr>
        <w:trPr>
          <w:trHeight w:val="158"/>
        </w:trPr>
        <w:tc>
          <w:tcPr>
            <w:tcW w:w="7740" w:type="dxa"/>
            <w:vAlign w:val="bottom"/>
            <w:shd w:val="clear" w:color="auto" w:fill="CFF0FC"/>
          </w:tcPr>
          <w:p>
            <w:pPr>
              <w:ind w:left="20"/>
              <w:spacing w:after="0" w:line="159" w:lineRule="exact"/>
              <w:rPr>
                <w:sz w:val="20"/>
                <w:szCs w:val="20"/>
                <w:color w:val="auto"/>
              </w:rPr>
            </w:pPr>
            <w:r>
              <w:rPr>
                <w:rFonts w:ascii="Arial" w:cs="Arial" w:eastAsia="Arial" w:hAnsi="Arial"/>
                <w:sz w:val="15"/>
                <w:szCs w:val="15"/>
                <w:b w:val="1"/>
                <w:bCs w:val="1"/>
                <w:color w:val="auto"/>
              </w:rPr>
              <w:t>CASH FLOWS PROVIDED (USED) BY INVESTING ACTIVITIES FROM</w:t>
            </w:r>
          </w:p>
        </w:tc>
        <w:tc>
          <w:tcPr>
            <w:tcW w:w="36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r>
      <w:tr>
        <w:trPr>
          <w:trHeight w:val="193"/>
        </w:trPr>
        <w:tc>
          <w:tcPr>
            <w:tcW w:w="7740" w:type="dxa"/>
            <w:vAlign w:val="bottom"/>
            <w:shd w:val="clear" w:color="auto" w:fill="CFF0FC"/>
          </w:tcPr>
          <w:p>
            <w:pPr>
              <w:ind w:left="140"/>
              <w:spacing w:after="0"/>
              <w:rPr>
                <w:sz w:val="20"/>
                <w:szCs w:val="20"/>
                <w:color w:val="auto"/>
              </w:rPr>
            </w:pPr>
            <w:r>
              <w:rPr>
                <w:rFonts w:ascii="Arial" w:cs="Arial" w:eastAsia="Arial" w:hAnsi="Arial"/>
                <w:sz w:val="15"/>
                <w:szCs w:val="15"/>
                <w:b w:val="1"/>
                <w:bCs w:val="1"/>
                <w:color w:val="auto"/>
              </w:rPr>
              <w:t>CONTINUING OPERATIONS</w:t>
            </w:r>
          </w:p>
        </w:tc>
        <w:tc>
          <w:tcPr>
            <w:tcW w:w="36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r>
      <w:tr>
        <w:trPr>
          <w:trHeight w:val="189"/>
        </w:trPr>
        <w:tc>
          <w:tcPr>
            <w:tcW w:w="7740" w:type="dxa"/>
            <w:vAlign w:val="bottom"/>
          </w:tcPr>
          <w:p>
            <w:pPr>
              <w:ind w:left="200"/>
              <w:spacing w:after="0"/>
              <w:rPr>
                <w:sz w:val="20"/>
                <w:szCs w:val="20"/>
                <w:color w:val="auto"/>
              </w:rPr>
            </w:pPr>
            <w:r>
              <w:rPr>
                <w:rFonts w:ascii="Arial" w:cs="Arial" w:eastAsia="Arial" w:hAnsi="Arial"/>
                <w:sz w:val="15"/>
                <w:szCs w:val="15"/>
                <w:color w:val="auto"/>
              </w:rPr>
              <w:t>Additions to property, plant and equipment</w:t>
            </w:r>
          </w:p>
        </w:tc>
        <w:tc>
          <w:tcPr>
            <w:tcW w:w="360" w:type="dxa"/>
            <w:vAlign w:val="bottom"/>
          </w:tcPr>
          <w:p>
            <w:pPr>
              <w:spacing w:after="0"/>
              <w:rPr>
                <w:sz w:val="16"/>
                <w:szCs w:val="16"/>
                <w:color w:val="auto"/>
              </w:rPr>
            </w:pPr>
          </w:p>
        </w:tc>
        <w:tc>
          <w:tcPr>
            <w:tcW w:w="1300" w:type="dxa"/>
            <w:vAlign w:val="bottom"/>
          </w:tcPr>
          <w:p>
            <w:pPr>
              <w:jc w:val="right"/>
              <w:ind w:right="4"/>
              <w:spacing w:after="0"/>
              <w:rPr>
                <w:sz w:val="20"/>
                <w:szCs w:val="20"/>
                <w:color w:val="auto"/>
              </w:rPr>
            </w:pPr>
            <w:r>
              <w:rPr>
                <w:rFonts w:ascii="Arial" w:cs="Arial" w:eastAsia="Arial" w:hAnsi="Arial"/>
                <w:sz w:val="15"/>
                <w:szCs w:val="15"/>
                <w:color w:val="auto"/>
              </w:rPr>
              <w:t>(101 )</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color w:val="auto"/>
              </w:rPr>
              <w:t>(67 )</w:t>
            </w:r>
          </w:p>
        </w:tc>
      </w:tr>
      <w:tr>
        <w:trPr>
          <w:trHeight w:val="189"/>
        </w:trPr>
        <w:tc>
          <w:tcPr>
            <w:tcW w:w="7740" w:type="dxa"/>
            <w:vAlign w:val="bottom"/>
            <w:shd w:val="clear" w:color="auto" w:fill="CFF0FC"/>
          </w:tcPr>
          <w:p>
            <w:pPr>
              <w:ind w:left="200"/>
              <w:spacing w:after="0"/>
              <w:rPr>
                <w:sz w:val="20"/>
                <w:szCs w:val="20"/>
                <w:color w:val="auto"/>
              </w:rPr>
            </w:pPr>
            <w:r>
              <w:rPr>
                <w:rFonts w:ascii="Arial" w:cs="Arial" w:eastAsia="Arial" w:hAnsi="Arial"/>
                <w:sz w:val="15"/>
                <w:szCs w:val="15"/>
                <w:color w:val="auto"/>
              </w:rPr>
              <w:t>Proceeds from disposal of property, plant and equipment</w:t>
            </w:r>
          </w:p>
        </w:tc>
        <w:tc>
          <w:tcPr>
            <w:tcW w:w="36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rPr>
              <w:t>3</w:t>
            </w:r>
          </w:p>
        </w:tc>
        <w:tc>
          <w:tcPr>
            <w:tcW w:w="20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rPr>
              <w:t>51</w:t>
            </w:r>
          </w:p>
        </w:tc>
      </w:tr>
      <w:tr>
        <w:trPr>
          <w:trHeight w:val="189"/>
        </w:trPr>
        <w:tc>
          <w:tcPr>
            <w:tcW w:w="7740" w:type="dxa"/>
            <w:vAlign w:val="bottom"/>
          </w:tcPr>
          <w:p>
            <w:pPr>
              <w:ind w:left="200"/>
              <w:spacing w:after="0"/>
              <w:rPr>
                <w:sz w:val="20"/>
                <w:szCs w:val="20"/>
                <w:color w:val="auto"/>
              </w:rPr>
            </w:pPr>
            <w:r>
              <w:rPr>
                <w:rFonts w:ascii="Arial" w:cs="Arial" w:eastAsia="Arial" w:hAnsi="Arial"/>
                <w:sz w:val="15"/>
                <w:szCs w:val="15"/>
                <w:color w:val="auto"/>
              </w:rPr>
              <w:t>Proceeds from settlement of company-owned life insurance contracts</w:t>
            </w:r>
          </w:p>
        </w:tc>
        <w:tc>
          <w:tcPr>
            <w:tcW w:w="360" w:type="dxa"/>
            <w:vAlign w:val="bottom"/>
          </w:tcPr>
          <w:p>
            <w:pPr>
              <w:spacing w:after="0"/>
              <w:rPr>
                <w:sz w:val="16"/>
                <w:szCs w:val="16"/>
                <w:color w:val="auto"/>
              </w:rPr>
            </w:pPr>
          </w:p>
        </w:tc>
        <w:tc>
          <w:tcPr>
            <w:tcW w:w="1300" w:type="dxa"/>
            <w:vAlign w:val="bottom"/>
          </w:tcPr>
          <w:p>
            <w:pPr>
              <w:jc w:val="right"/>
              <w:ind w:right="84"/>
              <w:spacing w:after="0"/>
              <w:rPr>
                <w:sz w:val="20"/>
                <w:szCs w:val="20"/>
                <w:color w:val="auto"/>
              </w:rPr>
            </w:pPr>
            <w:r>
              <w:rPr>
                <w:rFonts w:ascii="Arial" w:cs="Arial" w:eastAsia="Arial" w:hAnsi="Arial"/>
                <w:sz w:val="15"/>
                <w:szCs w:val="15"/>
                <w:color w:val="auto"/>
              </w:rPr>
              <w:t>3</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40" w:type="dxa"/>
            <w:vAlign w:val="bottom"/>
          </w:tcPr>
          <w:p>
            <w:pPr>
              <w:jc w:val="right"/>
              <w:ind w:right="84"/>
              <w:spacing w:after="0"/>
              <w:rPr>
                <w:sz w:val="20"/>
                <w:szCs w:val="20"/>
                <w:color w:val="auto"/>
              </w:rPr>
            </w:pPr>
            <w:r>
              <w:rPr>
                <w:rFonts w:ascii="Arial" w:cs="Arial" w:eastAsia="Arial" w:hAnsi="Arial"/>
                <w:sz w:val="15"/>
                <w:szCs w:val="15"/>
                <w:color w:val="auto"/>
              </w:rPr>
              <w:t>2</w:t>
            </w:r>
          </w:p>
        </w:tc>
      </w:tr>
      <w:tr>
        <w:trPr>
          <w:trHeight w:val="189"/>
        </w:trPr>
        <w:tc>
          <w:tcPr>
            <w:tcW w:w="7740" w:type="dxa"/>
            <w:vAlign w:val="bottom"/>
            <w:shd w:val="clear" w:color="auto" w:fill="CFF0FC"/>
          </w:tcPr>
          <w:p>
            <w:pPr>
              <w:ind w:left="200"/>
              <w:spacing w:after="0"/>
              <w:rPr>
                <w:sz w:val="20"/>
                <w:szCs w:val="20"/>
                <w:color w:val="auto"/>
              </w:rPr>
            </w:pPr>
            <w:r>
              <w:rPr>
                <w:rFonts w:ascii="Arial" w:cs="Arial" w:eastAsia="Arial" w:hAnsi="Arial"/>
                <w:sz w:val="15"/>
                <w:szCs w:val="15"/>
                <w:color w:val="auto"/>
              </w:rPr>
              <w:t>Company-owned life insurance payments</w:t>
            </w:r>
          </w:p>
        </w:tc>
        <w:tc>
          <w:tcPr>
            <w:tcW w:w="36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rPr>
              <w:t>(1 )</w:t>
            </w:r>
          </w:p>
        </w:tc>
        <w:tc>
          <w:tcPr>
            <w:tcW w:w="20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rPr>
              <w:t>—</w:t>
            </w:r>
          </w:p>
        </w:tc>
      </w:tr>
      <w:tr>
        <w:trPr>
          <w:trHeight w:val="189"/>
        </w:trPr>
        <w:tc>
          <w:tcPr>
            <w:tcW w:w="7740" w:type="dxa"/>
            <w:vAlign w:val="bottom"/>
          </w:tcPr>
          <w:p>
            <w:pPr>
              <w:ind w:left="200"/>
              <w:spacing w:after="0"/>
              <w:rPr>
                <w:sz w:val="20"/>
                <w:szCs w:val="20"/>
                <w:color w:val="auto"/>
              </w:rPr>
            </w:pPr>
            <w:r>
              <w:rPr>
                <w:rFonts w:ascii="Arial" w:cs="Arial" w:eastAsia="Arial" w:hAnsi="Arial"/>
                <w:sz w:val="15"/>
                <w:szCs w:val="15"/>
                <w:color w:val="auto"/>
              </w:rPr>
              <w:t>Funds restricted for specific transactions</w:t>
            </w:r>
          </w:p>
        </w:tc>
        <w:tc>
          <w:tcPr>
            <w:tcW w:w="360" w:type="dxa"/>
            <w:vAlign w:val="bottom"/>
          </w:tcPr>
          <w:p>
            <w:pPr>
              <w:spacing w:after="0"/>
              <w:rPr>
                <w:sz w:val="16"/>
                <w:szCs w:val="16"/>
                <w:color w:val="auto"/>
              </w:rPr>
            </w:pPr>
          </w:p>
        </w:tc>
        <w:tc>
          <w:tcPr>
            <w:tcW w:w="1300" w:type="dxa"/>
            <w:vAlign w:val="bottom"/>
          </w:tcPr>
          <w:p>
            <w:pPr>
              <w:jc w:val="right"/>
              <w:ind w:right="4"/>
              <w:spacing w:after="0"/>
              <w:rPr>
                <w:sz w:val="20"/>
                <w:szCs w:val="20"/>
                <w:color w:val="auto"/>
              </w:rPr>
            </w:pPr>
            <w:r>
              <w:rPr>
                <w:rFonts w:ascii="Arial" w:cs="Arial" w:eastAsia="Arial" w:hAnsi="Arial"/>
                <w:sz w:val="15"/>
                <w:szCs w:val="15"/>
                <w:color w:val="auto"/>
              </w:rPr>
              <w:t>(7 )</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color w:val="auto"/>
              </w:rPr>
              <w:t>(74 )</w:t>
            </w:r>
          </w:p>
        </w:tc>
      </w:tr>
      <w:tr>
        <w:trPr>
          <w:trHeight w:val="189"/>
        </w:trPr>
        <w:tc>
          <w:tcPr>
            <w:tcW w:w="7740" w:type="dxa"/>
            <w:vAlign w:val="bottom"/>
            <w:shd w:val="clear" w:color="auto" w:fill="CFF0FC"/>
          </w:tcPr>
          <w:p>
            <w:pPr>
              <w:ind w:left="200"/>
              <w:spacing w:after="0"/>
              <w:rPr>
                <w:sz w:val="20"/>
                <w:szCs w:val="20"/>
                <w:color w:val="auto"/>
              </w:rPr>
            </w:pPr>
            <w:r>
              <w:rPr>
                <w:rFonts w:ascii="Arial" w:cs="Arial" w:eastAsia="Arial" w:hAnsi="Arial"/>
                <w:sz w:val="15"/>
                <w:szCs w:val="15"/>
                <w:color w:val="auto"/>
              </w:rPr>
              <w:t>Reimbursements from restricted investments</w:t>
            </w:r>
          </w:p>
        </w:tc>
        <w:tc>
          <w:tcPr>
            <w:tcW w:w="36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rPr>
              <w:t>46</w:t>
            </w:r>
          </w:p>
        </w:tc>
        <w:tc>
          <w:tcPr>
            <w:tcW w:w="20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rPr>
              <w:t>28</w:t>
            </w:r>
          </w:p>
        </w:tc>
      </w:tr>
      <w:tr>
        <w:trPr>
          <w:trHeight w:val="189"/>
        </w:trPr>
        <w:tc>
          <w:tcPr>
            <w:tcW w:w="7740" w:type="dxa"/>
            <w:vAlign w:val="bottom"/>
          </w:tcPr>
          <w:p>
            <w:pPr>
              <w:ind w:left="200"/>
              <w:spacing w:after="0"/>
              <w:rPr>
                <w:sz w:val="20"/>
                <w:szCs w:val="20"/>
                <w:color w:val="auto"/>
              </w:rPr>
            </w:pPr>
            <w:r>
              <w:rPr>
                <w:rFonts w:ascii="Arial" w:cs="Arial" w:eastAsia="Arial" w:hAnsi="Arial"/>
                <w:sz w:val="15"/>
                <w:szCs w:val="15"/>
                <w:color w:val="auto"/>
              </w:rPr>
              <w:t>Proceeds from sale of securities</w:t>
            </w:r>
          </w:p>
        </w:tc>
        <w:tc>
          <w:tcPr>
            <w:tcW w:w="360" w:type="dxa"/>
            <w:vAlign w:val="bottom"/>
          </w:tcPr>
          <w:p>
            <w:pPr>
              <w:spacing w:after="0"/>
              <w:rPr>
                <w:sz w:val="16"/>
                <w:szCs w:val="16"/>
                <w:color w:val="auto"/>
              </w:rPr>
            </w:pPr>
          </w:p>
        </w:tc>
        <w:tc>
          <w:tcPr>
            <w:tcW w:w="1300" w:type="dxa"/>
            <w:vAlign w:val="bottom"/>
          </w:tcPr>
          <w:p>
            <w:pPr>
              <w:jc w:val="right"/>
              <w:ind w:right="84"/>
              <w:spacing w:after="0"/>
              <w:rPr>
                <w:sz w:val="20"/>
                <w:szCs w:val="20"/>
                <w:color w:val="auto"/>
              </w:rPr>
            </w:pPr>
            <w:r>
              <w:rPr>
                <w:rFonts w:ascii="Arial" w:cs="Arial" w:eastAsia="Arial" w:hAnsi="Arial"/>
                <w:sz w:val="15"/>
                <w:szCs w:val="15"/>
                <w:color w:val="auto"/>
              </w:rPr>
              <w:t>36</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40" w:type="dxa"/>
            <w:vAlign w:val="bottom"/>
          </w:tcPr>
          <w:p>
            <w:pPr>
              <w:jc w:val="right"/>
              <w:ind w:right="84"/>
              <w:spacing w:after="0"/>
              <w:rPr>
                <w:sz w:val="20"/>
                <w:szCs w:val="20"/>
                <w:color w:val="auto"/>
              </w:rPr>
            </w:pPr>
            <w:r>
              <w:rPr>
                <w:rFonts w:ascii="Arial" w:cs="Arial" w:eastAsia="Arial" w:hAnsi="Arial"/>
                <w:sz w:val="15"/>
                <w:szCs w:val="15"/>
                <w:color w:val="auto"/>
              </w:rPr>
              <w:t>75</w:t>
            </w:r>
          </w:p>
        </w:tc>
      </w:tr>
      <w:tr>
        <w:trPr>
          <w:trHeight w:val="189"/>
        </w:trPr>
        <w:tc>
          <w:tcPr>
            <w:tcW w:w="7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5"/>
                <w:szCs w:val="15"/>
                <w:color w:val="auto"/>
              </w:rPr>
              <w:t>Purchases of securities</w:t>
            </w:r>
          </w:p>
        </w:tc>
        <w:tc>
          <w:tcPr>
            <w:tcW w:w="360" w:type="dxa"/>
            <w:vAlign w:val="bottom"/>
            <w:tcBorders>
              <w:bottom w:val="single" w:sz="8" w:color="auto"/>
            </w:tcBorders>
            <w:shd w:val="clear" w:color="auto" w:fill="CFF0FC"/>
          </w:tcPr>
          <w:p>
            <w:pPr>
              <w:spacing w:after="0"/>
              <w:rPr>
                <w:sz w:val="16"/>
                <w:szCs w:val="16"/>
                <w:color w:val="auto"/>
              </w:rPr>
            </w:pPr>
          </w:p>
        </w:tc>
        <w:tc>
          <w:tcPr>
            <w:tcW w:w="1300" w:type="dxa"/>
            <w:vAlign w:val="bottom"/>
            <w:tcBorders>
              <w:bottom w:val="single" w:sz="8" w:color="auto"/>
            </w:tcBorders>
            <w:shd w:val="clear" w:color="auto" w:fill="CFF0FC"/>
          </w:tcPr>
          <w:p>
            <w:pPr>
              <w:jc w:val="right"/>
              <w:ind w:right="4"/>
              <w:spacing w:after="0"/>
              <w:rPr>
                <w:sz w:val="20"/>
                <w:szCs w:val="20"/>
                <w:color w:val="auto"/>
              </w:rPr>
            </w:pPr>
            <w:r>
              <w:rPr>
                <w:rFonts w:ascii="Arial" w:cs="Arial" w:eastAsia="Arial" w:hAnsi="Arial"/>
                <w:sz w:val="15"/>
                <w:szCs w:val="15"/>
                <w:color w:val="auto"/>
              </w:rPr>
              <w:t>(36 )</w:t>
            </w:r>
          </w:p>
        </w:tc>
        <w:tc>
          <w:tcPr>
            <w:tcW w:w="200" w:type="dxa"/>
            <w:vAlign w:val="bottom"/>
            <w:tcBorders>
              <w:bottom w:val="single" w:sz="8" w:color="CFF0FC"/>
            </w:tcBorders>
            <w:shd w:val="clear" w:color="auto" w:fill="CFF0FC"/>
          </w:tcPr>
          <w:p>
            <w:pPr>
              <w:spacing w:after="0"/>
              <w:rPr>
                <w:sz w:val="16"/>
                <w:szCs w:val="16"/>
                <w:color w:val="auto"/>
              </w:rPr>
            </w:pPr>
          </w:p>
        </w:tc>
        <w:tc>
          <w:tcPr>
            <w:tcW w:w="50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ind w:right="4"/>
              <w:spacing w:after="0"/>
              <w:rPr>
                <w:sz w:val="20"/>
                <w:szCs w:val="20"/>
                <w:color w:val="auto"/>
              </w:rPr>
            </w:pPr>
            <w:r>
              <w:rPr>
                <w:rFonts w:ascii="Arial" w:cs="Arial" w:eastAsia="Arial" w:hAnsi="Arial"/>
                <w:sz w:val="15"/>
                <w:szCs w:val="15"/>
                <w:color w:val="auto"/>
              </w:rPr>
              <w:t>(75 )</w:t>
            </w:r>
          </w:p>
        </w:tc>
      </w:tr>
      <w:tr>
        <w:trPr>
          <w:trHeight w:val="183"/>
        </w:trPr>
        <w:tc>
          <w:tcPr>
            <w:tcW w:w="7740" w:type="dxa"/>
            <w:vAlign w:val="bottom"/>
          </w:tcPr>
          <w:p>
            <w:pPr>
              <w:ind w:left="200"/>
              <w:spacing w:after="0"/>
              <w:rPr>
                <w:sz w:val="20"/>
                <w:szCs w:val="20"/>
                <w:color w:val="auto"/>
              </w:rPr>
            </w:pPr>
            <w:r>
              <w:rPr>
                <w:rFonts w:ascii="Arial" w:cs="Arial" w:eastAsia="Arial" w:hAnsi="Arial"/>
                <w:sz w:val="15"/>
                <w:szCs w:val="15"/>
                <w:color w:val="auto"/>
              </w:rPr>
              <w:t>Total cash flows used by investing activities from continuing operations</w:t>
            </w:r>
          </w:p>
        </w:tc>
        <w:tc>
          <w:tcPr>
            <w:tcW w:w="360" w:type="dxa"/>
            <w:vAlign w:val="bottom"/>
          </w:tcPr>
          <w:p>
            <w:pPr>
              <w:spacing w:after="0"/>
              <w:rPr>
                <w:sz w:val="15"/>
                <w:szCs w:val="15"/>
                <w:color w:val="auto"/>
              </w:rPr>
            </w:pPr>
          </w:p>
        </w:tc>
        <w:tc>
          <w:tcPr>
            <w:tcW w:w="1300" w:type="dxa"/>
            <w:vAlign w:val="bottom"/>
          </w:tcPr>
          <w:p>
            <w:pPr>
              <w:jc w:val="right"/>
              <w:ind w:right="4"/>
              <w:spacing w:after="0"/>
              <w:rPr>
                <w:sz w:val="20"/>
                <w:szCs w:val="20"/>
                <w:color w:val="auto"/>
              </w:rPr>
            </w:pPr>
            <w:r>
              <w:rPr>
                <w:rFonts w:ascii="Arial" w:cs="Arial" w:eastAsia="Arial" w:hAnsi="Arial"/>
                <w:sz w:val="15"/>
                <w:szCs w:val="15"/>
                <w:color w:val="auto"/>
              </w:rPr>
              <w:t>(57 )</w:t>
            </w: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color w:val="auto"/>
              </w:rPr>
              <w:t>(60 )</w:t>
            </w:r>
          </w:p>
        </w:tc>
      </w:tr>
      <w:tr>
        <w:trPr>
          <w:trHeight w:val="158"/>
        </w:trPr>
        <w:tc>
          <w:tcPr>
            <w:tcW w:w="7740" w:type="dxa"/>
            <w:vAlign w:val="bottom"/>
            <w:shd w:val="clear" w:color="auto" w:fill="CFF0FC"/>
          </w:tcPr>
          <w:p>
            <w:pPr>
              <w:ind w:left="20"/>
              <w:spacing w:after="0" w:line="159" w:lineRule="exact"/>
              <w:rPr>
                <w:sz w:val="20"/>
                <w:szCs w:val="20"/>
                <w:color w:val="auto"/>
              </w:rPr>
            </w:pPr>
            <w:r>
              <w:rPr>
                <w:rFonts w:ascii="Arial" w:cs="Arial" w:eastAsia="Arial" w:hAnsi="Arial"/>
                <w:sz w:val="15"/>
                <w:szCs w:val="15"/>
                <w:b w:val="1"/>
                <w:bCs w:val="1"/>
                <w:color w:val="auto"/>
              </w:rPr>
              <w:t>CASH FLOWS PROVIDED (USED) BY FINANCING ACTIVITIES FROM</w:t>
            </w:r>
          </w:p>
        </w:tc>
        <w:tc>
          <w:tcPr>
            <w:tcW w:w="36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r>
      <w:tr>
        <w:trPr>
          <w:trHeight w:val="193"/>
        </w:trPr>
        <w:tc>
          <w:tcPr>
            <w:tcW w:w="7740" w:type="dxa"/>
            <w:vAlign w:val="bottom"/>
            <w:shd w:val="clear" w:color="auto" w:fill="CFF0FC"/>
          </w:tcPr>
          <w:p>
            <w:pPr>
              <w:ind w:left="140"/>
              <w:spacing w:after="0"/>
              <w:rPr>
                <w:sz w:val="20"/>
                <w:szCs w:val="20"/>
                <w:color w:val="auto"/>
              </w:rPr>
            </w:pPr>
            <w:r>
              <w:rPr>
                <w:rFonts w:ascii="Arial" w:cs="Arial" w:eastAsia="Arial" w:hAnsi="Arial"/>
                <w:sz w:val="15"/>
                <w:szCs w:val="15"/>
                <w:b w:val="1"/>
                <w:bCs w:val="1"/>
                <w:color w:val="auto"/>
              </w:rPr>
              <w:t>CONTINUING OPERATIONS</w:t>
            </w:r>
          </w:p>
        </w:tc>
        <w:tc>
          <w:tcPr>
            <w:tcW w:w="36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r>
      <w:tr>
        <w:trPr>
          <w:trHeight w:val="189"/>
        </w:trPr>
        <w:tc>
          <w:tcPr>
            <w:tcW w:w="7740" w:type="dxa"/>
            <w:vAlign w:val="bottom"/>
          </w:tcPr>
          <w:p>
            <w:pPr>
              <w:ind w:left="200"/>
              <w:spacing w:after="0"/>
              <w:rPr>
                <w:sz w:val="20"/>
                <w:szCs w:val="20"/>
                <w:color w:val="auto"/>
              </w:rPr>
            </w:pPr>
            <w:r>
              <w:rPr>
                <w:rFonts w:ascii="Arial" w:cs="Arial" w:eastAsia="Arial" w:hAnsi="Arial"/>
                <w:sz w:val="15"/>
                <w:szCs w:val="15"/>
                <w:color w:val="auto"/>
              </w:rPr>
              <w:t>Repurchase of common stock</w:t>
            </w:r>
          </w:p>
        </w:tc>
        <w:tc>
          <w:tcPr>
            <w:tcW w:w="360" w:type="dxa"/>
            <w:vAlign w:val="bottom"/>
          </w:tcPr>
          <w:p>
            <w:pPr>
              <w:spacing w:after="0"/>
              <w:rPr>
                <w:sz w:val="16"/>
                <w:szCs w:val="16"/>
                <w:color w:val="auto"/>
              </w:rPr>
            </w:pPr>
          </w:p>
        </w:tc>
        <w:tc>
          <w:tcPr>
            <w:tcW w:w="1300" w:type="dxa"/>
            <w:vAlign w:val="bottom"/>
          </w:tcPr>
          <w:p>
            <w:pPr>
              <w:jc w:val="right"/>
              <w:ind w:right="4"/>
              <w:spacing w:after="0"/>
              <w:rPr>
                <w:sz w:val="20"/>
                <w:szCs w:val="20"/>
                <w:color w:val="auto"/>
              </w:rPr>
            </w:pPr>
            <w:r>
              <w:rPr>
                <w:rFonts w:ascii="Arial" w:cs="Arial" w:eastAsia="Arial" w:hAnsi="Arial"/>
                <w:sz w:val="15"/>
                <w:szCs w:val="15"/>
                <w:color w:val="auto"/>
              </w:rPr>
              <w:t>(300 )</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color w:val="auto"/>
              </w:rPr>
              <w:t>(200 )</w:t>
            </w:r>
          </w:p>
        </w:tc>
      </w:tr>
      <w:tr>
        <w:trPr>
          <w:trHeight w:val="189"/>
        </w:trPr>
        <w:tc>
          <w:tcPr>
            <w:tcW w:w="7740" w:type="dxa"/>
            <w:vAlign w:val="bottom"/>
            <w:shd w:val="clear" w:color="auto" w:fill="CFF0FC"/>
          </w:tcPr>
          <w:p>
            <w:pPr>
              <w:ind w:left="200"/>
              <w:spacing w:after="0"/>
              <w:rPr>
                <w:sz w:val="20"/>
                <w:szCs w:val="20"/>
                <w:color w:val="auto"/>
              </w:rPr>
            </w:pPr>
            <w:r>
              <w:rPr>
                <w:rFonts w:ascii="Arial" w:cs="Arial" w:eastAsia="Arial" w:hAnsi="Arial"/>
                <w:sz w:val="15"/>
                <w:szCs w:val="15"/>
                <w:color w:val="auto"/>
              </w:rPr>
              <w:t>Repayment of long-term debt</w:t>
            </w:r>
          </w:p>
        </w:tc>
        <w:tc>
          <w:tcPr>
            <w:tcW w:w="36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rPr>
              <w:t>(250 )</w:t>
            </w:r>
          </w:p>
        </w:tc>
      </w:tr>
      <w:tr>
        <w:trPr>
          <w:trHeight w:val="189"/>
        </w:trPr>
        <w:tc>
          <w:tcPr>
            <w:tcW w:w="7740" w:type="dxa"/>
            <w:vAlign w:val="bottom"/>
          </w:tcPr>
          <w:p>
            <w:pPr>
              <w:ind w:left="200"/>
              <w:spacing w:after="0"/>
              <w:rPr>
                <w:sz w:val="20"/>
                <w:szCs w:val="20"/>
                <w:color w:val="auto"/>
              </w:rPr>
            </w:pPr>
            <w:r>
              <w:rPr>
                <w:rFonts w:ascii="Arial" w:cs="Arial" w:eastAsia="Arial" w:hAnsi="Arial"/>
                <w:sz w:val="15"/>
                <w:szCs w:val="15"/>
                <w:color w:val="auto"/>
              </w:rPr>
              <w:t>Repayment of short-term debt</w:t>
            </w:r>
          </w:p>
        </w:tc>
        <w:tc>
          <w:tcPr>
            <w:tcW w:w="360" w:type="dxa"/>
            <w:vAlign w:val="bottom"/>
          </w:tcPr>
          <w:p>
            <w:pPr>
              <w:spacing w:after="0"/>
              <w:rPr>
                <w:sz w:val="16"/>
                <w:szCs w:val="16"/>
                <w:color w:val="auto"/>
              </w:rPr>
            </w:pPr>
          </w:p>
        </w:tc>
        <w:tc>
          <w:tcPr>
            <w:tcW w:w="130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color w:val="auto"/>
              </w:rPr>
              <w:t>(365 )</w:t>
            </w:r>
          </w:p>
        </w:tc>
      </w:tr>
      <w:tr>
        <w:trPr>
          <w:trHeight w:val="189"/>
        </w:trPr>
        <w:tc>
          <w:tcPr>
            <w:tcW w:w="7740" w:type="dxa"/>
            <w:vAlign w:val="bottom"/>
            <w:shd w:val="clear" w:color="auto" w:fill="CFF0FC"/>
          </w:tcPr>
          <w:p>
            <w:pPr>
              <w:ind w:left="200"/>
              <w:spacing w:after="0"/>
              <w:rPr>
                <w:sz w:val="20"/>
                <w:szCs w:val="20"/>
                <w:color w:val="auto"/>
              </w:rPr>
            </w:pPr>
            <w:r>
              <w:rPr>
                <w:rFonts w:ascii="Arial" w:cs="Arial" w:eastAsia="Arial" w:hAnsi="Arial"/>
                <w:sz w:val="15"/>
                <w:szCs w:val="15"/>
                <w:color w:val="auto"/>
              </w:rPr>
              <w:t>Cash dividends paid</w:t>
            </w:r>
          </w:p>
        </w:tc>
        <w:tc>
          <w:tcPr>
            <w:tcW w:w="36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rPr>
              <w:t>(56 )</w:t>
            </w:r>
          </w:p>
        </w:tc>
        <w:tc>
          <w:tcPr>
            <w:tcW w:w="20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rPr>
              <w:t>(52 )</w:t>
            </w:r>
          </w:p>
        </w:tc>
      </w:tr>
      <w:tr>
        <w:trPr>
          <w:trHeight w:val="189"/>
        </w:trPr>
        <w:tc>
          <w:tcPr>
            <w:tcW w:w="7740" w:type="dxa"/>
            <w:vAlign w:val="bottom"/>
          </w:tcPr>
          <w:p>
            <w:pPr>
              <w:ind w:left="200"/>
              <w:spacing w:after="0"/>
              <w:rPr>
                <w:sz w:val="20"/>
                <w:szCs w:val="20"/>
                <w:color w:val="auto"/>
              </w:rPr>
            </w:pPr>
            <w:r>
              <w:rPr>
                <w:rFonts w:ascii="Arial" w:cs="Arial" w:eastAsia="Arial" w:hAnsi="Arial"/>
                <w:sz w:val="15"/>
                <w:szCs w:val="15"/>
                <w:color w:val="auto"/>
              </w:rPr>
              <w:t>Stock based compensation employee withholding taxes paid in cash</w:t>
            </w: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(10 )</w:t>
            </w:r>
          </w:p>
        </w:tc>
        <w:tc>
          <w:tcPr>
            <w:tcW w:w="2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(9 )</w:t>
            </w:r>
          </w:p>
        </w:tc>
      </w:tr>
      <w:tr>
        <w:trPr>
          <w:trHeight w:val="183"/>
        </w:trPr>
        <w:tc>
          <w:tcPr>
            <w:tcW w:w="7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5"/>
                <w:szCs w:val="15"/>
                <w:color w:val="auto"/>
              </w:rPr>
              <w:t>Total cash flows used by financing activities from continuing operations</w:t>
            </w:r>
          </w:p>
        </w:tc>
        <w:tc>
          <w:tcPr>
            <w:tcW w:w="360" w:type="dxa"/>
            <w:vAlign w:val="bottom"/>
            <w:tcBorders>
              <w:bottom w:val="single" w:sz="8" w:color="auto"/>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ind w:right="4"/>
              <w:spacing w:after="0"/>
              <w:rPr>
                <w:sz w:val="20"/>
                <w:szCs w:val="20"/>
                <w:color w:val="auto"/>
              </w:rPr>
            </w:pPr>
            <w:r>
              <w:rPr>
                <w:rFonts w:ascii="Arial" w:cs="Arial" w:eastAsia="Arial" w:hAnsi="Arial"/>
                <w:sz w:val="15"/>
                <w:szCs w:val="15"/>
                <w:color w:val="auto"/>
              </w:rPr>
              <w:t>(366 )</w:t>
            </w:r>
          </w:p>
        </w:tc>
        <w:tc>
          <w:tcPr>
            <w:tcW w:w="200" w:type="dxa"/>
            <w:vAlign w:val="bottom"/>
            <w:tcBorders>
              <w:bottom w:val="single" w:sz="8" w:color="CFF0FC"/>
            </w:tcBorders>
            <w:shd w:val="clear" w:color="auto" w:fill="CFF0FC"/>
          </w:tcPr>
          <w:p>
            <w:pPr>
              <w:spacing w:after="0"/>
              <w:rPr>
                <w:sz w:val="15"/>
                <w:szCs w:val="15"/>
                <w:color w:val="auto"/>
              </w:rPr>
            </w:pPr>
          </w:p>
        </w:tc>
        <w:tc>
          <w:tcPr>
            <w:tcW w:w="50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ind w:right="4"/>
              <w:spacing w:after="0"/>
              <w:rPr>
                <w:sz w:val="20"/>
                <w:szCs w:val="20"/>
                <w:color w:val="auto"/>
              </w:rPr>
            </w:pPr>
            <w:r>
              <w:rPr>
                <w:rFonts w:ascii="Arial" w:cs="Arial" w:eastAsia="Arial" w:hAnsi="Arial"/>
                <w:sz w:val="15"/>
                <w:szCs w:val="15"/>
                <w:color w:val="auto"/>
              </w:rPr>
              <w:t>(876 )</w:t>
            </w:r>
          </w:p>
        </w:tc>
      </w:tr>
      <w:tr>
        <w:trPr>
          <w:trHeight w:val="183"/>
        </w:trPr>
        <w:tc>
          <w:tcPr>
            <w:tcW w:w="7740" w:type="dxa"/>
            <w:vAlign w:val="bottom"/>
          </w:tcPr>
          <w:p>
            <w:pPr>
              <w:ind w:left="20"/>
              <w:spacing w:after="0"/>
              <w:rPr>
                <w:sz w:val="20"/>
                <w:szCs w:val="20"/>
                <w:color w:val="auto"/>
              </w:rPr>
            </w:pPr>
            <w:r>
              <w:rPr>
                <w:rFonts w:ascii="Arial" w:cs="Arial" w:eastAsia="Arial" w:hAnsi="Arial"/>
                <w:sz w:val="15"/>
                <w:szCs w:val="15"/>
                <w:b w:val="1"/>
                <w:bCs w:val="1"/>
                <w:color w:val="auto"/>
              </w:rPr>
              <w:t>CASH USED BY CONTINUING OPERATIONS</w:t>
            </w:r>
          </w:p>
        </w:tc>
        <w:tc>
          <w:tcPr>
            <w:tcW w:w="360" w:type="dxa"/>
            <w:vAlign w:val="bottom"/>
          </w:tcPr>
          <w:p>
            <w:pPr>
              <w:spacing w:after="0"/>
              <w:rPr>
                <w:sz w:val="15"/>
                <w:szCs w:val="15"/>
                <w:color w:val="auto"/>
              </w:rPr>
            </w:pPr>
          </w:p>
        </w:tc>
        <w:tc>
          <w:tcPr>
            <w:tcW w:w="1300" w:type="dxa"/>
            <w:vAlign w:val="bottom"/>
          </w:tcPr>
          <w:p>
            <w:pPr>
              <w:jc w:val="right"/>
              <w:ind w:right="4"/>
              <w:spacing w:after="0"/>
              <w:rPr>
                <w:sz w:val="20"/>
                <w:szCs w:val="20"/>
                <w:color w:val="auto"/>
              </w:rPr>
            </w:pPr>
            <w:r>
              <w:rPr>
                <w:rFonts w:ascii="Arial" w:cs="Arial" w:eastAsia="Arial" w:hAnsi="Arial"/>
                <w:sz w:val="15"/>
                <w:szCs w:val="15"/>
                <w:color w:val="auto"/>
              </w:rPr>
              <w:t>(260 )</w:t>
            </w: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color w:val="auto"/>
              </w:rPr>
              <w:t>(922 )</w:t>
            </w:r>
          </w:p>
        </w:tc>
      </w:tr>
      <w:tr>
        <w:trPr>
          <w:trHeight w:val="189"/>
        </w:trPr>
        <w:tc>
          <w:tcPr>
            <w:tcW w:w="7740" w:type="dxa"/>
            <w:vAlign w:val="bottom"/>
            <w:shd w:val="clear" w:color="auto" w:fill="CFF0FC"/>
          </w:tcPr>
          <w:p>
            <w:pPr>
              <w:ind w:left="200"/>
              <w:spacing w:after="0"/>
              <w:rPr>
                <w:sz w:val="20"/>
                <w:szCs w:val="20"/>
                <w:color w:val="auto"/>
              </w:rPr>
            </w:pPr>
            <w:r>
              <w:rPr>
                <w:rFonts w:ascii="Arial" w:cs="Arial" w:eastAsia="Arial" w:hAnsi="Arial"/>
                <w:sz w:val="15"/>
                <w:szCs w:val="15"/>
                <w:color w:val="auto"/>
              </w:rPr>
              <w:t>Cash provided (used) by discontinued operations</w:t>
            </w:r>
          </w:p>
        </w:tc>
        <w:tc>
          <w:tcPr>
            <w:tcW w:w="36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r>
      <w:tr>
        <w:trPr>
          <w:trHeight w:val="189"/>
        </w:trPr>
        <w:tc>
          <w:tcPr>
            <w:tcW w:w="7740" w:type="dxa"/>
            <w:vAlign w:val="bottom"/>
          </w:tcPr>
          <w:p>
            <w:pPr>
              <w:ind w:left="380"/>
              <w:spacing w:after="0"/>
              <w:rPr>
                <w:sz w:val="20"/>
                <w:szCs w:val="20"/>
                <w:color w:val="auto"/>
              </w:rPr>
            </w:pPr>
            <w:r>
              <w:rPr>
                <w:rFonts w:ascii="Arial" w:cs="Arial" w:eastAsia="Arial" w:hAnsi="Arial"/>
                <w:sz w:val="15"/>
                <w:szCs w:val="15"/>
                <w:color w:val="auto"/>
              </w:rPr>
              <w:t>Operating cash flows</w:t>
            </w:r>
          </w:p>
        </w:tc>
        <w:tc>
          <w:tcPr>
            <w:tcW w:w="360" w:type="dxa"/>
            <w:vAlign w:val="bottom"/>
          </w:tcPr>
          <w:p>
            <w:pPr>
              <w:spacing w:after="0"/>
              <w:rPr>
                <w:sz w:val="16"/>
                <w:szCs w:val="16"/>
                <w:color w:val="auto"/>
              </w:rPr>
            </w:pPr>
          </w:p>
        </w:tc>
        <w:tc>
          <w:tcPr>
            <w:tcW w:w="1300" w:type="dxa"/>
            <w:vAlign w:val="bottom"/>
          </w:tcPr>
          <w:p>
            <w:pPr>
              <w:jc w:val="right"/>
              <w:ind w:right="4"/>
              <w:spacing w:after="0"/>
              <w:rPr>
                <w:sz w:val="20"/>
                <w:szCs w:val="20"/>
                <w:color w:val="auto"/>
              </w:rPr>
            </w:pPr>
            <w:r>
              <w:rPr>
                <w:rFonts w:ascii="Arial" w:cs="Arial" w:eastAsia="Arial" w:hAnsi="Arial"/>
                <w:sz w:val="15"/>
                <w:szCs w:val="15"/>
                <w:color w:val="auto"/>
              </w:rPr>
              <w:t>(43 )</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color w:val="auto"/>
              </w:rPr>
              <w:t>(302 )</w:t>
            </w:r>
          </w:p>
        </w:tc>
      </w:tr>
      <w:tr>
        <w:trPr>
          <w:trHeight w:val="189"/>
        </w:trPr>
        <w:tc>
          <w:tcPr>
            <w:tcW w:w="77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5"/>
                <w:szCs w:val="15"/>
                <w:color w:val="auto"/>
              </w:rPr>
              <w:t>Investing cash flows</w:t>
            </w:r>
          </w:p>
        </w:tc>
        <w:tc>
          <w:tcPr>
            <w:tcW w:w="360" w:type="dxa"/>
            <w:vAlign w:val="bottom"/>
            <w:tcBorders>
              <w:bottom w:val="single" w:sz="8" w:color="auto"/>
            </w:tcBorders>
            <w:shd w:val="clear" w:color="auto" w:fill="CFF0FC"/>
          </w:tcPr>
          <w:p>
            <w:pPr>
              <w:spacing w:after="0"/>
              <w:rPr>
                <w:sz w:val="16"/>
                <w:szCs w:val="16"/>
                <w:color w:val="auto"/>
              </w:rPr>
            </w:pPr>
          </w:p>
        </w:tc>
        <w:tc>
          <w:tcPr>
            <w:tcW w:w="1300" w:type="dxa"/>
            <w:vAlign w:val="bottom"/>
            <w:tcBorders>
              <w:bottom w:val="single" w:sz="8" w:color="auto"/>
            </w:tcBorders>
            <w:shd w:val="clear" w:color="auto" w:fill="CFF0FC"/>
          </w:tcPr>
          <w:p>
            <w:pPr>
              <w:jc w:val="right"/>
              <w:ind w:right="84"/>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FF0FC"/>
            </w:tcBorders>
            <w:shd w:val="clear" w:color="auto" w:fill="CFF0FC"/>
          </w:tcPr>
          <w:p>
            <w:pPr>
              <w:spacing w:after="0"/>
              <w:rPr>
                <w:sz w:val="16"/>
                <w:szCs w:val="16"/>
                <w:color w:val="auto"/>
              </w:rPr>
            </w:pPr>
          </w:p>
        </w:tc>
        <w:tc>
          <w:tcPr>
            <w:tcW w:w="50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ind w:right="84"/>
              <w:spacing w:after="0"/>
              <w:rPr>
                <w:sz w:val="20"/>
                <w:szCs w:val="20"/>
                <w:color w:val="auto"/>
              </w:rPr>
            </w:pPr>
            <w:r>
              <w:rPr>
                <w:rFonts w:ascii="Arial" w:cs="Arial" w:eastAsia="Arial" w:hAnsi="Arial"/>
                <w:sz w:val="15"/>
                <w:szCs w:val="15"/>
                <w:color w:val="auto"/>
              </w:rPr>
              <w:t>1,650</w:t>
            </w:r>
          </w:p>
        </w:tc>
      </w:tr>
      <w:tr>
        <w:trPr>
          <w:trHeight w:val="183"/>
        </w:trPr>
        <w:tc>
          <w:tcPr>
            <w:tcW w:w="7740" w:type="dxa"/>
            <w:vAlign w:val="bottom"/>
          </w:tcPr>
          <w:p>
            <w:pPr>
              <w:ind w:left="200"/>
              <w:spacing w:after="0"/>
              <w:rPr>
                <w:sz w:val="20"/>
                <w:szCs w:val="20"/>
                <w:color w:val="auto"/>
              </w:rPr>
            </w:pPr>
            <w:r>
              <w:rPr>
                <w:rFonts w:ascii="Arial" w:cs="Arial" w:eastAsia="Arial" w:hAnsi="Arial"/>
                <w:sz w:val="15"/>
                <w:szCs w:val="15"/>
                <w:color w:val="auto"/>
              </w:rPr>
              <w:t>Total cash provided (used) by discontinued operations</w:t>
            </w:r>
          </w:p>
        </w:tc>
        <w:tc>
          <w:tcPr>
            <w:tcW w:w="360" w:type="dxa"/>
            <w:vAlign w:val="bottom"/>
          </w:tcPr>
          <w:p>
            <w:pPr>
              <w:spacing w:after="0"/>
              <w:rPr>
                <w:sz w:val="15"/>
                <w:szCs w:val="15"/>
                <w:color w:val="auto"/>
              </w:rPr>
            </w:pPr>
          </w:p>
        </w:tc>
        <w:tc>
          <w:tcPr>
            <w:tcW w:w="1300" w:type="dxa"/>
            <w:vAlign w:val="bottom"/>
          </w:tcPr>
          <w:p>
            <w:pPr>
              <w:jc w:val="right"/>
              <w:ind w:right="4"/>
              <w:spacing w:after="0"/>
              <w:rPr>
                <w:sz w:val="20"/>
                <w:szCs w:val="20"/>
                <w:color w:val="auto"/>
              </w:rPr>
            </w:pPr>
            <w:r>
              <w:rPr>
                <w:rFonts w:ascii="Arial" w:cs="Arial" w:eastAsia="Arial" w:hAnsi="Arial"/>
                <w:sz w:val="15"/>
                <w:szCs w:val="15"/>
                <w:color w:val="auto"/>
              </w:rPr>
              <w:t>(43 )</w:t>
            </w: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tcPr>
          <w:p>
            <w:pPr>
              <w:jc w:val="right"/>
              <w:ind w:right="84"/>
              <w:spacing w:after="0"/>
              <w:rPr>
                <w:sz w:val="20"/>
                <w:szCs w:val="20"/>
                <w:color w:val="auto"/>
              </w:rPr>
            </w:pPr>
            <w:r>
              <w:rPr>
                <w:rFonts w:ascii="Arial" w:cs="Arial" w:eastAsia="Arial" w:hAnsi="Arial"/>
                <w:sz w:val="15"/>
                <w:szCs w:val="15"/>
                <w:color w:val="auto"/>
              </w:rPr>
              <w:t>1,348</w:t>
            </w:r>
          </w:p>
        </w:tc>
      </w:tr>
      <w:tr>
        <w:trPr>
          <w:trHeight w:val="189"/>
        </w:trPr>
        <w:tc>
          <w:tcPr>
            <w:tcW w:w="7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5"/>
                <w:szCs w:val="15"/>
                <w:color w:val="auto"/>
              </w:rPr>
              <w:t>Effect of currency exchange rate changes on cash and cash equivalents</w:t>
            </w:r>
          </w:p>
        </w:tc>
        <w:tc>
          <w:tcPr>
            <w:tcW w:w="360" w:type="dxa"/>
            <w:vAlign w:val="bottom"/>
            <w:tcBorders>
              <w:bottom w:val="single" w:sz="8" w:color="auto"/>
            </w:tcBorders>
            <w:shd w:val="clear" w:color="auto" w:fill="CFF0FC"/>
          </w:tcPr>
          <w:p>
            <w:pPr>
              <w:spacing w:after="0"/>
              <w:rPr>
                <w:sz w:val="16"/>
                <w:szCs w:val="16"/>
                <w:color w:val="auto"/>
              </w:rPr>
            </w:pPr>
          </w:p>
        </w:tc>
        <w:tc>
          <w:tcPr>
            <w:tcW w:w="1300" w:type="dxa"/>
            <w:vAlign w:val="bottom"/>
            <w:tcBorders>
              <w:bottom w:val="single" w:sz="8" w:color="auto"/>
            </w:tcBorders>
            <w:shd w:val="clear" w:color="auto" w:fill="CFF0FC"/>
          </w:tcPr>
          <w:p>
            <w:pPr>
              <w:jc w:val="right"/>
              <w:ind w:right="84"/>
              <w:spacing w:after="0"/>
              <w:rPr>
                <w:sz w:val="20"/>
                <w:szCs w:val="20"/>
                <w:color w:val="auto"/>
              </w:rPr>
            </w:pPr>
            <w:r>
              <w:rPr>
                <w:rFonts w:ascii="Arial" w:cs="Arial" w:eastAsia="Arial" w:hAnsi="Arial"/>
                <w:sz w:val="15"/>
                <w:szCs w:val="15"/>
                <w:color w:val="auto"/>
              </w:rPr>
              <w:t>6</w:t>
            </w:r>
          </w:p>
        </w:tc>
        <w:tc>
          <w:tcPr>
            <w:tcW w:w="200" w:type="dxa"/>
            <w:vAlign w:val="bottom"/>
            <w:tcBorders>
              <w:bottom w:val="single" w:sz="8" w:color="CFF0FC"/>
            </w:tcBorders>
            <w:shd w:val="clear" w:color="auto" w:fill="CFF0FC"/>
          </w:tcPr>
          <w:p>
            <w:pPr>
              <w:spacing w:after="0"/>
              <w:rPr>
                <w:sz w:val="16"/>
                <w:szCs w:val="16"/>
                <w:color w:val="auto"/>
              </w:rPr>
            </w:pPr>
          </w:p>
        </w:tc>
        <w:tc>
          <w:tcPr>
            <w:tcW w:w="50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ind w:right="4"/>
              <w:spacing w:after="0"/>
              <w:rPr>
                <w:sz w:val="20"/>
                <w:szCs w:val="20"/>
                <w:color w:val="auto"/>
              </w:rPr>
            </w:pPr>
            <w:r>
              <w:rPr>
                <w:rFonts w:ascii="Arial" w:cs="Arial" w:eastAsia="Arial" w:hAnsi="Arial"/>
                <w:sz w:val="15"/>
                <w:szCs w:val="15"/>
                <w:color w:val="auto"/>
              </w:rPr>
              <w:t>(7 )</w:t>
            </w:r>
          </w:p>
        </w:tc>
      </w:tr>
      <w:tr>
        <w:trPr>
          <w:trHeight w:val="183"/>
        </w:trPr>
        <w:tc>
          <w:tcPr>
            <w:tcW w:w="7740" w:type="dxa"/>
            <w:vAlign w:val="bottom"/>
          </w:tcPr>
          <w:p>
            <w:pPr>
              <w:ind w:left="20"/>
              <w:spacing w:after="0"/>
              <w:rPr>
                <w:sz w:val="20"/>
                <w:szCs w:val="20"/>
                <w:color w:val="auto"/>
              </w:rPr>
            </w:pPr>
            <w:r>
              <w:rPr>
                <w:rFonts w:ascii="Arial" w:cs="Arial" w:eastAsia="Arial" w:hAnsi="Arial"/>
                <w:sz w:val="15"/>
                <w:szCs w:val="15"/>
                <w:b w:val="1"/>
                <w:bCs w:val="1"/>
                <w:color w:val="auto"/>
              </w:rPr>
              <w:t>INCREASE (DECREASE) IN CASH AND CASH EQUIVALENTS</w:t>
            </w:r>
          </w:p>
        </w:tc>
        <w:tc>
          <w:tcPr>
            <w:tcW w:w="3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(297 )</w:t>
            </w:r>
          </w:p>
        </w:tc>
        <w:tc>
          <w:tcPr>
            <w:tcW w:w="20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419</w:t>
            </w:r>
          </w:p>
        </w:tc>
      </w:tr>
      <w:tr>
        <w:trPr>
          <w:trHeight w:val="183"/>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5"/>
                <w:szCs w:val="15"/>
                <w:b w:val="1"/>
                <w:bCs w:val="1"/>
                <w:color w:val="auto"/>
              </w:rPr>
              <w:t>CASH AND CASH EQUIVALENTS - BEGINNING OF PERIOD</w:t>
            </w:r>
          </w:p>
        </w:tc>
        <w:tc>
          <w:tcPr>
            <w:tcW w:w="360" w:type="dxa"/>
            <w:vAlign w:val="bottom"/>
            <w:tcBorders>
              <w:bottom w:val="single" w:sz="8" w:color="auto"/>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ind w:right="84"/>
              <w:spacing w:after="0"/>
              <w:rPr>
                <w:sz w:val="20"/>
                <w:szCs w:val="20"/>
                <w:color w:val="auto"/>
              </w:rPr>
            </w:pPr>
            <w:r>
              <w:rPr>
                <w:rFonts w:ascii="Arial" w:cs="Arial" w:eastAsia="Arial" w:hAnsi="Arial"/>
                <w:sz w:val="15"/>
                <w:szCs w:val="15"/>
                <w:color w:val="auto"/>
              </w:rPr>
              <w:t>646</w:t>
            </w:r>
          </w:p>
        </w:tc>
        <w:tc>
          <w:tcPr>
            <w:tcW w:w="200" w:type="dxa"/>
            <w:vAlign w:val="bottom"/>
            <w:tcBorders>
              <w:bottom w:val="single" w:sz="8" w:color="CFF0FC"/>
            </w:tcBorders>
            <w:shd w:val="clear" w:color="auto" w:fill="CFF0FC"/>
          </w:tcPr>
          <w:p>
            <w:pPr>
              <w:spacing w:after="0"/>
              <w:rPr>
                <w:sz w:val="15"/>
                <w:szCs w:val="15"/>
                <w:color w:val="auto"/>
              </w:rPr>
            </w:pPr>
          </w:p>
        </w:tc>
        <w:tc>
          <w:tcPr>
            <w:tcW w:w="50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ind w:right="84"/>
              <w:spacing w:after="0"/>
              <w:rPr>
                <w:sz w:val="20"/>
                <w:szCs w:val="20"/>
                <w:color w:val="auto"/>
              </w:rPr>
            </w:pPr>
            <w:r>
              <w:rPr>
                <w:rFonts w:ascii="Arial" w:cs="Arial" w:eastAsia="Arial" w:hAnsi="Arial"/>
                <w:sz w:val="15"/>
                <w:szCs w:val="15"/>
                <w:color w:val="auto"/>
              </w:rPr>
              <w:t>210</w:t>
            </w:r>
          </w:p>
        </w:tc>
      </w:tr>
      <w:tr>
        <w:trPr>
          <w:trHeight w:val="183"/>
        </w:trPr>
        <w:tc>
          <w:tcPr>
            <w:tcW w:w="7740" w:type="dxa"/>
            <w:vAlign w:val="bottom"/>
          </w:tcPr>
          <w:p>
            <w:pPr>
              <w:ind w:left="20"/>
              <w:spacing w:after="0"/>
              <w:rPr>
                <w:sz w:val="20"/>
                <w:szCs w:val="20"/>
                <w:color w:val="auto"/>
              </w:rPr>
            </w:pPr>
            <w:r>
              <w:rPr>
                <w:rFonts w:ascii="Arial" w:cs="Arial" w:eastAsia="Arial" w:hAnsi="Arial"/>
                <w:sz w:val="15"/>
                <w:szCs w:val="15"/>
                <w:b w:val="1"/>
                <w:bCs w:val="1"/>
                <w:color w:val="auto"/>
              </w:rPr>
              <w:t>CASH AND CASH EQUIVALENTS - END OF PERIOD</w:t>
            </w:r>
          </w:p>
        </w:tc>
        <w:tc>
          <w:tcPr>
            <w:tcW w:w="360" w:type="dxa"/>
            <w:vAlign w:val="bottom"/>
          </w:tcPr>
          <w:p>
            <w:pPr>
              <w:jc w:val="right"/>
              <w:ind w:right="184"/>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ind w:right="84"/>
              <w:spacing w:after="0"/>
              <w:rPr>
                <w:sz w:val="20"/>
                <w:szCs w:val="20"/>
                <w:color w:val="auto"/>
              </w:rPr>
            </w:pPr>
            <w:r>
              <w:rPr>
                <w:rFonts w:ascii="Arial" w:cs="Arial" w:eastAsia="Arial" w:hAnsi="Arial"/>
                <w:sz w:val="15"/>
                <w:szCs w:val="15"/>
                <w:color w:val="auto"/>
              </w:rPr>
              <w:t>349</w:t>
            </w:r>
          </w:p>
        </w:tc>
        <w:tc>
          <w:tcPr>
            <w:tcW w:w="700" w:type="dxa"/>
            <w:vAlign w:val="bottom"/>
            <w:gridSpan w:val="2"/>
          </w:tcPr>
          <w:p>
            <w:pPr>
              <w:jc w:val="right"/>
              <w:ind w:right="420"/>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84"/>
              <w:spacing w:after="0"/>
              <w:rPr>
                <w:sz w:val="20"/>
                <w:szCs w:val="20"/>
                <w:color w:val="auto"/>
              </w:rPr>
            </w:pPr>
            <w:r>
              <w:rPr>
                <w:rFonts w:ascii="Arial" w:cs="Arial" w:eastAsia="Arial" w:hAnsi="Arial"/>
                <w:sz w:val="15"/>
                <w:szCs w:val="15"/>
                <w:color w:val="auto"/>
              </w:rPr>
              <w:t>629</w:t>
            </w:r>
          </w:p>
        </w:tc>
      </w:tr>
      <w:tr>
        <w:trPr>
          <w:trHeight w:val="20"/>
        </w:trPr>
        <w:tc>
          <w:tcPr>
            <w:tcW w:w="77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129"/>
        </w:trPr>
        <w:tc>
          <w:tcPr>
            <w:tcW w:w="77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-3642995</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-2331085</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-1250950</wp:posOffset>
            </wp:positionV>
            <wp:extent cx="128905" cy="128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-762000</wp:posOffset>
            </wp:positionV>
            <wp:extent cx="128905"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-513715</wp:posOffset>
            </wp:positionV>
            <wp:extent cx="128905"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3716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-256540</wp:posOffset>
            </wp:positionV>
            <wp:extent cx="128905" cy="2571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257175"/>
                    </a:xfrm>
                    <a:prstGeom prst="rect">
                      <a:avLst/>
                    </a:prstGeom>
                    <a:noFill/>
                  </pic:spPr>
                </pic:pic>
              </a:graphicData>
            </a:graphic>
          </wp:anchor>
        </w:drawing>
      </w:r>
    </w:p>
    <w:p>
      <w:pPr>
        <w:spacing w:after="0" w:line="69" w:lineRule="exact"/>
        <w:rPr>
          <w:sz w:val="20"/>
          <w:szCs w:val="20"/>
          <w:color w:val="auto"/>
        </w:rPr>
      </w:pPr>
    </w:p>
    <w:p>
      <w:pPr>
        <w:ind w:left="380" w:hanging="372"/>
        <w:spacing w:after="0"/>
        <w:tabs>
          <w:tab w:leader="none" w:pos="380" w:val="left"/>
        </w:tabs>
        <w:numPr>
          <w:ilvl w:val="0"/>
          <w:numId w:val="4"/>
        </w:numPr>
        <w:rPr>
          <w:rFonts w:ascii="Arial" w:cs="Arial" w:eastAsia="Arial" w:hAnsi="Arial"/>
          <w:sz w:val="14"/>
          <w:szCs w:val="14"/>
          <w:color w:val="auto"/>
        </w:rPr>
      </w:pPr>
      <w:r>
        <w:rPr>
          <w:rFonts w:ascii="Arial" w:cs="Arial" w:eastAsia="Arial" w:hAnsi="Arial"/>
          <w:sz w:val="14"/>
          <w:szCs w:val="14"/>
          <w:color w:val="auto"/>
        </w:rPr>
        <w:t>Excludes changes resulting from operations acquired, sold or held for sale.</w:t>
      </w:r>
    </w:p>
    <w:p>
      <w:pPr>
        <w:spacing w:after="0" w:line="97" w:lineRule="exact"/>
        <w:rPr>
          <w:sz w:val="20"/>
          <w:szCs w:val="20"/>
          <w:color w:val="auto"/>
        </w:rPr>
      </w:pPr>
    </w:p>
    <w:p>
      <w:pPr>
        <w:spacing w:after="0"/>
        <w:rPr>
          <w:sz w:val="20"/>
          <w:szCs w:val="20"/>
          <w:color w:val="auto"/>
        </w:rPr>
      </w:pPr>
      <w:r>
        <w:rPr>
          <w:rFonts w:ascii="Arial" w:cs="Arial" w:eastAsia="Arial" w:hAnsi="Arial"/>
          <w:sz w:val="20"/>
          <w:szCs w:val="20"/>
          <w:color w:val="auto"/>
        </w:rPr>
        <w:t>SEE NOTES TO CONDENSED CONSOLIDATED FINANCIAL STATEMENTS.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t>ASHLAND INC. AND CONSOLIDATED SUBSIDIARIES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CONDENSED CONSOLIDATED FINANCIAL STATEMENTS</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A –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8"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Basis of presentation</w:t>
      </w:r>
    </w:p>
    <w:p>
      <w:pPr>
        <w:spacing w:after="0" w:line="114" w:lineRule="exact"/>
        <w:rPr>
          <w:sz w:val="20"/>
          <w:szCs w:val="20"/>
          <w:color w:val="auto"/>
        </w:rPr>
      </w:pPr>
    </w:p>
    <w:p>
      <w:pPr>
        <w:jc w:val="both"/>
        <w:ind w:left="380"/>
        <w:spacing w:after="0" w:line="257" w:lineRule="auto"/>
        <w:rPr>
          <w:sz w:val="20"/>
          <w:szCs w:val="20"/>
          <w:color w:val="auto"/>
        </w:rPr>
      </w:pPr>
      <w:r>
        <w:rPr>
          <w:rFonts w:ascii="Arial" w:cs="Arial" w:eastAsia="Arial" w:hAnsi="Arial"/>
          <w:sz w:val="19"/>
          <w:szCs w:val="19"/>
          <w:color w:val="auto"/>
        </w:rPr>
        <w:t>The accompanying unaudited Condensed Consolidated Financial Statements have been prepared in accordance with accounting principles generally accepted in the United States for interim financial reporting (U.S. GAAP) and Securities and Exchange Commission (SEC) regulations. In the opinion of management, all adjustments considered necessary for a fair presentation have been included. These statements omit certain information and footnote disclosures required for complete annual financial statements and, therefore, should be read in conjunction with the Ashland Inc. and consolidated subsidiaries (Ashland or the Company) Annual Report on Form 10-K for the fiscal year ended September 30, 2022. Results of operations for the period ended June 30, 2023 are not necessarily indicative of the expected results for the remainder of the fiscal year.</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Ashland is comprised of the following reportable segments: Life Sciences, Personal Care, Specialty Additives and Intermediates.</w:t>
      </w:r>
    </w:p>
    <w:p>
      <w:pPr>
        <w:spacing w:after="0" w:line="3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Unallocated and Other includes corporate governance activities and certain legacy matters. For additional information, see Note Q.</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Use of estimates, risks and uncertainties</w:t>
      </w:r>
    </w:p>
    <w:p>
      <w:pPr>
        <w:spacing w:after="0" w:line="114" w:lineRule="exact"/>
        <w:rPr>
          <w:sz w:val="20"/>
          <w:szCs w:val="20"/>
          <w:color w:val="auto"/>
        </w:rPr>
      </w:pPr>
    </w:p>
    <w:p>
      <w:pPr>
        <w:jc w:val="both"/>
        <w:ind w:left="380"/>
        <w:spacing w:after="0" w:line="316" w:lineRule="auto"/>
        <w:rPr>
          <w:sz w:val="20"/>
          <w:szCs w:val="20"/>
          <w:color w:val="auto"/>
        </w:rPr>
      </w:pPr>
      <w:r>
        <w:rPr>
          <w:rFonts w:ascii="Arial" w:cs="Arial" w:eastAsia="Arial" w:hAnsi="Arial"/>
          <w:sz w:val="16"/>
          <w:szCs w:val="16"/>
          <w:color w:val="auto"/>
        </w:rPr>
        <w:t>The preparation of Ashland’s Condensed Consolidated Financial Statements in conformity with U.S. GAAP requires management to make estimates and assumptions that affect the reported amounts of assets, liabilities, sales and expenses, and the disclosures of contingent assets and liabilities. Significant items that are subject to such estimates and assumptions include, but are not limited to, environmental remediation, asbestos litigation, the accounting for goodwill and other intangible assets, and income taxes. Although management bases its estimates on historical experience and various other assumptions that are believed to be reasonable under the circumstances, actual results could differ significantly from the estimates under different assumptions or conditions.</w:t>
      </w:r>
    </w:p>
    <w:p>
      <w:pPr>
        <w:spacing w:after="0" w:line="32" w:lineRule="exact"/>
        <w:rPr>
          <w:sz w:val="20"/>
          <w:szCs w:val="20"/>
          <w:color w:val="auto"/>
        </w:rPr>
      </w:pPr>
    </w:p>
    <w:p>
      <w:pPr>
        <w:jc w:val="both"/>
        <w:ind w:left="380"/>
        <w:spacing w:after="0" w:line="278" w:lineRule="auto"/>
        <w:rPr>
          <w:sz w:val="20"/>
          <w:szCs w:val="20"/>
          <w:color w:val="auto"/>
        </w:rPr>
      </w:pPr>
      <w:r>
        <w:rPr>
          <w:rFonts w:ascii="Arial" w:cs="Arial" w:eastAsia="Arial" w:hAnsi="Arial"/>
          <w:sz w:val="18"/>
          <w:szCs w:val="18"/>
          <w:color w:val="auto"/>
        </w:rPr>
        <w:t>Ashland’s results are affected by domestic and international economic, political, legislative, regulatory and legal actions. Economic conditions, such as recessionary trends, inflation, interest and monetary exchange rates, government fiscal policies and changes in the prices of certain key raw materials, can have a significant effect on operations. While Ashland maintains reserves for anticipated liabilities and carries various levels of insurance, Ashland could be affected by civil, criminal, regulatory or administrative actions, claims or proceedings relating to asbestos, environmental remediation or other matters.</w:t>
      </w:r>
    </w:p>
    <w:p>
      <w:pPr>
        <w:spacing w:after="0" w:line="51"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New accounting pronouncements</w:t>
      </w:r>
    </w:p>
    <w:p>
      <w:pPr>
        <w:spacing w:after="0" w:line="114" w:lineRule="exact"/>
        <w:rPr>
          <w:sz w:val="20"/>
          <w:szCs w:val="20"/>
          <w:color w:val="auto"/>
        </w:rPr>
      </w:pPr>
    </w:p>
    <w:p>
      <w:pPr>
        <w:jc w:val="both"/>
        <w:ind w:left="380"/>
        <w:spacing w:after="0" w:line="263" w:lineRule="auto"/>
        <w:rPr>
          <w:sz w:val="20"/>
          <w:szCs w:val="20"/>
          <w:color w:val="auto"/>
        </w:rPr>
      </w:pPr>
      <w:r>
        <w:rPr>
          <w:rFonts w:ascii="Arial" w:cs="Arial" w:eastAsia="Arial" w:hAnsi="Arial"/>
          <w:sz w:val="19"/>
          <w:szCs w:val="19"/>
          <w:color w:val="auto"/>
        </w:rPr>
        <w:t>A description of new U.S. GAAP accounting standards issued or adopted during the current year is required in interim financial reporting. A detailed listing of new accounting standards relevant to Ashland is included in the Annual Report on Form 10-K for the fiscal year ended September 30, 2022. There were no new standards that were either issued or adopted in the current fiscal year that will have a material impact on Ashland's Condensed Consolidated Financial Statements.</w:t>
      </w:r>
    </w:p>
    <w:p>
      <w:pPr>
        <w:spacing w:after="0" w:line="28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360" w:right="71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NOTE B – DIVESTITURES</w:t>
      </w:r>
    </w:p>
    <w:p>
      <w:pPr>
        <w:spacing w:after="0" w:line="114" w:lineRule="exact"/>
        <w:rPr>
          <w:sz w:val="20"/>
          <w:szCs w:val="20"/>
          <w:color w:val="auto"/>
        </w:rPr>
      </w:pPr>
    </w:p>
    <w:p>
      <w:pPr>
        <w:ind w:left="380"/>
        <w:spacing w:after="0"/>
        <w:rPr>
          <w:sz w:val="20"/>
          <w:szCs w:val="20"/>
          <w:color w:val="auto"/>
        </w:rPr>
      </w:pPr>
      <w:r>
        <w:rPr>
          <w:rFonts w:ascii="Arial" w:cs="Arial" w:eastAsia="Arial" w:hAnsi="Arial"/>
          <w:sz w:val="20"/>
          <w:szCs w:val="20"/>
          <w:b w:val="1"/>
          <w:bCs w:val="1"/>
          <w:i w:val="1"/>
          <w:iCs w:val="1"/>
          <w:color w:val="auto"/>
        </w:rPr>
        <w:t>Performance Adhesives</w:t>
      </w:r>
    </w:p>
    <w:p>
      <w:pPr>
        <w:spacing w:after="0" w:line="108" w:lineRule="exact"/>
        <w:rPr>
          <w:sz w:val="20"/>
          <w:szCs w:val="20"/>
          <w:color w:val="auto"/>
        </w:rPr>
      </w:pPr>
    </w:p>
    <w:p>
      <w:pPr>
        <w:jc w:val="both"/>
        <w:ind w:left="380"/>
        <w:spacing w:after="0" w:line="246" w:lineRule="auto"/>
        <w:rPr>
          <w:sz w:val="20"/>
          <w:szCs w:val="20"/>
          <w:color w:val="auto"/>
        </w:rPr>
      </w:pPr>
      <w:r>
        <w:rPr>
          <w:rFonts w:ascii="Arial" w:cs="Arial" w:eastAsia="Arial" w:hAnsi="Arial"/>
          <w:sz w:val="20"/>
          <w:szCs w:val="20"/>
          <w:color w:val="auto"/>
        </w:rPr>
        <w:t>On February 28, 2022, Ashland completed the sale of its Performance Adhesives business to Arkema, a French société anonyme. Proceeds from the sale were approximately $1.7 billion, net of transaction costs. Ashland recognized a $732 million gain on sale within the Income (Loss) from Discontinued Operations caption of the Statements of Consolidated Comprehensive Income (Loss) for the nine months ended June 30, 2022.</w:t>
      </w:r>
    </w:p>
    <w:p>
      <w:pPr>
        <w:spacing w:after="0" w:line="83" w:lineRule="exact"/>
        <w:rPr>
          <w:sz w:val="20"/>
          <w:szCs w:val="20"/>
          <w:color w:val="auto"/>
        </w:rPr>
      </w:pPr>
    </w:p>
    <w:p>
      <w:pPr>
        <w:jc w:val="both"/>
        <w:ind w:left="380"/>
        <w:spacing w:after="0" w:line="263" w:lineRule="auto"/>
        <w:rPr>
          <w:sz w:val="20"/>
          <w:szCs w:val="20"/>
          <w:color w:val="auto"/>
        </w:rPr>
      </w:pPr>
      <w:r>
        <w:rPr>
          <w:rFonts w:ascii="Arial" w:cs="Arial" w:eastAsia="Arial" w:hAnsi="Arial"/>
          <w:sz w:val="19"/>
          <w:szCs w:val="19"/>
          <w:color w:val="auto"/>
        </w:rPr>
        <w:t>The transaction represented a strategic shift in Ashland’s business and had a major effect on Ashland’s operations and financial results. Accordingly, the operating results and cash flows related to Performance Adhesives have been reflected as discontinued operations in the Statements of Consolidated Comprehensive Income (Loss) and Statements of Condensed Consolidated Cash Flows. See Note C for the results of operations for Performance Adhesives for all affected periods.</w:t>
      </w:r>
    </w:p>
    <w:p>
      <w:pPr>
        <w:spacing w:after="0" w:line="68" w:lineRule="exact"/>
        <w:rPr>
          <w:sz w:val="20"/>
          <w:szCs w:val="20"/>
          <w:color w:val="auto"/>
        </w:rPr>
      </w:pPr>
    </w:p>
    <w:p>
      <w:pPr>
        <w:jc w:val="both"/>
        <w:ind w:left="380"/>
        <w:spacing w:after="0" w:line="243" w:lineRule="auto"/>
        <w:rPr>
          <w:sz w:val="20"/>
          <w:szCs w:val="20"/>
          <w:color w:val="auto"/>
        </w:rPr>
      </w:pPr>
      <w:r>
        <w:rPr>
          <w:rFonts w:ascii="Arial" w:cs="Arial" w:eastAsia="Arial" w:hAnsi="Arial"/>
          <w:sz w:val="20"/>
          <w:szCs w:val="20"/>
          <w:color w:val="auto"/>
        </w:rPr>
        <w:t>Certain indirect corporate costs included within the selling, general and administrative expense caption of the Statements of Consolidated Comprehensive Income (Loss) that were previously allocated to the Performance Adhesives segment do not qualify for classification within discontinued operations and are now reported as selling, general and administrative expense within continuing operations on a consolidated basis and within the Unallocated and other segment. There were no such costs for the three and nine months ended June 30, 2023 and $1 million and $8 million for the three and nine months ended June 30, 2022, respectively.</w:t>
      </w:r>
    </w:p>
    <w:p>
      <w:pPr>
        <w:spacing w:after="0" w:line="88" w:lineRule="exact"/>
        <w:rPr>
          <w:sz w:val="20"/>
          <w:szCs w:val="20"/>
          <w:color w:val="auto"/>
        </w:rPr>
      </w:pPr>
    </w:p>
    <w:p>
      <w:pPr>
        <w:ind w:left="380"/>
        <w:spacing w:after="0"/>
        <w:rPr>
          <w:sz w:val="20"/>
          <w:szCs w:val="20"/>
          <w:color w:val="auto"/>
        </w:rPr>
      </w:pPr>
      <w:r>
        <w:rPr>
          <w:rFonts w:ascii="Arial" w:cs="Arial" w:eastAsia="Arial" w:hAnsi="Arial"/>
          <w:sz w:val="20"/>
          <w:szCs w:val="20"/>
          <w:b w:val="1"/>
          <w:bCs w:val="1"/>
          <w:i w:val="1"/>
          <w:iCs w:val="1"/>
          <w:color w:val="auto"/>
        </w:rPr>
        <w:t>Other manufacturing facility sales</w:t>
      </w:r>
    </w:p>
    <w:p>
      <w:pPr>
        <w:spacing w:after="0" w:line="108" w:lineRule="exact"/>
        <w:rPr>
          <w:sz w:val="20"/>
          <w:szCs w:val="20"/>
          <w:color w:val="auto"/>
        </w:rPr>
      </w:pPr>
    </w:p>
    <w:p>
      <w:pPr>
        <w:jc w:val="both"/>
        <w:ind w:left="380"/>
        <w:spacing w:after="0" w:line="244" w:lineRule="auto"/>
        <w:rPr>
          <w:sz w:val="20"/>
          <w:szCs w:val="20"/>
          <w:color w:val="auto"/>
        </w:rPr>
      </w:pPr>
      <w:r>
        <w:rPr>
          <w:rFonts w:ascii="Arial" w:cs="Arial" w:eastAsia="Arial" w:hAnsi="Arial"/>
          <w:sz w:val="20"/>
          <w:szCs w:val="20"/>
          <w:color w:val="auto"/>
        </w:rPr>
        <w:t>During the December 2022 quarter, Ashland entered into a definitive sale agreement to sell a Specialty Additives manufacturing facility for less than $1 million. The net asset value related to these sites was $4 million at September 30, 2022. During the three and nine months ended June 30, 2023, no impairment and $4 million of impairment charges, respectively, were recorded within the selling, general and administrative expense caption of the Statement of Consolidated Comprehensive Income (Loss) for this manufacturing facility.</w:t>
      </w:r>
    </w:p>
    <w:p>
      <w:pPr>
        <w:spacing w:after="0" w:line="86" w:lineRule="exact"/>
        <w:rPr>
          <w:sz w:val="20"/>
          <w:szCs w:val="20"/>
          <w:color w:val="auto"/>
        </w:rPr>
      </w:pPr>
    </w:p>
    <w:p>
      <w:pPr>
        <w:jc w:val="both"/>
        <w:ind w:left="380"/>
        <w:spacing w:after="0" w:line="250" w:lineRule="auto"/>
        <w:rPr>
          <w:sz w:val="20"/>
          <w:szCs w:val="20"/>
          <w:color w:val="auto"/>
        </w:rPr>
      </w:pPr>
      <w:r>
        <w:rPr>
          <w:rFonts w:ascii="Arial" w:cs="Arial" w:eastAsia="Arial" w:hAnsi="Arial"/>
          <w:sz w:val="20"/>
          <w:szCs w:val="20"/>
          <w:color w:val="auto"/>
        </w:rPr>
        <w:t>During the current quarter, Ashland completed the sale of this facility, received proceeds of less than $1 million, and recorded a loss of less than $1 million within the income on acquisition and divestitures, net caption of the Statement of Consolidated Comprehensive Income (Loss) for the three and nine months ended June 30, 2023.</w:t>
      </w:r>
    </w:p>
    <w:p>
      <w:pPr>
        <w:spacing w:after="0" w:line="78" w:lineRule="exact"/>
        <w:rPr>
          <w:sz w:val="20"/>
          <w:szCs w:val="20"/>
          <w:color w:val="auto"/>
        </w:rPr>
      </w:pPr>
    </w:p>
    <w:p>
      <w:pPr>
        <w:ind w:left="380"/>
        <w:spacing w:after="0"/>
        <w:rPr>
          <w:sz w:val="20"/>
          <w:szCs w:val="20"/>
          <w:color w:val="auto"/>
        </w:rPr>
      </w:pPr>
      <w:r>
        <w:rPr>
          <w:rFonts w:ascii="Arial" w:cs="Arial" w:eastAsia="Arial" w:hAnsi="Arial"/>
          <w:sz w:val="20"/>
          <w:szCs w:val="20"/>
          <w:b w:val="1"/>
          <w:bCs w:val="1"/>
          <w:i w:val="1"/>
          <w:iCs w:val="1"/>
          <w:color w:val="auto"/>
        </w:rPr>
        <w:t>Other corporate assets</w:t>
      </w:r>
    </w:p>
    <w:p>
      <w:pPr>
        <w:spacing w:after="0" w:line="108" w:lineRule="exact"/>
        <w:rPr>
          <w:sz w:val="20"/>
          <w:szCs w:val="20"/>
          <w:color w:val="auto"/>
        </w:rPr>
      </w:pPr>
    </w:p>
    <w:p>
      <w:pPr>
        <w:jc w:val="both"/>
        <w:ind w:left="380"/>
        <w:spacing w:after="0" w:line="246" w:lineRule="auto"/>
        <w:rPr>
          <w:sz w:val="20"/>
          <w:szCs w:val="20"/>
          <w:color w:val="auto"/>
        </w:rPr>
      </w:pPr>
      <w:r>
        <w:rPr>
          <w:rFonts w:ascii="Arial" w:cs="Arial" w:eastAsia="Arial" w:hAnsi="Arial"/>
          <w:sz w:val="20"/>
          <w:szCs w:val="20"/>
          <w:color w:val="auto"/>
        </w:rPr>
        <w:t>During the three and nine months ended June 30, 2022, Ashland completed the sale of two excess land properties. Ashland received net proceeds of approximately $50 million and recorded a pre-tax gain of $35 million within the Income on acquisitions and divestitures, net caption of the Statements of Consolidated Comprehensive Income (Loss) for the three and nine months ended June 30, 2022.</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C– DISCONTINUED OPERATIONS</w:t>
      </w:r>
    </w:p>
    <w:p>
      <w:pPr>
        <w:spacing w:after="0" w:line="114" w:lineRule="exact"/>
        <w:rPr>
          <w:sz w:val="20"/>
          <w:szCs w:val="20"/>
          <w:color w:val="auto"/>
        </w:rPr>
      </w:pPr>
    </w:p>
    <w:p>
      <w:pPr>
        <w:jc w:val="both"/>
        <w:ind w:left="380"/>
        <w:spacing w:after="0" w:line="246" w:lineRule="auto"/>
        <w:rPr>
          <w:sz w:val="20"/>
          <w:szCs w:val="20"/>
          <w:color w:val="auto"/>
        </w:rPr>
      </w:pPr>
      <w:r>
        <w:rPr>
          <w:rFonts w:ascii="Arial" w:cs="Arial" w:eastAsia="Arial" w:hAnsi="Arial"/>
          <w:sz w:val="20"/>
          <w:szCs w:val="20"/>
          <w:color w:val="auto"/>
        </w:rPr>
        <w:t>Ashland has divested certain businesses that have qualified as discontinued operations. The operating results from these divested businesses and subsequent adjustments related to ongoing assessments of certain retained liabilities and tax items have been recorded within the discontinued operations caption in the Statements of Consolidated Comprehensive Income (Loss) for all periods presented.</w:t>
      </w:r>
    </w:p>
    <w:p>
      <w:pPr>
        <w:spacing w:after="0" w:line="8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549" w:right="719" w:bottom="1440" w:gutter="0" w:footer="0" w:header="0"/>
        </w:sectPr>
      </w:pPr>
    </w:p>
    <w:bookmarkStart w:id="6" w:name="page7"/>
    <w:bookmarkEnd w:id="6"/>
    <w:p>
      <w:pPr>
        <w:jc w:val="both"/>
        <w:ind w:left="380"/>
        <w:spacing w:after="0" w:line="287" w:lineRule="auto"/>
        <w:rPr>
          <w:sz w:val="20"/>
          <w:szCs w:val="20"/>
          <w:color w:val="auto"/>
        </w:rPr>
      </w:pPr>
      <w:r>
        <w:rPr>
          <w:rFonts w:ascii="Arial" w:cs="Arial" w:eastAsia="Arial" w:hAnsi="Arial"/>
          <w:sz w:val="19"/>
          <w:szCs w:val="19"/>
          <w:color w:val="auto"/>
        </w:rPr>
        <w:t>Components of amounts reflected in the Statements of Consolidated Comprehensive Income (Loss) related to discontinued operations are presented in the following table for the three and nine months ended June 30, 2023 and 2022.</w:t>
      </w:r>
    </w:p>
    <w:p>
      <w:pPr>
        <w:spacing w:after="0" w:line="68" w:lineRule="exact"/>
        <w:rPr>
          <w:sz w:val="20"/>
          <w:szCs w:val="20"/>
          <w:color w:val="auto"/>
        </w:rPr>
      </w:pPr>
    </w:p>
    <w:tbl>
      <w:tblPr>
        <w:tblLayout w:type="fixed"/>
        <w:tblInd w:w="400" w:type="dxa"/>
        <w:tblCellMar>
          <w:top w:w="0" w:type="dxa"/>
          <w:left w:w="0" w:type="dxa"/>
          <w:bottom w:w="0" w:type="dxa"/>
          <w:right w:w="0" w:type="dxa"/>
        </w:tblCellMar>
      </w:tblPr>
      <w:tr>
        <w:trPr>
          <w:trHeight w:val="244"/>
        </w:trPr>
        <w:tc>
          <w:tcPr>
            <w:tcW w:w="414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2500" w:type="dxa"/>
            <w:vAlign w:val="bottom"/>
            <w:tcBorders>
              <w:top w:val="single" w:sz="8" w:color="auto"/>
            </w:tcBorders>
            <w:gridSpan w:val="3"/>
          </w:tcPr>
          <w:p>
            <w:pPr>
              <w:jc w:val="right"/>
              <w:ind w:right="480"/>
              <w:spacing w:after="0"/>
              <w:rPr>
                <w:sz w:val="20"/>
                <w:szCs w:val="20"/>
                <w:color w:val="auto"/>
              </w:rPr>
            </w:pPr>
            <w:r>
              <w:rPr>
                <w:rFonts w:ascii="Arial" w:cs="Arial" w:eastAsia="Arial" w:hAnsi="Arial"/>
                <w:sz w:val="18"/>
                <w:szCs w:val="18"/>
                <w:color w:val="auto"/>
              </w:rPr>
              <w:t>Three months ended</w:t>
            </w:r>
          </w:p>
        </w:tc>
        <w:tc>
          <w:tcPr>
            <w:tcW w:w="54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2360" w:type="dxa"/>
            <w:vAlign w:val="bottom"/>
            <w:tcBorders>
              <w:top w:val="single" w:sz="8" w:color="auto"/>
            </w:tcBorders>
            <w:gridSpan w:val="4"/>
          </w:tcPr>
          <w:p>
            <w:pPr>
              <w:jc w:val="center"/>
              <w:ind w:left="190"/>
              <w:spacing w:after="0"/>
              <w:rPr>
                <w:sz w:val="20"/>
                <w:szCs w:val="20"/>
                <w:color w:val="auto"/>
              </w:rPr>
            </w:pPr>
            <w:r>
              <w:rPr>
                <w:rFonts w:ascii="Arial" w:cs="Arial" w:eastAsia="Arial" w:hAnsi="Arial"/>
                <w:sz w:val="18"/>
                <w:szCs w:val="18"/>
                <w:color w:val="auto"/>
                <w:w w:val="89"/>
              </w:rPr>
              <w:t>Nine months ended</w:t>
            </w:r>
          </w:p>
        </w:tc>
        <w:tc>
          <w:tcPr>
            <w:tcW w:w="420" w:type="dxa"/>
            <w:vAlign w:val="bottom"/>
            <w:tcBorders>
              <w:top w:val="single" w:sz="8" w:color="auto"/>
            </w:tcBorders>
          </w:tcPr>
          <w:p>
            <w:pPr>
              <w:spacing w:after="0"/>
              <w:rPr>
                <w:sz w:val="21"/>
                <w:szCs w:val="21"/>
                <w:color w:val="auto"/>
              </w:rPr>
            </w:pPr>
          </w:p>
        </w:tc>
      </w:tr>
      <w:tr>
        <w:trPr>
          <w:trHeight w:val="249"/>
        </w:trPr>
        <w:tc>
          <w:tcPr>
            <w:tcW w:w="41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gridSpan w:val="3"/>
          </w:tcPr>
          <w:p>
            <w:pPr>
              <w:jc w:val="right"/>
              <w:ind w:right="940"/>
              <w:spacing w:after="0"/>
              <w:rPr>
                <w:sz w:val="20"/>
                <w:szCs w:val="20"/>
                <w:color w:val="auto"/>
              </w:rPr>
            </w:pPr>
            <w:r>
              <w:rPr>
                <w:rFonts w:ascii="Arial" w:cs="Arial" w:eastAsia="Arial" w:hAnsi="Arial"/>
                <w:sz w:val="18"/>
                <w:szCs w:val="18"/>
                <w:color w:val="auto"/>
              </w:rPr>
              <w:t>June 30</w:t>
            </w:r>
          </w:p>
        </w:tc>
        <w:tc>
          <w:tcPr>
            <w:tcW w:w="54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7"/>
              </w:rPr>
              <w:t>June 30</w:t>
            </w:r>
          </w:p>
        </w:tc>
        <w:tc>
          <w:tcPr>
            <w:tcW w:w="7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r>
      <w:tr>
        <w:trPr>
          <w:trHeight w:val="237"/>
        </w:trPr>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2023</w:t>
            </w:r>
          </w:p>
        </w:tc>
        <w:tc>
          <w:tcPr>
            <w:tcW w:w="12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2022</w:t>
            </w:r>
          </w:p>
        </w:tc>
        <w:tc>
          <w:tcPr>
            <w:tcW w:w="5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2023</w:t>
            </w:r>
          </w:p>
        </w:tc>
        <w:tc>
          <w:tcPr>
            <w:tcW w:w="5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420" w:type="dxa"/>
            <w:vAlign w:val="bottom"/>
            <w:tcBorders>
              <w:bottom w:val="single" w:sz="8" w:color="auto"/>
            </w:tcBorders>
          </w:tcPr>
          <w:p>
            <w:pPr>
              <w:spacing w:after="0"/>
              <w:rPr>
                <w:sz w:val="20"/>
                <w:szCs w:val="20"/>
                <w:color w:val="auto"/>
              </w:rPr>
            </w:pPr>
          </w:p>
        </w:tc>
      </w:tr>
      <w:tr>
        <w:trPr>
          <w:trHeight w:val="211"/>
        </w:trPr>
        <w:tc>
          <w:tcPr>
            <w:tcW w:w="41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w w:val="94"/>
              </w:rPr>
              <w:t>Income (loss) from discontinued operations (net of</w:t>
            </w:r>
          </w:p>
        </w:tc>
        <w:tc>
          <w:tcPr>
            <w:tcW w:w="3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r>
      <w:tr>
        <w:trPr>
          <w:trHeight w:val="248"/>
        </w:trPr>
        <w:tc>
          <w:tcPr>
            <w:tcW w:w="41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tax)</w:t>
            </w:r>
          </w:p>
        </w:tc>
        <w:tc>
          <w:tcPr>
            <w:tcW w:w="32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r>
      <w:tr>
        <w:trPr>
          <w:trHeight w:val="237"/>
        </w:trPr>
        <w:tc>
          <w:tcPr>
            <w:tcW w:w="4140" w:type="dxa"/>
            <w:vAlign w:val="bottom"/>
          </w:tcPr>
          <w:p>
            <w:pPr>
              <w:ind w:left="20"/>
              <w:spacing w:after="0"/>
              <w:rPr>
                <w:sz w:val="20"/>
                <w:szCs w:val="20"/>
                <w:color w:val="auto"/>
              </w:rPr>
            </w:pPr>
            <w:r>
              <w:rPr>
                <w:rFonts w:ascii="Arial" w:cs="Arial" w:eastAsia="Arial" w:hAnsi="Arial"/>
                <w:sz w:val="18"/>
                <w:szCs w:val="18"/>
                <w:color w:val="auto"/>
              </w:rPr>
              <w:t>Performance Adhesives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(1 )</w:t>
            </w:r>
          </w:p>
        </w:tc>
        <w:tc>
          <w:tcPr>
            <w:tcW w:w="122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4</w:t>
            </w:r>
          </w:p>
        </w:tc>
        <w:tc>
          <w:tcPr>
            <w:tcW w:w="112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(1 )</w:t>
            </w:r>
          </w:p>
        </w:tc>
        <w:tc>
          <w:tcPr>
            <w:tcW w:w="140" w:type="dxa"/>
            <w:vAlign w:val="bottom"/>
          </w:tcPr>
          <w:p>
            <w:pPr>
              <w:spacing w:after="0"/>
              <w:rPr>
                <w:sz w:val="20"/>
                <w:szCs w:val="20"/>
                <w:color w:val="auto"/>
              </w:rPr>
            </w:pPr>
          </w:p>
        </w:tc>
        <w:tc>
          <w:tcPr>
            <w:tcW w:w="720" w:type="dxa"/>
            <w:vAlign w:val="bottom"/>
          </w:tcPr>
          <w:p>
            <w:pPr>
              <w:jc w:val="right"/>
              <w:ind w:right="53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38</w:t>
            </w:r>
          </w:p>
        </w:tc>
      </w:tr>
      <w:tr>
        <w:trPr>
          <w:trHeight w:val="249"/>
        </w:trPr>
        <w:tc>
          <w:tcPr>
            <w:tcW w:w="4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Composites/Marl facility</w:t>
            </w:r>
          </w:p>
        </w:tc>
        <w:tc>
          <w:tcPr>
            <w:tcW w:w="32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14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37"/>
        </w:trPr>
        <w:tc>
          <w:tcPr>
            <w:tcW w:w="4140" w:type="dxa"/>
            <w:vAlign w:val="bottom"/>
          </w:tcPr>
          <w:p>
            <w:pPr>
              <w:ind w:left="20"/>
              <w:spacing w:after="0"/>
              <w:rPr>
                <w:sz w:val="20"/>
                <w:szCs w:val="20"/>
                <w:color w:val="auto"/>
              </w:rPr>
            </w:pPr>
            <w:r>
              <w:rPr>
                <w:rFonts w:ascii="Arial" w:cs="Arial" w:eastAsia="Arial" w:hAnsi="Arial"/>
                <w:sz w:val="18"/>
                <w:szCs w:val="18"/>
                <w:color w:val="auto"/>
              </w:rPr>
              <w:t>Valvoline</w:t>
            </w:r>
          </w:p>
        </w:tc>
        <w:tc>
          <w:tcPr>
            <w:tcW w:w="320" w:type="dxa"/>
            <w:vAlign w:val="bottom"/>
          </w:tcPr>
          <w:p>
            <w:pPr>
              <w:spacing w:after="0"/>
              <w:rPr>
                <w:sz w:val="20"/>
                <w:szCs w:val="20"/>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49"/>
        </w:trPr>
        <w:tc>
          <w:tcPr>
            <w:tcW w:w="4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Asbestos</w:t>
            </w:r>
          </w:p>
        </w:tc>
        <w:tc>
          <w:tcPr>
            <w:tcW w:w="3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(4 )</w:t>
            </w: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(13 )</w:t>
            </w: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(4 )</w:t>
            </w:r>
          </w:p>
        </w:tc>
        <w:tc>
          <w:tcPr>
            <w:tcW w:w="14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(13 )</w:t>
            </w:r>
          </w:p>
        </w:tc>
      </w:tr>
      <w:tr>
        <w:trPr>
          <w:trHeight w:val="237"/>
        </w:trPr>
        <w:tc>
          <w:tcPr>
            <w:tcW w:w="4140" w:type="dxa"/>
            <w:vAlign w:val="bottom"/>
          </w:tcPr>
          <w:p>
            <w:pPr>
              <w:ind w:left="20"/>
              <w:spacing w:after="0"/>
              <w:rPr>
                <w:sz w:val="20"/>
                <w:szCs w:val="20"/>
                <w:color w:val="auto"/>
              </w:rPr>
            </w:pPr>
            <w:r>
              <w:rPr>
                <w:rFonts w:ascii="Arial" w:cs="Arial" w:eastAsia="Arial" w:hAnsi="Arial"/>
                <w:sz w:val="18"/>
                <w:szCs w:val="18"/>
                <w:color w:val="auto"/>
              </w:rPr>
              <w:t>Water Technologies</w:t>
            </w:r>
          </w:p>
        </w:tc>
        <w:tc>
          <w:tcPr>
            <w:tcW w:w="320" w:type="dxa"/>
            <w:vAlign w:val="bottom"/>
          </w:tcPr>
          <w:p>
            <w:pPr>
              <w:spacing w:after="0"/>
              <w:rPr>
                <w:sz w:val="20"/>
                <w:szCs w:val="20"/>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(1 )</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49"/>
        </w:trPr>
        <w:tc>
          <w:tcPr>
            <w:tcW w:w="4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Distribution</w:t>
            </w:r>
          </w:p>
        </w:tc>
        <w:tc>
          <w:tcPr>
            <w:tcW w:w="3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(2 )</w:t>
            </w: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(5 )</w:t>
            </w: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(3 )</w:t>
            </w:r>
          </w:p>
        </w:tc>
        <w:tc>
          <w:tcPr>
            <w:tcW w:w="14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(7 )</w:t>
            </w:r>
          </w:p>
        </w:tc>
      </w:tr>
      <w:tr>
        <w:trPr>
          <w:trHeight w:val="211"/>
        </w:trPr>
        <w:tc>
          <w:tcPr>
            <w:tcW w:w="4140" w:type="dxa"/>
            <w:vAlign w:val="bottom"/>
          </w:tcPr>
          <w:p>
            <w:pPr>
              <w:ind w:left="20"/>
              <w:spacing w:after="0"/>
              <w:rPr>
                <w:sz w:val="20"/>
                <w:szCs w:val="20"/>
                <w:color w:val="auto"/>
              </w:rPr>
            </w:pPr>
            <w:r>
              <w:rPr>
                <w:rFonts w:ascii="Arial" w:cs="Arial" w:eastAsia="Arial" w:hAnsi="Arial"/>
                <w:sz w:val="18"/>
                <w:szCs w:val="18"/>
                <w:b w:val="1"/>
                <w:bCs w:val="1"/>
                <w:color w:val="auto"/>
                <w:w w:val="92"/>
              </w:rPr>
              <w:t>Gain on disposal of discontinued operations (net of</w:t>
            </w: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41"/>
        </w:trPr>
        <w:tc>
          <w:tcPr>
            <w:tcW w:w="4140" w:type="dxa"/>
            <w:vAlign w:val="bottom"/>
          </w:tcPr>
          <w:p>
            <w:pPr>
              <w:ind w:left="20"/>
              <w:spacing w:after="0"/>
              <w:rPr>
                <w:sz w:val="20"/>
                <w:szCs w:val="20"/>
                <w:color w:val="auto"/>
              </w:rPr>
            </w:pPr>
            <w:r>
              <w:rPr>
                <w:rFonts w:ascii="Arial" w:cs="Arial" w:eastAsia="Arial" w:hAnsi="Arial"/>
                <w:sz w:val="18"/>
                <w:szCs w:val="18"/>
                <w:b w:val="1"/>
                <w:bCs w:val="1"/>
                <w:color w:val="auto"/>
              </w:rPr>
              <w:t>tax)</w:t>
            </w: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50"/>
        </w:trPr>
        <w:tc>
          <w:tcPr>
            <w:tcW w:w="4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Performance Adhesives</w:t>
            </w:r>
          </w:p>
        </w:tc>
        <w:tc>
          <w:tcPr>
            <w:tcW w:w="32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86"/>
              </w:rPr>
              <w:t>732</w:t>
            </w:r>
          </w:p>
        </w:tc>
      </w:tr>
      <w:tr>
        <w:trPr>
          <w:trHeight w:val="230"/>
        </w:trPr>
        <w:tc>
          <w:tcPr>
            <w:tcW w:w="414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122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(15 )</w:t>
            </w:r>
          </w:p>
        </w:tc>
        <w:tc>
          <w:tcPr>
            <w:tcW w:w="112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20"/>
                <w:szCs w:val="20"/>
                <w:color w:val="auto"/>
              </w:rPr>
            </w:pPr>
          </w:p>
        </w:tc>
        <w:tc>
          <w:tcPr>
            <w:tcW w:w="720" w:type="dxa"/>
            <w:vAlign w:val="bottom"/>
          </w:tcPr>
          <w:p>
            <w:pPr>
              <w:jc w:val="right"/>
              <w:ind w:right="53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w w:val="86"/>
              </w:rPr>
              <w:t>749</w:t>
            </w:r>
          </w:p>
        </w:tc>
      </w:tr>
      <w:tr>
        <w:trPr>
          <w:trHeight w:val="20"/>
        </w:trPr>
        <w:tc>
          <w:tcPr>
            <w:tcW w:w="4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r>
      <w:tr>
        <w:trPr>
          <w:trHeight w:val="135"/>
        </w:trPr>
        <w:tc>
          <w:tcPr>
            <w:tcW w:w="41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-290830</wp:posOffset>
            </wp:positionV>
            <wp:extent cx="94615" cy="2914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4615" cy="29146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-290830</wp:posOffset>
            </wp:positionV>
            <wp:extent cx="93980" cy="2914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3980" cy="29146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-290830</wp:posOffset>
            </wp:positionV>
            <wp:extent cx="94615" cy="2914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4615" cy="291465"/>
                    </a:xfrm>
                    <a:prstGeom prst="rect">
                      <a:avLst/>
                    </a:prstGeom>
                    <a:noFill/>
                  </pic:spPr>
                </pic:pic>
              </a:graphicData>
            </a:graphic>
          </wp:anchor>
        </w:drawing>
      </w:r>
    </w:p>
    <w:p>
      <w:pPr>
        <w:spacing w:after="0" w:line="71" w:lineRule="exact"/>
        <w:rPr>
          <w:sz w:val="20"/>
          <w:szCs w:val="20"/>
          <w:color w:val="auto"/>
        </w:rPr>
      </w:pPr>
    </w:p>
    <w:p>
      <w:pPr>
        <w:jc w:val="both"/>
        <w:ind w:left="380"/>
        <w:spacing w:after="0" w:line="246" w:lineRule="auto"/>
        <w:rPr>
          <w:sz w:val="20"/>
          <w:szCs w:val="20"/>
          <w:color w:val="auto"/>
        </w:rPr>
      </w:pPr>
      <w:r>
        <w:rPr>
          <w:rFonts w:ascii="Arial" w:cs="Arial" w:eastAsia="Arial" w:hAnsi="Arial"/>
          <w:sz w:val="20"/>
          <w:szCs w:val="20"/>
          <w:color w:val="auto"/>
        </w:rPr>
        <w:t>The following table presents a reconciliation of the captions within Ashland's Statements of Consolidated Comprehensive Income (Loss) for the income (loss) from discontinued operations attributable to Performance Adhesives for the three and nine months ended June 30, 2022. This disclosure was not applicable for the three and nine months ended June 30, 2023 as a result of the sale in fiscal 2022.</w:t>
      </w:r>
    </w:p>
    <w:p>
      <w:pPr>
        <w:spacing w:after="0" w:line="107" w:lineRule="exact"/>
        <w:rPr>
          <w:sz w:val="20"/>
          <w:szCs w:val="20"/>
          <w:color w:val="auto"/>
        </w:rPr>
      </w:pPr>
    </w:p>
    <w:tbl>
      <w:tblPr>
        <w:tblLayout w:type="fixed"/>
        <w:tblInd w:w="400" w:type="dxa"/>
        <w:tblCellMar>
          <w:top w:w="0" w:type="dxa"/>
          <w:left w:w="0" w:type="dxa"/>
          <w:bottom w:w="0" w:type="dxa"/>
          <w:right w:w="0" w:type="dxa"/>
        </w:tblCellMar>
      </w:tblPr>
      <w:tr>
        <w:trPr>
          <w:trHeight w:val="244"/>
        </w:trPr>
        <w:tc>
          <w:tcPr>
            <w:tcW w:w="5780" w:type="dxa"/>
            <w:vAlign w:val="bottom"/>
            <w:tcBorders>
              <w:top w:val="single" w:sz="8" w:color="auto"/>
            </w:tcBorders>
          </w:tcPr>
          <w:p>
            <w:pPr>
              <w:spacing w:after="0"/>
              <w:rPr>
                <w:sz w:val="21"/>
                <w:szCs w:val="21"/>
                <w:color w:val="auto"/>
              </w:rPr>
            </w:pPr>
          </w:p>
        </w:tc>
        <w:tc>
          <w:tcPr>
            <w:tcW w:w="1840" w:type="dxa"/>
            <w:vAlign w:val="bottom"/>
            <w:tcBorders>
              <w:top w:val="single" w:sz="8" w:color="auto"/>
            </w:tcBorders>
          </w:tcPr>
          <w:p>
            <w:pPr>
              <w:jc w:val="center"/>
              <w:ind w:left="170"/>
              <w:spacing w:after="0"/>
              <w:rPr>
                <w:sz w:val="20"/>
                <w:szCs w:val="20"/>
                <w:color w:val="auto"/>
              </w:rPr>
            </w:pPr>
            <w:r>
              <w:rPr>
                <w:rFonts w:ascii="Arial" w:cs="Arial" w:eastAsia="Arial" w:hAnsi="Arial"/>
                <w:sz w:val="18"/>
                <w:szCs w:val="18"/>
                <w:color w:val="auto"/>
                <w:w w:val="87"/>
              </w:rPr>
              <w:t>Three months ended</w:t>
            </w:r>
          </w:p>
        </w:tc>
        <w:tc>
          <w:tcPr>
            <w:tcW w:w="38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2000" w:type="dxa"/>
            <w:vAlign w:val="bottom"/>
            <w:tcBorders>
              <w:top w:val="single" w:sz="8" w:color="auto"/>
            </w:tcBorders>
          </w:tcPr>
          <w:p>
            <w:pPr>
              <w:jc w:val="center"/>
              <w:ind w:right="270"/>
              <w:spacing w:after="0"/>
              <w:rPr>
                <w:sz w:val="20"/>
                <w:szCs w:val="20"/>
                <w:color w:val="auto"/>
              </w:rPr>
            </w:pPr>
            <w:r>
              <w:rPr>
                <w:rFonts w:ascii="Arial" w:cs="Arial" w:eastAsia="Arial" w:hAnsi="Arial"/>
                <w:sz w:val="18"/>
                <w:szCs w:val="18"/>
                <w:color w:val="auto"/>
                <w:w w:val="89"/>
              </w:rPr>
              <w:t>Nine months ended</w:t>
            </w:r>
          </w:p>
        </w:tc>
      </w:tr>
      <w:tr>
        <w:trPr>
          <w:trHeight w:val="249"/>
        </w:trPr>
        <w:tc>
          <w:tcPr>
            <w:tcW w:w="5780" w:type="dxa"/>
            <w:vAlign w:val="bottom"/>
          </w:tcPr>
          <w:p>
            <w:pPr>
              <w:spacing w:after="0"/>
              <w:rPr>
                <w:sz w:val="21"/>
                <w:szCs w:val="21"/>
                <w:color w:val="auto"/>
              </w:rPr>
            </w:pPr>
          </w:p>
        </w:tc>
        <w:tc>
          <w:tcPr>
            <w:tcW w:w="1840" w:type="dxa"/>
            <w:vAlign w:val="bottom"/>
            <w:tcBorders>
              <w:bottom w:val="single" w:sz="8" w:color="auto"/>
            </w:tcBorders>
          </w:tcPr>
          <w:p>
            <w:pPr>
              <w:jc w:val="center"/>
              <w:ind w:left="170"/>
              <w:spacing w:after="0"/>
              <w:rPr>
                <w:sz w:val="20"/>
                <w:szCs w:val="20"/>
                <w:color w:val="auto"/>
              </w:rPr>
            </w:pPr>
            <w:r>
              <w:rPr>
                <w:rFonts w:ascii="Arial" w:cs="Arial" w:eastAsia="Arial" w:hAnsi="Arial"/>
                <w:sz w:val="18"/>
                <w:szCs w:val="18"/>
                <w:color w:val="auto"/>
                <w:w w:val="84"/>
              </w:rPr>
              <w:t>June 30</w:t>
            </w:r>
          </w:p>
        </w:tc>
        <w:tc>
          <w:tcPr>
            <w:tcW w:w="38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color w:val="auto"/>
                <w:w w:val="87"/>
              </w:rPr>
              <w:t>June 30</w:t>
            </w:r>
          </w:p>
        </w:tc>
      </w:tr>
      <w:tr>
        <w:trPr>
          <w:trHeight w:val="237"/>
        </w:trPr>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184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color w:val="auto"/>
                <w:w w:val="89"/>
              </w:rPr>
              <w:t>2022</w:t>
            </w:r>
          </w:p>
        </w:tc>
        <w:tc>
          <w:tcPr>
            <w:tcW w:w="3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color w:val="auto"/>
                <w:w w:val="89"/>
              </w:rPr>
              <w:t>2022</w:t>
            </w:r>
          </w:p>
        </w:tc>
      </w:tr>
      <w:tr>
        <w:trPr>
          <w:trHeight w:val="211"/>
        </w:trPr>
        <w:tc>
          <w:tcPr>
            <w:tcW w:w="5780" w:type="dxa"/>
            <w:vAlign w:val="bottom"/>
            <w:shd w:val="clear" w:color="auto" w:fill="CFF0FC"/>
          </w:tcPr>
          <w:p>
            <w:pPr>
              <w:ind w:left="100"/>
              <w:spacing w:after="0"/>
              <w:rPr>
                <w:sz w:val="20"/>
                <w:szCs w:val="20"/>
                <w:color w:val="auto"/>
              </w:rPr>
            </w:pPr>
            <w:r>
              <w:rPr>
                <w:rFonts w:ascii="Arial" w:cs="Arial" w:eastAsia="Arial" w:hAnsi="Arial"/>
                <w:sz w:val="18"/>
                <w:szCs w:val="18"/>
                <w:b w:val="1"/>
                <w:bCs w:val="1"/>
                <w:color w:val="auto"/>
              </w:rPr>
              <w:t>Income (loss) from discontinued operations attributable to</w:t>
            </w:r>
          </w:p>
        </w:tc>
        <w:tc>
          <w:tcPr>
            <w:tcW w:w="18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0" w:type="dxa"/>
            <w:vAlign w:val="bottom"/>
            <w:shd w:val="clear" w:color="auto" w:fill="CFF0FC"/>
          </w:tcPr>
          <w:p>
            <w:pPr>
              <w:spacing w:after="0"/>
              <w:rPr>
                <w:sz w:val="18"/>
                <w:szCs w:val="18"/>
                <w:color w:val="auto"/>
              </w:rPr>
            </w:pPr>
          </w:p>
        </w:tc>
      </w:tr>
      <w:tr>
        <w:trPr>
          <w:trHeight w:val="248"/>
        </w:trPr>
        <w:tc>
          <w:tcPr>
            <w:tcW w:w="5780" w:type="dxa"/>
            <w:vAlign w:val="bottom"/>
            <w:shd w:val="clear" w:color="auto" w:fill="CFF0FC"/>
          </w:tcPr>
          <w:p>
            <w:pPr>
              <w:ind w:left="100"/>
              <w:spacing w:after="0"/>
              <w:rPr>
                <w:sz w:val="20"/>
                <w:szCs w:val="20"/>
                <w:color w:val="auto"/>
              </w:rPr>
            </w:pPr>
            <w:r>
              <w:rPr>
                <w:rFonts w:ascii="Arial" w:cs="Arial" w:eastAsia="Arial" w:hAnsi="Arial"/>
                <w:sz w:val="18"/>
                <w:szCs w:val="18"/>
                <w:b w:val="1"/>
                <w:bCs w:val="1"/>
                <w:color w:val="auto"/>
              </w:rPr>
              <w:t>Performance Adhesives</w:t>
            </w:r>
          </w:p>
        </w:tc>
        <w:tc>
          <w:tcPr>
            <w:tcW w:w="18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0" w:type="dxa"/>
            <w:vAlign w:val="bottom"/>
            <w:shd w:val="clear" w:color="auto" w:fill="CFF0FC"/>
          </w:tcPr>
          <w:p>
            <w:pPr>
              <w:spacing w:after="0"/>
              <w:rPr>
                <w:sz w:val="21"/>
                <w:szCs w:val="21"/>
                <w:color w:val="auto"/>
              </w:rPr>
            </w:pPr>
          </w:p>
        </w:tc>
      </w:tr>
      <w:tr>
        <w:trPr>
          <w:trHeight w:val="237"/>
        </w:trPr>
        <w:tc>
          <w:tcPr>
            <w:tcW w:w="5780" w:type="dxa"/>
            <w:vAlign w:val="bottom"/>
          </w:tcPr>
          <w:p>
            <w:pPr>
              <w:ind w:left="200"/>
              <w:spacing w:after="0"/>
              <w:rPr>
                <w:sz w:val="20"/>
                <w:szCs w:val="20"/>
                <w:color w:val="auto"/>
              </w:rPr>
            </w:pPr>
            <w:r>
              <w:rPr>
                <w:rFonts w:ascii="Arial" w:cs="Arial" w:eastAsia="Arial" w:hAnsi="Arial"/>
                <w:sz w:val="18"/>
                <w:szCs w:val="18"/>
                <w:color w:val="auto"/>
              </w:rPr>
              <w:t>Sales</w:t>
            </w:r>
          </w:p>
        </w:tc>
        <w:tc>
          <w:tcPr>
            <w:tcW w:w="1840" w:type="dxa"/>
            <w:vAlign w:val="bottom"/>
          </w:tcPr>
          <w:p>
            <w:pPr>
              <w:jc w:val="right"/>
              <w:ind w:right="1650"/>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50"/>
              <w:spacing w:after="0"/>
              <w:rPr>
                <w:sz w:val="20"/>
                <w:szCs w:val="20"/>
                <w:color w:val="auto"/>
              </w:rPr>
            </w:pPr>
            <w:r>
              <w:rPr>
                <w:rFonts w:ascii="Arial" w:cs="Arial" w:eastAsia="Arial" w:hAnsi="Arial"/>
                <w:sz w:val="18"/>
                <w:szCs w:val="18"/>
                <w:color w:val="auto"/>
              </w:rPr>
              <w:t>171</w:t>
            </w:r>
          </w:p>
        </w:tc>
      </w:tr>
      <w:tr>
        <w:trPr>
          <w:trHeight w:val="249"/>
        </w:trPr>
        <w:tc>
          <w:tcPr>
            <w:tcW w:w="57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Cost of sales</w:t>
            </w:r>
          </w:p>
        </w:tc>
        <w:tc>
          <w:tcPr>
            <w:tcW w:w="184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(122 )</w:t>
            </w:r>
          </w:p>
        </w:tc>
      </w:tr>
      <w:tr>
        <w:trPr>
          <w:trHeight w:val="237"/>
        </w:trPr>
        <w:tc>
          <w:tcPr>
            <w:tcW w:w="5780" w:type="dxa"/>
            <w:vAlign w:val="bottom"/>
          </w:tcPr>
          <w:p>
            <w:pPr>
              <w:ind w:left="200"/>
              <w:spacing w:after="0"/>
              <w:rPr>
                <w:sz w:val="20"/>
                <w:szCs w:val="20"/>
                <w:color w:val="auto"/>
              </w:rPr>
            </w:pPr>
            <w:r>
              <w:rPr>
                <w:rFonts w:ascii="Arial" w:cs="Arial" w:eastAsia="Arial" w:hAnsi="Arial"/>
                <w:sz w:val="18"/>
                <w:szCs w:val="18"/>
                <w:color w:val="auto"/>
              </w:rPr>
              <w:t>Selling, general and administrative expense</w:t>
            </w:r>
          </w:p>
        </w:tc>
        <w:tc>
          <w:tcPr>
            <w:tcW w:w="18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(1 )</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(12 )</w:t>
            </w:r>
          </w:p>
        </w:tc>
      </w:tr>
      <w:tr>
        <w:trPr>
          <w:trHeight w:val="249"/>
        </w:trPr>
        <w:tc>
          <w:tcPr>
            <w:tcW w:w="57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Research and development expense</w:t>
            </w:r>
          </w:p>
        </w:tc>
        <w:tc>
          <w:tcPr>
            <w:tcW w:w="1840" w:type="dxa"/>
            <w:vAlign w:val="bottom"/>
            <w:tcBorders>
              <w:bottom w:val="single" w:sz="8" w:color="auto"/>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2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(3 )</w:t>
            </w:r>
          </w:p>
        </w:tc>
      </w:tr>
      <w:tr>
        <w:trPr>
          <w:trHeight w:val="230"/>
        </w:trPr>
        <w:tc>
          <w:tcPr>
            <w:tcW w:w="5780" w:type="dxa"/>
            <w:vAlign w:val="bottom"/>
          </w:tcPr>
          <w:p>
            <w:pPr>
              <w:ind w:left="200"/>
              <w:spacing w:after="0"/>
              <w:rPr>
                <w:sz w:val="20"/>
                <w:szCs w:val="20"/>
                <w:color w:val="auto"/>
              </w:rPr>
            </w:pPr>
            <w:r>
              <w:rPr>
                <w:rFonts w:ascii="Arial" w:cs="Arial" w:eastAsia="Arial" w:hAnsi="Arial"/>
                <w:sz w:val="18"/>
                <w:szCs w:val="18"/>
                <w:color w:val="auto"/>
              </w:rPr>
              <w:t>Pretax income of discontinued operations</w:t>
            </w:r>
          </w:p>
        </w:tc>
        <w:tc>
          <w:tcPr>
            <w:tcW w:w="18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(1 )</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tcPr>
          <w:p>
            <w:pPr>
              <w:jc w:val="right"/>
              <w:ind w:right="50"/>
              <w:spacing w:after="0"/>
              <w:rPr>
                <w:sz w:val="20"/>
                <w:szCs w:val="20"/>
                <w:color w:val="auto"/>
              </w:rPr>
            </w:pPr>
            <w:r>
              <w:rPr>
                <w:rFonts w:ascii="Arial" w:cs="Arial" w:eastAsia="Arial" w:hAnsi="Arial"/>
                <w:sz w:val="18"/>
                <w:szCs w:val="18"/>
                <w:color w:val="auto"/>
              </w:rPr>
              <w:t>34</w:t>
            </w:r>
          </w:p>
        </w:tc>
      </w:tr>
      <w:tr>
        <w:trPr>
          <w:trHeight w:val="249"/>
        </w:trPr>
        <w:tc>
          <w:tcPr>
            <w:tcW w:w="57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Income tax (expense) benefit</w:t>
            </w:r>
          </w:p>
        </w:tc>
        <w:tc>
          <w:tcPr>
            <w:tcW w:w="1840" w:type="dxa"/>
            <w:vAlign w:val="bottom"/>
            <w:tcBorders>
              <w:bottom w:val="single" w:sz="8" w:color="auto"/>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20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w:t>
            </w:r>
          </w:p>
        </w:tc>
      </w:tr>
      <w:tr>
        <w:trPr>
          <w:trHeight w:val="236"/>
        </w:trPr>
        <w:tc>
          <w:tcPr>
            <w:tcW w:w="5780" w:type="dxa"/>
            <w:vAlign w:val="bottom"/>
          </w:tcPr>
          <w:p>
            <w:pPr>
              <w:ind w:left="200"/>
              <w:spacing w:after="0"/>
              <w:rPr>
                <w:sz w:val="20"/>
                <w:szCs w:val="20"/>
                <w:color w:val="auto"/>
              </w:rPr>
            </w:pPr>
            <w:r>
              <w:rPr>
                <w:rFonts w:ascii="Arial" w:cs="Arial" w:eastAsia="Arial" w:hAnsi="Arial"/>
                <w:sz w:val="18"/>
                <w:szCs w:val="18"/>
                <w:color w:val="auto"/>
              </w:rPr>
              <w:t>Income from discontinued operations</w:t>
            </w:r>
          </w:p>
        </w:tc>
        <w:tc>
          <w:tcPr>
            <w:tcW w:w="1840" w:type="dxa"/>
            <w:vAlign w:val="bottom"/>
          </w:tcPr>
          <w:p>
            <w:pPr>
              <w:jc w:val="right"/>
              <w:ind w:right="1650"/>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4</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50"/>
              <w:spacing w:after="0"/>
              <w:rPr>
                <w:sz w:val="20"/>
                <w:szCs w:val="20"/>
                <w:color w:val="auto"/>
              </w:rPr>
            </w:pPr>
            <w:r>
              <w:rPr>
                <w:rFonts w:ascii="Arial" w:cs="Arial" w:eastAsia="Arial" w:hAnsi="Arial"/>
                <w:sz w:val="18"/>
                <w:szCs w:val="18"/>
                <w:color w:val="auto"/>
              </w:rPr>
              <w:t>38</w:t>
            </w:r>
          </w:p>
        </w:tc>
      </w:tr>
      <w:tr>
        <w:trPr>
          <w:trHeight w:val="20"/>
        </w:trPr>
        <w:tc>
          <w:tcPr>
            <w:tcW w:w="578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r>
      <w:tr>
        <w:trPr>
          <w:trHeight w:val="129"/>
        </w:trPr>
        <w:tc>
          <w:tcPr>
            <w:tcW w:w="5780" w:type="dxa"/>
            <w:vAlign w:val="bottom"/>
            <w:tcBorders>
              <w:bottom w:val="single" w:sz="8" w:color="auto"/>
            </w:tcBorders>
          </w:tcPr>
          <w:p>
            <w:pPr>
              <w:spacing w:after="0"/>
              <w:rPr>
                <w:sz w:val="11"/>
                <w:szCs w:val="11"/>
                <w:color w:val="auto"/>
              </w:rPr>
            </w:pPr>
          </w:p>
        </w:tc>
        <w:tc>
          <w:tcPr>
            <w:tcW w:w="18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00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-607695</wp:posOffset>
            </wp:positionV>
            <wp:extent cx="128905" cy="1631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8905" cy="16319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-290830</wp:posOffset>
            </wp:positionV>
            <wp:extent cx="128905" cy="2914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8905" cy="29146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D – RESTRUCTURING ACTIVITIES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Fiscal 2023 Life Sciences restructuring program</w:t>
      </w:r>
    </w:p>
    <w:p>
      <w:pPr>
        <w:spacing w:after="0" w:line="114" w:lineRule="exact"/>
        <w:rPr>
          <w:sz w:val="20"/>
          <w:szCs w:val="20"/>
          <w:color w:val="auto"/>
        </w:rPr>
      </w:pPr>
    </w:p>
    <w:p>
      <w:pPr>
        <w:jc w:val="both"/>
        <w:ind w:left="380"/>
        <w:spacing w:after="0" w:line="269" w:lineRule="auto"/>
        <w:rPr>
          <w:sz w:val="20"/>
          <w:szCs w:val="20"/>
          <w:color w:val="auto"/>
        </w:rPr>
      </w:pPr>
      <w:r>
        <w:rPr>
          <w:rFonts w:ascii="Arial" w:cs="Arial" w:eastAsia="Arial" w:hAnsi="Arial"/>
          <w:sz w:val="19"/>
          <w:szCs w:val="19"/>
          <w:color w:val="auto"/>
        </w:rPr>
        <w:t>During the December 2022 quarter, Ashland implemented a restructuring program within the Nutraceuticals business of the Life Sciences segment. Ashland recorded severance expense of zero and $1 million during the three and nine months ended June 30, 2023. As of June 30, 2023, the severance reserve associated with this program was less than $1 million.</w:t>
      </w:r>
    </w:p>
    <w:p>
      <w:pPr>
        <w:spacing w:after="0" w:line="56"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Fiscal 2023 company-wide restructuring program</w:t>
      </w:r>
    </w:p>
    <w:p>
      <w:pPr>
        <w:spacing w:after="0" w:line="114" w:lineRule="exact"/>
        <w:rPr>
          <w:sz w:val="20"/>
          <w:szCs w:val="20"/>
          <w:color w:val="auto"/>
        </w:rPr>
      </w:pPr>
    </w:p>
    <w:p>
      <w:pPr>
        <w:jc w:val="both"/>
        <w:ind w:left="380"/>
        <w:spacing w:after="0" w:line="250" w:lineRule="auto"/>
        <w:rPr>
          <w:sz w:val="20"/>
          <w:szCs w:val="20"/>
          <w:color w:val="auto"/>
        </w:rPr>
      </w:pPr>
      <w:r>
        <w:rPr>
          <w:rFonts w:ascii="Arial" w:cs="Arial" w:eastAsia="Arial" w:hAnsi="Arial"/>
          <w:sz w:val="20"/>
          <w:szCs w:val="20"/>
          <w:color w:val="auto"/>
        </w:rPr>
        <w:t>During the current quarter, Ashland implemented additional targeted company-wide restructuring actions to reduce costs. Ashland recorded severance expense of $1 million during the three and nine months ended June 30, 2023. As of June 30, 2023, the severance reserve associated with this program was $1 million.</w:t>
      </w:r>
    </w:p>
    <w:p>
      <w:pPr>
        <w:spacing w:after="0" w:line="200" w:lineRule="exact"/>
        <w:rPr>
          <w:sz w:val="20"/>
          <w:szCs w:val="20"/>
          <w:color w:val="auto"/>
        </w:rPr>
      </w:pPr>
    </w:p>
    <w:p>
      <w:pPr>
        <w:spacing w:after="0" w:line="21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447" w:right="71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color w:val="auto"/>
        </w:rPr>
        <w:t>NOTE E – FAIR VALUE MEASUREMENTS</w:t>
      </w:r>
    </w:p>
    <w:p>
      <w:pPr>
        <w:spacing w:after="0" w:line="114" w:lineRule="exact"/>
        <w:rPr>
          <w:sz w:val="20"/>
          <w:szCs w:val="20"/>
          <w:color w:val="auto"/>
        </w:rPr>
      </w:pPr>
    </w:p>
    <w:p>
      <w:pPr>
        <w:jc w:val="both"/>
        <w:ind w:left="380" w:right="40"/>
        <w:spacing w:after="0" w:line="270" w:lineRule="auto"/>
        <w:rPr>
          <w:sz w:val="20"/>
          <w:szCs w:val="20"/>
          <w:color w:val="auto"/>
        </w:rPr>
      </w:pPr>
      <w:r>
        <w:rPr>
          <w:rFonts w:ascii="Arial" w:cs="Arial" w:eastAsia="Arial" w:hAnsi="Arial"/>
          <w:sz w:val="18"/>
          <w:szCs w:val="18"/>
          <w:color w:val="auto"/>
        </w:rPr>
        <w:t>Ashland uses applicable guidance for defining fair value, the initial recording and periodic remeasurement of certain assets and liabilities measured at fair value and related disclosures for instruments measured at fair value. Fair value accounting guidance establishes a fair value hierarchy, which prioritizes the inputs to valuation techniques used to measure fair value into three broad levels. The fair value hierarchy gives the highest priority to quoted prices in active markets for identical assets or liabilities (Level</w:t>
      </w:r>
    </w:p>
    <w:p>
      <w:pPr>
        <w:spacing w:after="0" w:line="3" w:lineRule="exact"/>
        <w:rPr>
          <w:sz w:val="20"/>
          <w:szCs w:val="20"/>
          <w:color w:val="auto"/>
        </w:rPr>
      </w:pPr>
    </w:p>
    <w:p>
      <w:pPr>
        <w:ind w:left="380" w:right="40" w:firstLine="2"/>
        <w:spacing w:after="0" w:line="244" w:lineRule="auto"/>
        <w:tabs>
          <w:tab w:leader="none" w:pos="605" w:val="left"/>
        </w:tabs>
        <w:numPr>
          <w:ilvl w:val="0"/>
          <w:numId w:val="5"/>
        </w:numPr>
        <w:rPr>
          <w:rFonts w:ascii="Arial" w:cs="Arial" w:eastAsia="Arial" w:hAnsi="Arial"/>
          <w:sz w:val="20"/>
          <w:szCs w:val="20"/>
          <w:color w:val="auto"/>
        </w:rPr>
      </w:pPr>
      <w:r>
        <w:rPr>
          <w:rFonts w:ascii="Arial" w:cs="Arial" w:eastAsia="Arial" w:hAnsi="Arial"/>
          <w:sz w:val="20"/>
          <w:szCs w:val="20"/>
          <w:color w:val="auto"/>
        </w:rPr>
        <w:t>and the lowest priority to unobservable inputs (Level 3). An instrument’s categorization within the fair value hierarchy is based upon the lowest level of input that is significant to the instrument’s fair value measurement.</w:t>
      </w:r>
    </w:p>
    <w:p>
      <w:pPr>
        <w:spacing w:after="0" w:line="83" w:lineRule="exact"/>
        <w:rPr>
          <w:sz w:val="20"/>
          <w:szCs w:val="20"/>
          <w:color w:val="auto"/>
        </w:rPr>
      </w:pPr>
    </w:p>
    <w:p>
      <w:pPr>
        <w:jc w:val="both"/>
        <w:ind w:left="380" w:right="40"/>
        <w:spacing w:after="0" w:line="259" w:lineRule="auto"/>
        <w:rPr>
          <w:sz w:val="20"/>
          <w:szCs w:val="20"/>
          <w:color w:val="auto"/>
        </w:rPr>
      </w:pPr>
      <w:r>
        <w:rPr>
          <w:rFonts w:ascii="Arial" w:cs="Arial" w:eastAsia="Arial" w:hAnsi="Arial"/>
          <w:sz w:val="19"/>
          <w:szCs w:val="19"/>
          <w:color w:val="auto"/>
        </w:rPr>
        <w:t>For assets that are measured using quoted prices in active markets (Level 1), the total fair value is the published market price per unit multiplied by the number of units held without consideration of transaction costs. Assets and liabilities that are measured using significant other observable inputs (Level 2) are primarily valued by reference to quoted prices of similar assets or liabilities in active markets, adjusted for any terms specific to that asset or liability. For all other assets and liabilities for which unobservable inputs are used (Level 3), fair value is derived using fair value models, such as a discounted cash flow model or other standard pricing models that Ashland deems reasonable.</w:t>
      </w:r>
    </w:p>
    <w:p>
      <w:pPr>
        <w:spacing w:after="0" w:line="70" w:lineRule="exact"/>
        <w:rPr>
          <w:sz w:val="20"/>
          <w:szCs w:val="20"/>
          <w:color w:val="auto"/>
        </w:rPr>
      </w:pPr>
    </w:p>
    <w:p>
      <w:pPr>
        <w:ind w:left="380"/>
        <w:spacing w:after="0"/>
        <w:rPr>
          <w:sz w:val="20"/>
          <w:szCs w:val="20"/>
          <w:color w:val="auto"/>
        </w:rPr>
      </w:pPr>
      <w:r>
        <w:rPr>
          <w:rFonts w:ascii="Arial" w:cs="Arial" w:eastAsia="Arial" w:hAnsi="Arial"/>
          <w:sz w:val="19"/>
          <w:szCs w:val="19"/>
          <w:color w:val="auto"/>
        </w:rPr>
        <w:t>The following table summarizes financial instruments subject to recurring fair value measurements as of June 30, 2023.</w:t>
      </w:r>
    </w:p>
    <w:p>
      <w:pPr>
        <w:spacing w:after="0" w:line="156" w:lineRule="exact"/>
        <w:rPr>
          <w:sz w:val="20"/>
          <w:szCs w:val="20"/>
          <w:color w:val="auto"/>
        </w:rPr>
      </w:pPr>
    </w:p>
    <w:tbl>
      <w:tblPr>
        <w:tblLayout w:type="fixed"/>
        <w:tblInd w:w="340" w:type="dxa"/>
        <w:tblCellMar>
          <w:top w:w="0" w:type="dxa"/>
          <w:left w:w="0" w:type="dxa"/>
          <w:bottom w:w="0" w:type="dxa"/>
          <w:right w:w="0" w:type="dxa"/>
        </w:tblCellMar>
      </w:tblPr>
      <w:tr>
        <w:trPr>
          <w:trHeight w:val="229"/>
        </w:trPr>
        <w:tc>
          <w:tcPr>
            <w:tcW w:w="40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center"/>
              <w:ind w:right="170"/>
              <w:spacing w:after="0"/>
              <w:rPr>
                <w:sz w:val="20"/>
                <w:szCs w:val="20"/>
                <w:color w:val="auto"/>
              </w:rPr>
            </w:pPr>
            <w:r>
              <w:rPr>
                <w:rFonts w:ascii="Arial" w:cs="Arial" w:eastAsia="Arial" w:hAnsi="Arial"/>
                <w:sz w:val="18"/>
                <w:szCs w:val="18"/>
                <w:color w:val="auto"/>
                <w:w w:val="89"/>
              </w:rPr>
              <w:t>Quoted prices</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r>
      <w:tr>
        <w:trPr>
          <w:trHeight w:val="216"/>
        </w:trPr>
        <w:tc>
          <w:tcPr>
            <w:tcW w:w="4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center"/>
              <w:ind w:right="150"/>
              <w:spacing w:after="0"/>
              <w:rPr>
                <w:sz w:val="20"/>
                <w:szCs w:val="20"/>
                <w:color w:val="auto"/>
              </w:rPr>
            </w:pPr>
            <w:r>
              <w:rPr>
                <w:rFonts w:ascii="Arial" w:cs="Arial" w:eastAsia="Arial" w:hAnsi="Arial"/>
                <w:sz w:val="18"/>
                <w:szCs w:val="18"/>
                <w:color w:val="auto"/>
                <w:w w:val="93"/>
              </w:rPr>
              <w:t>in active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150"/>
              <w:spacing w:after="0"/>
              <w:rPr>
                <w:sz w:val="20"/>
                <w:szCs w:val="20"/>
                <w:color w:val="auto"/>
              </w:rPr>
            </w:pPr>
            <w:r>
              <w:rPr>
                <w:rFonts w:ascii="Arial" w:cs="Arial" w:eastAsia="Arial" w:hAnsi="Arial"/>
                <w:sz w:val="18"/>
                <w:szCs w:val="18"/>
                <w:color w:val="auto"/>
                <w:w w:val="96"/>
              </w:rPr>
              <w:t>Significant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4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center"/>
              <w:ind w:right="150"/>
              <w:spacing w:after="0"/>
              <w:rPr>
                <w:sz w:val="20"/>
                <w:szCs w:val="20"/>
                <w:color w:val="auto"/>
              </w:rPr>
            </w:pPr>
            <w:r>
              <w:rPr>
                <w:rFonts w:ascii="Arial" w:cs="Arial" w:eastAsia="Arial" w:hAnsi="Arial"/>
                <w:sz w:val="18"/>
                <w:szCs w:val="18"/>
                <w:color w:val="auto"/>
                <w:w w:val="91"/>
              </w:rPr>
              <w:t>markets for</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150"/>
              <w:spacing w:after="0"/>
              <w:rPr>
                <w:sz w:val="20"/>
                <w:szCs w:val="20"/>
                <w:color w:val="auto"/>
              </w:rPr>
            </w:pPr>
            <w:r>
              <w:rPr>
                <w:rFonts w:ascii="Arial" w:cs="Arial" w:eastAsia="Arial" w:hAnsi="Arial"/>
                <w:sz w:val="18"/>
                <w:szCs w:val="18"/>
                <w:color w:val="auto"/>
                <w:w w:val="87"/>
              </w:rPr>
              <w:t>other</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color w:val="auto"/>
                <w:w w:val="93"/>
              </w:rPr>
              <w:t>Significant</w:t>
            </w:r>
          </w:p>
        </w:tc>
      </w:tr>
      <w:tr>
        <w:trPr>
          <w:trHeight w:val="216"/>
        </w:trPr>
        <w:tc>
          <w:tcPr>
            <w:tcW w:w="4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center"/>
              <w:ind w:right="210"/>
              <w:spacing w:after="0"/>
              <w:rPr>
                <w:sz w:val="20"/>
                <w:szCs w:val="20"/>
                <w:color w:val="auto"/>
              </w:rPr>
            </w:pPr>
            <w:r>
              <w:rPr>
                <w:rFonts w:ascii="Arial" w:cs="Arial" w:eastAsia="Arial" w:hAnsi="Arial"/>
                <w:sz w:val="18"/>
                <w:szCs w:val="18"/>
                <w:color w:val="auto"/>
                <w:w w:val="94"/>
              </w:rPr>
              <w:t>Total</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center"/>
              <w:ind w:right="150"/>
              <w:spacing w:after="0"/>
              <w:rPr>
                <w:sz w:val="20"/>
                <w:szCs w:val="20"/>
                <w:color w:val="auto"/>
              </w:rPr>
            </w:pPr>
            <w:r>
              <w:rPr>
                <w:rFonts w:ascii="Arial" w:cs="Arial" w:eastAsia="Arial" w:hAnsi="Arial"/>
                <w:sz w:val="18"/>
                <w:szCs w:val="18"/>
                <w:color w:val="auto"/>
                <w:w w:val="93"/>
              </w:rPr>
              <w:t>identical</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130"/>
              <w:spacing w:after="0"/>
              <w:rPr>
                <w:sz w:val="20"/>
                <w:szCs w:val="20"/>
                <w:color w:val="auto"/>
              </w:rPr>
            </w:pPr>
            <w:r>
              <w:rPr>
                <w:rFonts w:ascii="Arial" w:cs="Arial" w:eastAsia="Arial" w:hAnsi="Arial"/>
                <w:sz w:val="18"/>
                <w:szCs w:val="18"/>
                <w:color w:val="auto"/>
                <w:w w:val="88"/>
              </w:rPr>
              <w:t>observable</w:t>
            </w:r>
          </w:p>
        </w:tc>
        <w:tc>
          <w:tcPr>
            <w:tcW w:w="140" w:type="dxa"/>
            <w:vAlign w:val="bottom"/>
          </w:tcPr>
          <w:p>
            <w:pPr>
              <w:spacing w:after="0"/>
              <w:rPr>
                <w:sz w:val="18"/>
                <w:szCs w:val="18"/>
                <w:color w:val="auto"/>
              </w:rPr>
            </w:pPr>
          </w:p>
        </w:tc>
        <w:tc>
          <w:tcPr>
            <w:tcW w:w="1220" w:type="dxa"/>
            <w:vAlign w:val="bottom"/>
            <w:gridSpan w:val="2"/>
          </w:tcPr>
          <w:p>
            <w:pPr>
              <w:jc w:val="center"/>
              <w:ind w:right="50"/>
              <w:spacing w:after="0"/>
              <w:rPr>
                <w:sz w:val="20"/>
                <w:szCs w:val="20"/>
                <w:color w:val="auto"/>
              </w:rPr>
            </w:pPr>
            <w:r>
              <w:rPr>
                <w:rFonts w:ascii="Arial" w:cs="Arial" w:eastAsia="Arial" w:hAnsi="Arial"/>
                <w:sz w:val="18"/>
                <w:szCs w:val="18"/>
                <w:color w:val="auto"/>
                <w:w w:val="88"/>
              </w:rPr>
              <w:t>unobservable</w:t>
            </w:r>
          </w:p>
        </w:tc>
      </w:tr>
      <w:tr>
        <w:trPr>
          <w:trHeight w:val="230"/>
        </w:trPr>
        <w:tc>
          <w:tcPr>
            <w:tcW w:w="4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210"/>
              <w:spacing w:after="0"/>
              <w:rPr>
                <w:sz w:val="20"/>
                <w:szCs w:val="20"/>
                <w:color w:val="auto"/>
              </w:rPr>
            </w:pPr>
            <w:r>
              <w:rPr>
                <w:rFonts w:ascii="Arial" w:cs="Arial" w:eastAsia="Arial" w:hAnsi="Arial"/>
                <w:sz w:val="18"/>
                <w:szCs w:val="18"/>
                <w:color w:val="auto"/>
                <w:w w:val="96"/>
              </w:rPr>
              <w:t>Carrying</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center"/>
              <w:ind w:right="210"/>
              <w:spacing w:after="0"/>
              <w:rPr>
                <w:sz w:val="20"/>
                <w:szCs w:val="20"/>
                <w:color w:val="auto"/>
              </w:rPr>
            </w:pPr>
            <w:r>
              <w:rPr>
                <w:rFonts w:ascii="Arial" w:cs="Arial" w:eastAsia="Arial" w:hAnsi="Arial"/>
                <w:sz w:val="18"/>
                <w:szCs w:val="18"/>
                <w:color w:val="auto"/>
              </w:rPr>
              <w:t>fair</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center"/>
              <w:ind w:right="150"/>
              <w:spacing w:after="0"/>
              <w:rPr>
                <w:sz w:val="20"/>
                <w:szCs w:val="20"/>
                <w:color w:val="auto"/>
              </w:rPr>
            </w:pPr>
            <w:r>
              <w:rPr>
                <w:rFonts w:ascii="Arial" w:cs="Arial" w:eastAsia="Arial" w:hAnsi="Arial"/>
                <w:sz w:val="18"/>
                <w:szCs w:val="18"/>
                <w:color w:val="auto"/>
                <w:w w:val="80"/>
              </w:rPr>
              <w:t>assets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ind w:right="150"/>
              <w:spacing w:after="0"/>
              <w:rPr>
                <w:sz w:val="20"/>
                <w:szCs w:val="20"/>
                <w:color w:val="auto"/>
              </w:rPr>
            </w:pPr>
            <w:r>
              <w:rPr>
                <w:rFonts w:ascii="Arial" w:cs="Arial" w:eastAsia="Arial" w:hAnsi="Arial"/>
                <w:sz w:val="18"/>
                <w:szCs w:val="18"/>
                <w:color w:val="auto"/>
                <w:w w:val="91"/>
              </w:rPr>
              <w:t>inputs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center"/>
              <w:ind w:right="170"/>
              <w:spacing w:after="0"/>
              <w:rPr>
                <w:sz w:val="20"/>
                <w:szCs w:val="20"/>
                <w:color w:val="auto"/>
              </w:rPr>
            </w:pPr>
            <w:r>
              <w:rPr>
                <w:rFonts w:ascii="Arial" w:cs="Arial" w:eastAsia="Arial" w:hAnsi="Arial"/>
                <w:sz w:val="18"/>
                <w:szCs w:val="18"/>
                <w:color w:val="auto"/>
                <w:w w:val="91"/>
              </w:rPr>
              <w:t>inputs</w:t>
            </w:r>
          </w:p>
        </w:tc>
      </w:tr>
      <w:tr>
        <w:trPr>
          <w:trHeight w:val="250"/>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value</w:t>
            </w:r>
          </w:p>
        </w:tc>
        <w:tc>
          <w:tcPr>
            <w:tcW w:w="1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88"/>
              </w:rPr>
              <w:t>value</w:t>
            </w:r>
          </w:p>
        </w:tc>
        <w:tc>
          <w:tcPr>
            <w:tcW w:w="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2"/>
              </w:rPr>
              <w:t>Level 1</w:t>
            </w: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2"/>
              </w:rPr>
              <w:t>Level 2</w:t>
            </w:r>
          </w:p>
        </w:tc>
        <w:tc>
          <w:tcPr>
            <w:tcW w:w="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2"/>
              </w:rPr>
              <w:t>Level 3</w:t>
            </w:r>
          </w:p>
        </w:tc>
      </w:tr>
      <w:tr>
        <w:trPr>
          <w:trHeight w:val="243"/>
        </w:trPr>
        <w:tc>
          <w:tcPr>
            <w:tcW w:w="40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r>
      <w:tr>
        <w:trPr>
          <w:trHeight w:val="237"/>
        </w:trPr>
        <w:tc>
          <w:tcPr>
            <w:tcW w:w="402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349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349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349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ind w:left="780"/>
              <w:spacing w:after="0"/>
              <w:rPr>
                <w:sz w:val="20"/>
                <w:szCs w:val="20"/>
                <w:color w:val="auto"/>
              </w:rPr>
            </w:pPr>
            <w:r>
              <w:rPr>
                <w:rFonts w:ascii="Arial" w:cs="Arial" w:eastAsia="Arial" w:hAnsi="Arial"/>
                <w:sz w:val="18"/>
                <w:szCs w:val="18"/>
                <w:color w:val="auto"/>
              </w:rPr>
              <w:t>—</w:t>
            </w:r>
          </w:p>
        </w:tc>
      </w:tr>
      <w:tr>
        <w:trPr>
          <w:trHeight w:val="249"/>
        </w:trPr>
        <w:tc>
          <w:tcPr>
            <w:tcW w:w="4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 xml:space="preserve">Restricted investments </w:t>
            </w:r>
            <w:r>
              <w:rPr>
                <w:rFonts w:ascii="Arial" w:cs="Arial" w:eastAsia="Arial" w:hAnsi="Arial"/>
                <w:sz w:val="14"/>
                <w:szCs w:val="14"/>
                <w:color w:val="auto"/>
              </w:rPr>
              <w:t>(a) (b)</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392</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392</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392</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shd w:val="clear" w:color="auto" w:fill="CFF0FC"/>
          </w:tcPr>
          <w:p>
            <w:pPr>
              <w:ind w:left="780"/>
              <w:spacing w:after="0"/>
              <w:rPr>
                <w:sz w:val="20"/>
                <w:szCs w:val="20"/>
                <w:color w:val="auto"/>
              </w:rPr>
            </w:pPr>
            <w:r>
              <w:rPr>
                <w:rFonts w:ascii="Arial" w:cs="Arial" w:eastAsia="Arial" w:hAnsi="Arial"/>
                <w:sz w:val="18"/>
                <w:szCs w:val="18"/>
                <w:color w:val="auto"/>
              </w:rPr>
              <w:t>—</w:t>
            </w:r>
          </w:p>
        </w:tc>
      </w:tr>
      <w:tr>
        <w:trPr>
          <w:trHeight w:val="237"/>
        </w:trPr>
        <w:tc>
          <w:tcPr>
            <w:tcW w:w="4020" w:type="dxa"/>
            <w:vAlign w:val="bottom"/>
          </w:tcPr>
          <w:p>
            <w:pPr>
              <w:ind w:left="20"/>
              <w:spacing w:after="0"/>
              <w:rPr>
                <w:sz w:val="20"/>
                <w:szCs w:val="20"/>
                <w:color w:val="auto"/>
              </w:rPr>
            </w:pPr>
            <w:r>
              <w:rPr>
                <w:rFonts w:ascii="Arial" w:cs="Arial" w:eastAsia="Arial" w:hAnsi="Arial"/>
                <w:sz w:val="18"/>
                <w:szCs w:val="18"/>
                <w:color w:val="auto"/>
              </w:rPr>
              <w:t xml:space="preserve">Investment of captive insurance company </w:t>
            </w:r>
            <w:r>
              <w:rPr>
                <w:rFonts w:ascii="Arial" w:cs="Arial" w:eastAsia="Arial" w:hAnsi="Arial"/>
                <w:sz w:val="14"/>
                <w:szCs w:val="14"/>
                <w:color w:val="auto"/>
              </w:rPr>
              <w:t>(c)</w:t>
            </w:r>
          </w:p>
        </w:tc>
        <w:tc>
          <w:tcPr>
            <w:tcW w:w="160" w:type="dxa"/>
            <w:vAlign w:val="bottom"/>
          </w:tcPr>
          <w:p>
            <w:pPr>
              <w:spacing w:after="0"/>
              <w:rPr>
                <w:sz w:val="20"/>
                <w:szCs w:val="20"/>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ind w:left="780"/>
              <w:spacing w:after="0"/>
              <w:rPr>
                <w:sz w:val="20"/>
                <w:szCs w:val="20"/>
                <w:color w:val="auto"/>
              </w:rPr>
            </w:pPr>
            <w:r>
              <w:rPr>
                <w:rFonts w:ascii="Arial" w:cs="Arial" w:eastAsia="Arial" w:hAnsi="Arial"/>
                <w:sz w:val="18"/>
                <w:szCs w:val="18"/>
                <w:color w:val="auto"/>
              </w:rPr>
              <w:t>—</w:t>
            </w:r>
          </w:p>
        </w:tc>
      </w:tr>
      <w:tr>
        <w:trPr>
          <w:trHeight w:val="249"/>
        </w:trPr>
        <w:tc>
          <w:tcPr>
            <w:tcW w:w="4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 xml:space="preserve">Foreign currency derivatives </w:t>
            </w:r>
            <w:r>
              <w:rPr>
                <w:rFonts w:ascii="Arial" w:cs="Arial" w:eastAsia="Arial" w:hAnsi="Arial"/>
                <w:sz w:val="14"/>
                <w:szCs w:val="14"/>
                <w:color w:val="auto"/>
              </w:rPr>
              <w:t>(d)</w:t>
            </w:r>
          </w:p>
        </w:tc>
        <w:tc>
          <w:tcPr>
            <w:tcW w:w="1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ind w:left="780"/>
              <w:spacing w:after="0"/>
              <w:rPr>
                <w:sz w:val="20"/>
                <w:szCs w:val="20"/>
                <w:color w:val="auto"/>
              </w:rPr>
            </w:pPr>
            <w:r>
              <w:rPr>
                <w:rFonts w:ascii="Arial" w:cs="Arial" w:eastAsia="Arial" w:hAnsi="Arial"/>
                <w:sz w:val="18"/>
                <w:szCs w:val="18"/>
                <w:color w:val="auto"/>
              </w:rPr>
              <w:t>—</w:t>
            </w:r>
          </w:p>
        </w:tc>
      </w:tr>
      <w:tr>
        <w:trPr>
          <w:trHeight w:val="236"/>
        </w:trPr>
        <w:tc>
          <w:tcPr>
            <w:tcW w:w="4020" w:type="dxa"/>
            <w:vAlign w:val="bottom"/>
          </w:tcPr>
          <w:p>
            <w:pPr>
              <w:ind w:left="20"/>
              <w:spacing w:after="0"/>
              <w:rPr>
                <w:sz w:val="20"/>
                <w:szCs w:val="20"/>
                <w:color w:val="auto"/>
              </w:rPr>
            </w:pPr>
            <w:r>
              <w:rPr>
                <w:rFonts w:ascii="Arial" w:cs="Arial" w:eastAsia="Arial" w:hAnsi="Arial"/>
                <w:sz w:val="18"/>
                <w:szCs w:val="18"/>
                <w:color w:val="auto"/>
              </w:rPr>
              <w:t>Total assets at fair value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746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746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745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ind w:left="780"/>
              <w:spacing w:after="0"/>
              <w:rPr>
                <w:sz w:val="20"/>
                <w:szCs w:val="20"/>
                <w:color w:val="auto"/>
              </w:rPr>
            </w:pPr>
            <w:r>
              <w:rPr>
                <w:rFonts w:ascii="Arial" w:cs="Arial" w:eastAsia="Arial" w:hAnsi="Arial"/>
                <w:sz w:val="18"/>
                <w:szCs w:val="18"/>
                <w:color w:val="auto"/>
              </w:rPr>
              <w:t>—</w:t>
            </w:r>
          </w:p>
        </w:tc>
      </w:tr>
      <w:tr>
        <w:trPr>
          <w:trHeight w:val="20"/>
        </w:trPr>
        <w:tc>
          <w:tcPr>
            <w:tcW w:w="4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4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r>
      <w:tr>
        <w:trPr>
          <w:trHeight w:val="239"/>
        </w:trPr>
        <w:tc>
          <w:tcPr>
            <w:tcW w:w="402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47"/>
        </w:trPr>
        <w:tc>
          <w:tcPr>
            <w:tcW w:w="4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 xml:space="preserve">Foreign currency derivatives </w:t>
            </w:r>
            <w:r>
              <w:rPr>
                <w:rFonts w:ascii="Arial" w:cs="Arial" w:eastAsia="Arial" w:hAnsi="Arial"/>
                <w:sz w:val="14"/>
                <w:szCs w:val="14"/>
                <w:color w:val="auto"/>
              </w:rPr>
              <w:t>(e)</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ind w:left="780"/>
              <w:spacing w:after="0"/>
              <w:rPr>
                <w:sz w:val="20"/>
                <w:szCs w:val="20"/>
                <w:color w:val="auto"/>
              </w:rPr>
            </w:pPr>
            <w:r>
              <w:rPr>
                <w:rFonts w:ascii="Arial" w:cs="Arial" w:eastAsia="Arial" w:hAnsi="Arial"/>
                <w:sz w:val="18"/>
                <w:szCs w:val="18"/>
                <w:color w:val="auto"/>
              </w:rPr>
              <w:t>—</w:t>
            </w:r>
          </w:p>
        </w:tc>
      </w:tr>
      <w:tr>
        <w:trPr>
          <w:trHeight w:val="243"/>
        </w:trPr>
        <w:tc>
          <w:tcPr>
            <w:tcW w:w="4020" w:type="dxa"/>
            <w:vAlign w:val="bottom"/>
          </w:tcPr>
          <w:p>
            <w:pPr>
              <w:ind w:left="20"/>
              <w:spacing w:after="0"/>
              <w:rPr>
                <w:sz w:val="20"/>
                <w:szCs w:val="20"/>
                <w:color w:val="auto"/>
              </w:rPr>
            </w:pPr>
            <w:r>
              <w:rPr>
                <w:rFonts w:ascii="Arial" w:cs="Arial" w:eastAsia="Arial" w:hAnsi="Arial"/>
                <w:sz w:val="18"/>
                <w:szCs w:val="18"/>
                <w:color w:val="auto"/>
              </w:rPr>
              <w:t xml:space="preserve">Commodity derivatives </w:t>
            </w:r>
            <w:r>
              <w:rPr>
                <w:rFonts w:ascii="Arial" w:cs="Arial" w:eastAsia="Arial" w:hAnsi="Arial"/>
                <w:sz w:val="14"/>
                <w:szCs w:val="14"/>
                <w:color w:val="auto"/>
              </w:rPr>
              <w:t>(e)</w:t>
            </w: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w:t>
            </w:r>
          </w:p>
        </w:tc>
      </w:tr>
      <w:tr>
        <w:trPr>
          <w:trHeight w:val="277"/>
        </w:trPr>
        <w:tc>
          <w:tcPr>
            <w:tcW w:w="4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liabilities at fair value</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w:t>
            </w:r>
          </w:p>
        </w:tc>
        <w:tc>
          <w:tcPr>
            <w:tcW w:w="1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w:t>
            </w:r>
          </w:p>
        </w:tc>
        <w:tc>
          <w:tcPr>
            <w:tcW w:w="1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w:t>
            </w:r>
          </w:p>
        </w:tc>
        <w:tc>
          <w:tcPr>
            <w:tcW w:w="1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ind w:left="780"/>
              <w:spacing w:after="0"/>
              <w:rPr>
                <w:sz w:val="20"/>
                <w:szCs w:val="20"/>
                <w:color w:val="auto"/>
              </w:rPr>
            </w:pPr>
            <w:r>
              <w:rPr>
                <w:rFonts w:ascii="Arial" w:cs="Arial" w:eastAsia="Arial" w:hAnsi="Arial"/>
                <w:sz w:val="18"/>
                <w:szCs w:val="18"/>
                <w:color w:val="auto"/>
              </w:rPr>
              <w:t>—</w:t>
            </w:r>
          </w:p>
        </w:tc>
      </w:tr>
      <w:tr>
        <w:trPr>
          <w:trHeight w:val="75"/>
        </w:trPr>
        <w:tc>
          <w:tcPr>
            <w:tcW w:w="40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3494405</wp:posOffset>
            </wp:positionH>
            <wp:positionV relativeFrom="paragraph">
              <wp:posOffset>-1062355</wp:posOffset>
            </wp:positionV>
            <wp:extent cx="85725" cy="1885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-1062355</wp:posOffset>
            </wp:positionV>
            <wp:extent cx="85725" cy="1885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-1062355</wp:posOffset>
            </wp:positionV>
            <wp:extent cx="85725" cy="1885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-1062355</wp:posOffset>
            </wp:positionV>
            <wp:extent cx="85725" cy="1885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-93345</wp:posOffset>
            </wp:positionV>
            <wp:extent cx="857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-93345</wp:posOffset>
            </wp:positionV>
            <wp:extent cx="857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-93345</wp:posOffset>
            </wp:positionV>
            <wp:extent cx="857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-93345</wp:posOffset>
            </wp:positionV>
            <wp:extent cx="857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-76200</wp:posOffset>
            </wp:positionV>
            <wp:extent cx="85725" cy="768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5725" cy="7683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-76200</wp:posOffset>
            </wp:positionV>
            <wp:extent cx="85725" cy="768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5725" cy="7683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-76200</wp:posOffset>
            </wp:positionV>
            <wp:extent cx="85725" cy="768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5725" cy="7683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-76200</wp:posOffset>
            </wp:positionV>
            <wp:extent cx="85725" cy="768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5725" cy="76835"/>
                    </a:xfrm>
                    <a:prstGeom prst="rect">
                      <a:avLst/>
                    </a:prstGeom>
                    <a:noFill/>
                  </pic:spPr>
                </pic:pic>
              </a:graphicData>
            </a:graphic>
          </wp:anchor>
        </w:drawing>
      </w:r>
    </w:p>
    <w:p>
      <w:pPr>
        <w:spacing w:after="0" w:line="69" w:lineRule="exact"/>
        <w:rPr>
          <w:sz w:val="20"/>
          <w:szCs w:val="20"/>
          <w:color w:val="auto"/>
        </w:rPr>
      </w:pPr>
    </w:p>
    <w:p>
      <w:pPr>
        <w:ind w:left="740" w:hanging="358"/>
        <w:spacing w:after="0"/>
        <w:tabs>
          <w:tab w:leader="none" w:pos="74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Included in restricted investments and $71 million within other current assets in the Condensed Consolidated Balance Sheets.</w:t>
      </w:r>
    </w:p>
    <w:p>
      <w:pPr>
        <w:spacing w:after="0" w:line="28" w:lineRule="exact"/>
        <w:rPr>
          <w:rFonts w:ascii="Arial" w:cs="Arial" w:eastAsia="Arial" w:hAnsi="Arial"/>
          <w:sz w:val="14"/>
          <w:szCs w:val="14"/>
          <w:color w:val="auto"/>
        </w:rPr>
      </w:pPr>
    </w:p>
    <w:p>
      <w:pPr>
        <w:ind w:left="740" w:hanging="358"/>
        <w:spacing w:after="0"/>
        <w:tabs>
          <w:tab w:leader="none" w:pos="74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$265 million related to the Asbestos trust and $127 million related to the Environmental trust.</w:t>
      </w:r>
    </w:p>
    <w:p>
      <w:pPr>
        <w:spacing w:after="0" w:line="21" w:lineRule="exact"/>
        <w:rPr>
          <w:rFonts w:ascii="Arial" w:cs="Arial" w:eastAsia="Arial" w:hAnsi="Arial"/>
          <w:sz w:val="14"/>
          <w:szCs w:val="14"/>
          <w:color w:val="auto"/>
        </w:rPr>
      </w:pPr>
    </w:p>
    <w:p>
      <w:pPr>
        <w:ind w:left="740" w:hanging="358"/>
        <w:spacing w:after="0"/>
        <w:tabs>
          <w:tab w:leader="none" w:pos="74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Included in other noncurrent assets in the Condensed Consolidated Balance Sheets.</w:t>
      </w:r>
    </w:p>
    <w:p>
      <w:pPr>
        <w:spacing w:after="0" w:line="21" w:lineRule="exact"/>
        <w:rPr>
          <w:rFonts w:ascii="Arial" w:cs="Arial" w:eastAsia="Arial" w:hAnsi="Arial"/>
          <w:sz w:val="14"/>
          <w:szCs w:val="14"/>
          <w:color w:val="auto"/>
        </w:rPr>
      </w:pPr>
    </w:p>
    <w:p>
      <w:pPr>
        <w:ind w:left="740" w:hanging="358"/>
        <w:spacing w:after="0"/>
        <w:tabs>
          <w:tab w:leader="none" w:pos="74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Included in accounts receivable in the Condensed Consolidated Balance Sheets.</w:t>
      </w:r>
    </w:p>
    <w:p>
      <w:pPr>
        <w:spacing w:after="0" w:line="28" w:lineRule="exact"/>
        <w:rPr>
          <w:rFonts w:ascii="Arial" w:cs="Arial" w:eastAsia="Arial" w:hAnsi="Arial"/>
          <w:sz w:val="14"/>
          <w:szCs w:val="14"/>
          <w:color w:val="auto"/>
        </w:rPr>
      </w:pPr>
    </w:p>
    <w:p>
      <w:pPr>
        <w:ind w:left="740" w:hanging="358"/>
        <w:spacing w:after="0"/>
        <w:tabs>
          <w:tab w:leader="none" w:pos="74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Included in accrued expenses and other liabilities in the Condensed Consolidated Balance Sheets.</w:t>
      </w:r>
    </w:p>
    <w:p>
      <w:pPr>
        <w:spacing w:after="0" w:line="10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333" w:right="679" w:bottom="1440" w:gutter="0" w:footer="0" w:header="0"/>
        </w:sectPr>
      </w:pPr>
    </w:p>
    <w:bookmarkStart w:id="8" w:name="page9"/>
    <w:bookmarkEnd w:id="8"/>
    <w:p>
      <w:pPr>
        <w:ind w:left="380"/>
        <w:spacing w:after="0"/>
        <w:rPr>
          <w:sz w:val="20"/>
          <w:szCs w:val="20"/>
          <w:color w:val="auto"/>
        </w:rPr>
      </w:pPr>
      <w:r>
        <w:rPr>
          <w:rFonts w:ascii="Arial" w:cs="Arial" w:eastAsia="Arial" w:hAnsi="Arial"/>
          <w:sz w:val="18"/>
          <w:szCs w:val="18"/>
          <w:color w:val="auto"/>
        </w:rPr>
        <w:t>The following table summarizes financial asset instruments subject to recurring fair value measurements as of September 30, 2022.</w:t>
      </w:r>
    </w:p>
    <w:p>
      <w:pPr>
        <w:spacing w:after="0" w:line="168" w:lineRule="exact"/>
        <w:rPr>
          <w:sz w:val="20"/>
          <w:szCs w:val="20"/>
          <w:color w:val="auto"/>
        </w:rPr>
      </w:pPr>
    </w:p>
    <w:tbl>
      <w:tblPr>
        <w:tblLayout w:type="fixed"/>
        <w:tblInd w:w="340" w:type="dxa"/>
        <w:tblCellMar>
          <w:top w:w="0" w:type="dxa"/>
          <w:left w:w="0" w:type="dxa"/>
          <w:bottom w:w="0" w:type="dxa"/>
          <w:right w:w="0" w:type="dxa"/>
        </w:tblCellMar>
      </w:tblPr>
      <w:tr>
        <w:trPr>
          <w:trHeight w:val="229"/>
        </w:trPr>
        <w:tc>
          <w:tcPr>
            <w:tcW w:w="40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gridSpan w:val="2"/>
          </w:tcPr>
          <w:p>
            <w:pPr>
              <w:jc w:val="center"/>
              <w:ind w:right="50"/>
              <w:spacing w:after="0"/>
              <w:rPr>
                <w:sz w:val="20"/>
                <w:szCs w:val="20"/>
                <w:color w:val="auto"/>
              </w:rPr>
            </w:pPr>
            <w:r>
              <w:rPr>
                <w:rFonts w:ascii="Arial" w:cs="Arial" w:eastAsia="Arial" w:hAnsi="Arial"/>
                <w:sz w:val="18"/>
                <w:szCs w:val="18"/>
                <w:color w:val="auto"/>
                <w:w w:val="90"/>
              </w:rPr>
              <w:t>Quoted prices</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r>
      <w:tr>
        <w:trPr>
          <w:trHeight w:val="216"/>
        </w:trPr>
        <w:tc>
          <w:tcPr>
            <w:tcW w:w="4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center"/>
              <w:ind w:right="190"/>
              <w:spacing w:after="0"/>
              <w:rPr>
                <w:sz w:val="20"/>
                <w:szCs w:val="20"/>
                <w:color w:val="auto"/>
              </w:rPr>
            </w:pPr>
            <w:r>
              <w:rPr>
                <w:rFonts w:ascii="Arial" w:cs="Arial" w:eastAsia="Arial" w:hAnsi="Arial"/>
                <w:sz w:val="18"/>
                <w:szCs w:val="18"/>
                <w:color w:val="auto"/>
                <w:w w:val="93"/>
              </w:rPr>
              <w:t>in active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ind w:right="150"/>
              <w:spacing w:after="0"/>
              <w:rPr>
                <w:sz w:val="20"/>
                <w:szCs w:val="20"/>
                <w:color w:val="auto"/>
              </w:rPr>
            </w:pPr>
            <w:r>
              <w:rPr>
                <w:rFonts w:ascii="Arial" w:cs="Arial" w:eastAsia="Arial" w:hAnsi="Arial"/>
                <w:sz w:val="18"/>
                <w:szCs w:val="18"/>
                <w:color w:val="auto"/>
                <w:w w:val="93"/>
              </w:rPr>
              <w:t>Significant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4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center"/>
              <w:ind w:right="190"/>
              <w:spacing w:after="0"/>
              <w:rPr>
                <w:sz w:val="20"/>
                <w:szCs w:val="20"/>
                <w:color w:val="auto"/>
              </w:rPr>
            </w:pPr>
            <w:r>
              <w:rPr>
                <w:rFonts w:ascii="Arial" w:cs="Arial" w:eastAsia="Arial" w:hAnsi="Arial"/>
                <w:sz w:val="18"/>
                <w:szCs w:val="18"/>
                <w:color w:val="auto"/>
                <w:w w:val="91"/>
              </w:rPr>
              <w:t>markets for</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ind w:right="150"/>
              <w:spacing w:after="0"/>
              <w:rPr>
                <w:sz w:val="20"/>
                <w:szCs w:val="20"/>
                <w:color w:val="auto"/>
              </w:rPr>
            </w:pPr>
            <w:r>
              <w:rPr>
                <w:rFonts w:ascii="Arial" w:cs="Arial" w:eastAsia="Arial" w:hAnsi="Arial"/>
                <w:sz w:val="18"/>
                <w:szCs w:val="18"/>
                <w:color w:val="auto"/>
                <w:w w:val="92"/>
              </w:rPr>
              <w:t>other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color w:val="auto"/>
                <w:w w:val="93"/>
              </w:rPr>
              <w:t>Significant</w:t>
            </w:r>
          </w:p>
        </w:tc>
      </w:tr>
      <w:tr>
        <w:trPr>
          <w:trHeight w:val="216"/>
        </w:trPr>
        <w:tc>
          <w:tcPr>
            <w:tcW w:w="4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center"/>
              <w:ind w:right="250"/>
              <w:spacing w:after="0"/>
              <w:rPr>
                <w:sz w:val="20"/>
                <w:szCs w:val="20"/>
                <w:color w:val="auto"/>
              </w:rPr>
            </w:pPr>
            <w:r>
              <w:rPr>
                <w:rFonts w:ascii="Arial" w:cs="Arial" w:eastAsia="Arial" w:hAnsi="Arial"/>
                <w:sz w:val="18"/>
                <w:szCs w:val="18"/>
                <w:color w:val="auto"/>
                <w:w w:val="89"/>
              </w:rPr>
              <w:t>Total</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center"/>
              <w:ind w:right="190"/>
              <w:spacing w:after="0"/>
              <w:rPr>
                <w:sz w:val="20"/>
                <w:szCs w:val="20"/>
                <w:color w:val="auto"/>
              </w:rPr>
            </w:pPr>
            <w:r>
              <w:rPr>
                <w:rFonts w:ascii="Arial" w:cs="Arial" w:eastAsia="Arial" w:hAnsi="Arial"/>
                <w:sz w:val="18"/>
                <w:szCs w:val="18"/>
                <w:color w:val="auto"/>
                <w:w w:val="93"/>
              </w:rPr>
              <w:t>identical</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ind w:right="150"/>
              <w:spacing w:after="0"/>
              <w:rPr>
                <w:sz w:val="20"/>
                <w:szCs w:val="20"/>
                <w:color w:val="auto"/>
              </w:rPr>
            </w:pPr>
            <w:r>
              <w:rPr>
                <w:rFonts w:ascii="Arial" w:cs="Arial" w:eastAsia="Arial" w:hAnsi="Arial"/>
                <w:sz w:val="18"/>
                <w:szCs w:val="18"/>
                <w:color w:val="auto"/>
                <w:w w:val="88"/>
              </w:rPr>
              <w:t>observable</w:t>
            </w:r>
          </w:p>
        </w:tc>
        <w:tc>
          <w:tcPr>
            <w:tcW w:w="120" w:type="dxa"/>
            <w:vAlign w:val="bottom"/>
          </w:tcPr>
          <w:p>
            <w:pPr>
              <w:spacing w:after="0"/>
              <w:rPr>
                <w:sz w:val="18"/>
                <w:szCs w:val="18"/>
                <w:color w:val="auto"/>
              </w:rPr>
            </w:pPr>
          </w:p>
        </w:tc>
        <w:tc>
          <w:tcPr>
            <w:tcW w:w="1220" w:type="dxa"/>
            <w:vAlign w:val="bottom"/>
            <w:gridSpan w:val="2"/>
          </w:tcPr>
          <w:p>
            <w:pPr>
              <w:jc w:val="center"/>
              <w:ind w:right="50"/>
              <w:spacing w:after="0"/>
              <w:rPr>
                <w:sz w:val="20"/>
                <w:szCs w:val="20"/>
                <w:color w:val="auto"/>
              </w:rPr>
            </w:pPr>
            <w:r>
              <w:rPr>
                <w:rFonts w:ascii="Arial" w:cs="Arial" w:eastAsia="Arial" w:hAnsi="Arial"/>
                <w:sz w:val="18"/>
                <w:szCs w:val="18"/>
                <w:color w:val="auto"/>
                <w:w w:val="88"/>
              </w:rPr>
              <w:t>unobservable</w:t>
            </w:r>
          </w:p>
        </w:tc>
      </w:tr>
      <w:tr>
        <w:trPr>
          <w:trHeight w:val="230"/>
        </w:trPr>
        <w:tc>
          <w:tcPr>
            <w:tcW w:w="4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210"/>
              <w:spacing w:after="0"/>
              <w:rPr>
                <w:sz w:val="20"/>
                <w:szCs w:val="20"/>
                <w:color w:val="auto"/>
              </w:rPr>
            </w:pPr>
            <w:r>
              <w:rPr>
                <w:rFonts w:ascii="Arial" w:cs="Arial" w:eastAsia="Arial" w:hAnsi="Arial"/>
                <w:sz w:val="18"/>
                <w:szCs w:val="18"/>
                <w:color w:val="auto"/>
                <w:w w:val="96"/>
              </w:rPr>
              <w:t>Carrying</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center"/>
              <w:ind w:right="270"/>
              <w:spacing w:after="0"/>
              <w:rPr>
                <w:sz w:val="20"/>
                <w:szCs w:val="20"/>
                <w:color w:val="auto"/>
              </w:rPr>
            </w:pPr>
            <w:r>
              <w:rPr>
                <w:rFonts w:ascii="Arial" w:cs="Arial" w:eastAsia="Arial" w:hAnsi="Arial"/>
                <w:sz w:val="18"/>
                <w:szCs w:val="18"/>
                <w:color w:val="auto"/>
              </w:rPr>
              <w:t>fair</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center"/>
              <w:ind w:right="190"/>
              <w:spacing w:after="0"/>
              <w:rPr>
                <w:sz w:val="20"/>
                <w:szCs w:val="20"/>
                <w:color w:val="auto"/>
              </w:rPr>
            </w:pPr>
            <w:r>
              <w:rPr>
                <w:rFonts w:ascii="Arial" w:cs="Arial" w:eastAsia="Arial" w:hAnsi="Arial"/>
                <w:sz w:val="18"/>
                <w:szCs w:val="18"/>
                <w:color w:val="auto"/>
                <w:w w:val="80"/>
              </w:rPr>
              <w:t>assets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center"/>
              <w:ind w:right="170"/>
              <w:spacing w:after="0"/>
              <w:rPr>
                <w:sz w:val="20"/>
                <w:szCs w:val="20"/>
                <w:color w:val="auto"/>
              </w:rPr>
            </w:pPr>
            <w:r>
              <w:rPr>
                <w:rFonts w:ascii="Arial" w:cs="Arial" w:eastAsia="Arial" w:hAnsi="Arial"/>
                <w:sz w:val="18"/>
                <w:szCs w:val="18"/>
                <w:color w:val="auto"/>
                <w:w w:val="91"/>
              </w:rPr>
              <w:t>inputs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center"/>
              <w:ind w:right="170"/>
              <w:spacing w:after="0"/>
              <w:rPr>
                <w:sz w:val="20"/>
                <w:szCs w:val="20"/>
                <w:color w:val="auto"/>
              </w:rPr>
            </w:pPr>
            <w:r>
              <w:rPr>
                <w:rFonts w:ascii="Arial" w:cs="Arial" w:eastAsia="Arial" w:hAnsi="Arial"/>
                <w:sz w:val="18"/>
                <w:szCs w:val="18"/>
                <w:color w:val="auto"/>
                <w:w w:val="91"/>
              </w:rPr>
              <w:t>inputs</w:t>
            </w:r>
          </w:p>
        </w:tc>
      </w:tr>
      <w:tr>
        <w:trPr>
          <w:trHeight w:val="250"/>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value</w:t>
            </w:r>
          </w:p>
        </w:tc>
        <w:tc>
          <w:tcPr>
            <w:tcW w:w="1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color w:val="auto"/>
                <w:w w:val="88"/>
              </w:rPr>
              <w:t>value</w:t>
            </w:r>
          </w:p>
        </w:tc>
        <w:tc>
          <w:tcPr>
            <w:tcW w:w="1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92"/>
              </w:rPr>
              <w:t>Level 1</w:t>
            </w: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2"/>
              </w:rPr>
              <w:t>Level 2</w:t>
            </w: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2"/>
              </w:rPr>
              <w:t>Level 3</w:t>
            </w:r>
          </w:p>
        </w:tc>
      </w:tr>
      <w:tr>
        <w:trPr>
          <w:trHeight w:val="243"/>
        </w:trPr>
        <w:tc>
          <w:tcPr>
            <w:tcW w:w="40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r>
      <w:tr>
        <w:trPr>
          <w:trHeight w:val="237"/>
        </w:trPr>
        <w:tc>
          <w:tcPr>
            <w:tcW w:w="402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646</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646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646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ind w:left="780"/>
              <w:spacing w:after="0"/>
              <w:rPr>
                <w:sz w:val="20"/>
                <w:szCs w:val="20"/>
                <w:color w:val="auto"/>
              </w:rPr>
            </w:pPr>
            <w:r>
              <w:rPr>
                <w:rFonts w:ascii="Arial" w:cs="Arial" w:eastAsia="Arial" w:hAnsi="Arial"/>
                <w:sz w:val="18"/>
                <w:szCs w:val="18"/>
                <w:color w:val="auto"/>
              </w:rPr>
              <w:t>—</w:t>
            </w:r>
          </w:p>
        </w:tc>
      </w:tr>
      <w:tr>
        <w:trPr>
          <w:trHeight w:val="249"/>
        </w:trPr>
        <w:tc>
          <w:tcPr>
            <w:tcW w:w="4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 xml:space="preserve">Restricted investments </w:t>
            </w:r>
            <w:r>
              <w:rPr>
                <w:rFonts w:ascii="Arial" w:cs="Arial" w:eastAsia="Arial" w:hAnsi="Arial"/>
                <w:sz w:val="14"/>
                <w:szCs w:val="14"/>
                <w:color w:val="auto"/>
              </w:rPr>
              <w:t>(a) (b)</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374</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374</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374</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shd w:val="clear" w:color="auto" w:fill="CFF0FC"/>
          </w:tcPr>
          <w:p>
            <w:pPr>
              <w:ind w:left="780"/>
              <w:spacing w:after="0"/>
              <w:rPr>
                <w:sz w:val="20"/>
                <w:szCs w:val="20"/>
                <w:color w:val="auto"/>
              </w:rPr>
            </w:pPr>
            <w:r>
              <w:rPr>
                <w:rFonts w:ascii="Arial" w:cs="Arial" w:eastAsia="Arial" w:hAnsi="Arial"/>
                <w:sz w:val="18"/>
                <w:szCs w:val="18"/>
                <w:color w:val="auto"/>
              </w:rPr>
              <w:t>—</w:t>
            </w:r>
          </w:p>
        </w:tc>
      </w:tr>
      <w:tr>
        <w:trPr>
          <w:trHeight w:val="237"/>
        </w:trPr>
        <w:tc>
          <w:tcPr>
            <w:tcW w:w="4020" w:type="dxa"/>
            <w:vAlign w:val="bottom"/>
          </w:tcPr>
          <w:p>
            <w:pPr>
              <w:ind w:left="20"/>
              <w:spacing w:after="0"/>
              <w:rPr>
                <w:sz w:val="20"/>
                <w:szCs w:val="20"/>
                <w:color w:val="auto"/>
              </w:rPr>
            </w:pPr>
            <w:r>
              <w:rPr>
                <w:rFonts w:ascii="Arial" w:cs="Arial" w:eastAsia="Arial" w:hAnsi="Arial"/>
                <w:sz w:val="18"/>
                <w:szCs w:val="18"/>
                <w:color w:val="auto"/>
              </w:rPr>
              <w:t xml:space="preserve">Investment of captive insurance company </w:t>
            </w:r>
            <w:r>
              <w:rPr>
                <w:rFonts w:ascii="Arial" w:cs="Arial" w:eastAsia="Arial" w:hAnsi="Arial"/>
                <w:sz w:val="14"/>
                <w:szCs w:val="14"/>
                <w:color w:val="auto"/>
              </w:rPr>
              <w:t>(c)</w:t>
            </w:r>
          </w:p>
        </w:tc>
        <w:tc>
          <w:tcPr>
            <w:tcW w:w="160" w:type="dxa"/>
            <w:vAlign w:val="bottom"/>
          </w:tcPr>
          <w:p>
            <w:pPr>
              <w:spacing w:after="0"/>
              <w:rPr>
                <w:sz w:val="20"/>
                <w:szCs w:val="20"/>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ind w:left="780"/>
              <w:spacing w:after="0"/>
              <w:rPr>
                <w:sz w:val="20"/>
                <w:szCs w:val="20"/>
                <w:color w:val="auto"/>
              </w:rPr>
            </w:pPr>
            <w:r>
              <w:rPr>
                <w:rFonts w:ascii="Arial" w:cs="Arial" w:eastAsia="Arial" w:hAnsi="Arial"/>
                <w:sz w:val="18"/>
                <w:szCs w:val="18"/>
                <w:color w:val="auto"/>
              </w:rPr>
              <w:t>—</w:t>
            </w:r>
          </w:p>
        </w:tc>
      </w:tr>
      <w:tr>
        <w:trPr>
          <w:trHeight w:val="249"/>
        </w:trPr>
        <w:tc>
          <w:tcPr>
            <w:tcW w:w="4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 xml:space="preserve">Foreign currency derivatives </w:t>
            </w:r>
            <w:r>
              <w:rPr>
                <w:rFonts w:ascii="Arial" w:cs="Arial" w:eastAsia="Arial" w:hAnsi="Arial"/>
                <w:sz w:val="14"/>
                <w:szCs w:val="14"/>
                <w:color w:val="auto"/>
              </w:rPr>
              <w:t>(d)</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shd w:val="clear" w:color="auto" w:fill="CFF0FC"/>
          </w:tcPr>
          <w:p>
            <w:pPr>
              <w:ind w:left="780"/>
              <w:spacing w:after="0"/>
              <w:rPr>
                <w:sz w:val="20"/>
                <w:szCs w:val="20"/>
                <w:color w:val="auto"/>
              </w:rPr>
            </w:pPr>
            <w:r>
              <w:rPr>
                <w:rFonts w:ascii="Arial" w:cs="Arial" w:eastAsia="Arial" w:hAnsi="Arial"/>
                <w:sz w:val="18"/>
                <w:szCs w:val="18"/>
                <w:color w:val="auto"/>
              </w:rPr>
              <w:t>—</w:t>
            </w:r>
          </w:p>
        </w:tc>
      </w:tr>
      <w:tr>
        <w:trPr>
          <w:trHeight w:val="243"/>
        </w:trPr>
        <w:tc>
          <w:tcPr>
            <w:tcW w:w="4020" w:type="dxa"/>
            <w:vAlign w:val="bottom"/>
          </w:tcPr>
          <w:p>
            <w:pPr>
              <w:ind w:left="20"/>
              <w:spacing w:after="0"/>
              <w:rPr>
                <w:sz w:val="20"/>
                <w:szCs w:val="20"/>
                <w:color w:val="auto"/>
              </w:rPr>
            </w:pPr>
            <w:r>
              <w:rPr>
                <w:rFonts w:ascii="Arial" w:cs="Arial" w:eastAsia="Arial" w:hAnsi="Arial"/>
                <w:sz w:val="18"/>
                <w:szCs w:val="18"/>
                <w:color w:val="auto"/>
              </w:rPr>
              <w:t xml:space="preserve">Commodity derivatives </w:t>
            </w:r>
            <w:r>
              <w:rPr>
                <w:rFonts w:ascii="Arial" w:cs="Arial" w:eastAsia="Arial" w:hAnsi="Arial"/>
                <w:sz w:val="14"/>
                <w:szCs w:val="14"/>
                <w:color w:val="auto"/>
              </w:rPr>
              <w:t>(d)</w:t>
            </w: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w:t>
            </w:r>
          </w:p>
        </w:tc>
      </w:tr>
      <w:tr>
        <w:trPr>
          <w:trHeight w:val="276"/>
        </w:trPr>
        <w:tc>
          <w:tcPr>
            <w:tcW w:w="4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assets at fair value</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1,034</w:t>
            </w:r>
          </w:p>
        </w:tc>
        <w:tc>
          <w:tcPr>
            <w:tcW w:w="1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1,034</w:t>
            </w:r>
          </w:p>
        </w:tc>
        <w:tc>
          <w:tcPr>
            <w:tcW w:w="1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1,029</w:t>
            </w:r>
          </w:p>
        </w:tc>
        <w:tc>
          <w:tcPr>
            <w:tcW w:w="14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ind w:left="780"/>
              <w:spacing w:after="0"/>
              <w:rPr>
                <w:sz w:val="20"/>
                <w:szCs w:val="20"/>
                <w:color w:val="auto"/>
              </w:rPr>
            </w:pPr>
            <w:r>
              <w:rPr>
                <w:rFonts w:ascii="Arial" w:cs="Arial" w:eastAsia="Arial" w:hAnsi="Arial"/>
                <w:sz w:val="18"/>
                <w:szCs w:val="18"/>
                <w:color w:val="auto"/>
              </w:rPr>
              <w:t>—</w:t>
            </w:r>
          </w:p>
        </w:tc>
      </w:tr>
      <w:tr>
        <w:trPr>
          <w:trHeight w:val="224"/>
        </w:trPr>
        <w:tc>
          <w:tcPr>
            <w:tcW w:w="4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43"/>
        </w:trPr>
        <w:tc>
          <w:tcPr>
            <w:tcW w:w="40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r>
      <w:tr>
        <w:trPr>
          <w:trHeight w:val="237"/>
        </w:trPr>
        <w:tc>
          <w:tcPr>
            <w:tcW w:w="4020" w:type="dxa"/>
            <w:vAlign w:val="bottom"/>
          </w:tcPr>
          <w:p>
            <w:pPr>
              <w:ind w:left="20"/>
              <w:spacing w:after="0"/>
              <w:rPr>
                <w:sz w:val="20"/>
                <w:szCs w:val="20"/>
                <w:color w:val="auto"/>
              </w:rPr>
            </w:pPr>
            <w:r>
              <w:rPr>
                <w:rFonts w:ascii="Arial" w:cs="Arial" w:eastAsia="Arial" w:hAnsi="Arial"/>
                <w:sz w:val="18"/>
                <w:szCs w:val="18"/>
                <w:color w:val="auto"/>
              </w:rPr>
              <w:t xml:space="preserve">Foreign currency derivatives </w:t>
            </w:r>
            <w:r>
              <w:rPr>
                <w:rFonts w:ascii="Arial" w:cs="Arial" w:eastAsia="Arial" w:hAnsi="Arial"/>
                <w:sz w:val="14"/>
                <w:szCs w:val="14"/>
                <w:color w:val="auto"/>
              </w:rPr>
              <w:t>(e)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9</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ind w:left="780"/>
              <w:spacing w:after="0"/>
              <w:rPr>
                <w:sz w:val="20"/>
                <w:szCs w:val="20"/>
                <w:color w:val="auto"/>
              </w:rPr>
            </w:pPr>
            <w:r>
              <w:rPr>
                <w:rFonts w:ascii="Arial" w:cs="Arial" w:eastAsia="Arial" w:hAnsi="Arial"/>
                <w:sz w:val="18"/>
                <w:szCs w:val="18"/>
                <w:color w:val="auto"/>
              </w:rPr>
              <w:t>—</w:t>
            </w:r>
          </w:p>
        </w:tc>
      </w:tr>
      <w:tr>
        <w:trPr>
          <w:trHeight w:val="249"/>
        </w:trPr>
        <w:tc>
          <w:tcPr>
            <w:tcW w:w="4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 xml:space="preserve">Commodity derivatives </w:t>
            </w:r>
            <w:r>
              <w:rPr>
                <w:rFonts w:ascii="Arial" w:cs="Arial" w:eastAsia="Arial" w:hAnsi="Arial"/>
                <w:sz w:val="14"/>
                <w:szCs w:val="14"/>
                <w:color w:val="auto"/>
              </w:rPr>
              <w:t>(e)</w:t>
            </w:r>
          </w:p>
        </w:tc>
        <w:tc>
          <w:tcPr>
            <w:tcW w:w="1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ind w:left="780"/>
              <w:spacing w:after="0"/>
              <w:rPr>
                <w:sz w:val="20"/>
                <w:szCs w:val="20"/>
                <w:color w:val="auto"/>
              </w:rPr>
            </w:pPr>
            <w:r>
              <w:rPr>
                <w:rFonts w:ascii="Arial" w:cs="Arial" w:eastAsia="Arial" w:hAnsi="Arial"/>
                <w:sz w:val="18"/>
                <w:szCs w:val="18"/>
                <w:color w:val="auto"/>
              </w:rPr>
              <w:t>—</w:t>
            </w:r>
          </w:p>
        </w:tc>
      </w:tr>
      <w:tr>
        <w:trPr>
          <w:trHeight w:val="237"/>
        </w:trPr>
        <w:tc>
          <w:tcPr>
            <w:tcW w:w="4020" w:type="dxa"/>
            <w:vAlign w:val="bottom"/>
          </w:tcPr>
          <w:p>
            <w:pPr>
              <w:ind w:left="20"/>
              <w:spacing w:after="0"/>
              <w:rPr>
                <w:sz w:val="20"/>
                <w:szCs w:val="20"/>
                <w:color w:val="auto"/>
              </w:rPr>
            </w:pPr>
            <w:r>
              <w:rPr>
                <w:rFonts w:ascii="Arial" w:cs="Arial" w:eastAsia="Arial" w:hAnsi="Arial"/>
                <w:sz w:val="18"/>
                <w:szCs w:val="18"/>
                <w:color w:val="auto"/>
              </w:rPr>
              <w:t>Total liabilities at fair value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ind w:left="780"/>
              <w:spacing w:after="0"/>
              <w:rPr>
                <w:sz w:val="20"/>
                <w:szCs w:val="20"/>
                <w:color w:val="auto"/>
              </w:rPr>
            </w:pPr>
            <w:r>
              <w:rPr>
                <w:rFonts w:ascii="Arial" w:cs="Arial" w:eastAsia="Arial" w:hAnsi="Arial"/>
                <w:sz w:val="18"/>
                <w:szCs w:val="18"/>
                <w:color w:val="auto"/>
              </w:rPr>
              <w:t>—</w:t>
            </w:r>
          </w:p>
        </w:tc>
      </w:tr>
      <w:tr>
        <w:trPr>
          <w:trHeight w:val="20"/>
        </w:trPr>
        <w:tc>
          <w:tcPr>
            <w:tcW w:w="4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75"/>
        </w:trPr>
        <w:tc>
          <w:tcPr>
            <w:tcW w:w="40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3494405</wp:posOffset>
            </wp:positionH>
            <wp:positionV relativeFrom="paragraph">
              <wp:posOffset>-899795</wp:posOffset>
            </wp:positionV>
            <wp:extent cx="2648585" cy="1803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648585" cy="18034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-256540</wp:posOffset>
            </wp:positionV>
            <wp:extent cx="85725" cy="2571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5725" cy="25717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-256540</wp:posOffset>
            </wp:positionV>
            <wp:extent cx="85725" cy="2571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5725" cy="25717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-256540</wp:posOffset>
            </wp:positionV>
            <wp:extent cx="85725" cy="2571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5725" cy="25717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-256540</wp:posOffset>
            </wp:positionV>
            <wp:extent cx="77470" cy="2571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470" cy="257175"/>
                    </a:xfrm>
                    <a:prstGeom prst="rect">
                      <a:avLst/>
                    </a:prstGeom>
                    <a:noFill/>
                  </pic:spPr>
                </pic:pic>
              </a:graphicData>
            </a:graphic>
          </wp:anchor>
        </w:drawing>
      </w:r>
    </w:p>
    <w:p>
      <w:pPr>
        <w:spacing w:after="0" w:line="69" w:lineRule="exact"/>
        <w:rPr>
          <w:sz w:val="20"/>
          <w:szCs w:val="20"/>
          <w:color w:val="auto"/>
        </w:rPr>
      </w:pPr>
    </w:p>
    <w:p>
      <w:pPr>
        <w:ind w:left="740" w:hanging="358"/>
        <w:spacing w:after="0"/>
        <w:tabs>
          <w:tab w:leader="none" w:pos="74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Included in restricted investments and $61 million within other current assets in the Condensed Consolidated Balance Sheets.</w:t>
      </w:r>
    </w:p>
    <w:p>
      <w:pPr>
        <w:spacing w:after="0" w:line="28" w:lineRule="exact"/>
        <w:rPr>
          <w:rFonts w:ascii="Arial" w:cs="Arial" w:eastAsia="Arial" w:hAnsi="Arial"/>
          <w:sz w:val="14"/>
          <w:szCs w:val="14"/>
          <w:color w:val="auto"/>
        </w:rPr>
      </w:pPr>
    </w:p>
    <w:p>
      <w:pPr>
        <w:ind w:left="740" w:hanging="358"/>
        <w:spacing w:after="0"/>
        <w:tabs>
          <w:tab w:leader="none" w:pos="74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$245 million related to the Asbestos trust and $129 million related to the Environmental trust.</w:t>
      </w:r>
    </w:p>
    <w:p>
      <w:pPr>
        <w:spacing w:after="0" w:line="21" w:lineRule="exact"/>
        <w:rPr>
          <w:rFonts w:ascii="Arial" w:cs="Arial" w:eastAsia="Arial" w:hAnsi="Arial"/>
          <w:sz w:val="14"/>
          <w:szCs w:val="14"/>
          <w:color w:val="auto"/>
        </w:rPr>
      </w:pPr>
    </w:p>
    <w:p>
      <w:pPr>
        <w:ind w:left="740" w:hanging="358"/>
        <w:spacing w:after="0"/>
        <w:tabs>
          <w:tab w:leader="none" w:pos="74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Included in other noncurrent assets in the Condensed Consolidated Balance Sheets.</w:t>
      </w:r>
    </w:p>
    <w:p>
      <w:pPr>
        <w:spacing w:after="0" w:line="21" w:lineRule="exact"/>
        <w:rPr>
          <w:rFonts w:ascii="Arial" w:cs="Arial" w:eastAsia="Arial" w:hAnsi="Arial"/>
          <w:sz w:val="14"/>
          <w:szCs w:val="14"/>
          <w:color w:val="auto"/>
        </w:rPr>
      </w:pPr>
    </w:p>
    <w:p>
      <w:pPr>
        <w:ind w:left="740" w:hanging="358"/>
        <w:spacing w:after="0"/>
        <w:tabs>
          <w:tab w:leader="none" w:pos="74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Included in accounts receivable in the Condensed Consolidated Balance Sheets.</w:t>
      </w:r>
    </w:p>
    <w:p>
      <w:pPr>
        <w:spacing w:after="0" w:line="28" w:lineRule="exact"/>
        <w:rPr>
          <w:rFonts w:ascii="Arial" w:cs="Arial" w:eastAsia="Arial" w:hAnsi="Arial"/>
          <w:sz w:val="14"/>
          <w:szCs w:val="14"/>
          <w:color w:val="auto"/>
        </w:rPr>
      </w:pPr>
    </w:p>
    <w:p>
      <w:pPr>
        <w:ind w:left="740" w:hanging="358"/>
        <w:spacing w:after="0"/>
        <w:tabs>
          <w:tab w:leader="none" w:pos="74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Included in accrued expenses and other liabilities in the Condensed Consolidated Balance Sheets.</w:t>
      </w:r>
    </w:p>
    <w:p>
      <w:pPr>
        <w:spacing w:after="0" w:line="91"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Restricted investments</w:t>
      </w:r>
    </w:p>
    <w:p>
      <w:pPr>
        <w:spacing w:after="0" w:line="114" w:lineRule="exact"/>
        <w:rPr>
          <w:sz w:val="20"/>
          <w:szCs w:val="20"/>
          <w:color w:val="auto"/>
        </w:rPr>
      </w:pPr>
    </w:p>
    <w:p>
      <w:pPr>
        <w:jc w:val="both"/>
        <w:ind w:left="380" w:right="380"/>
        <w:spacing w:after="0" w:line="278" w:lineRule="auto"/>
        <w:rPr>
          <w:sz w:val="20"/>
          <w:szCs w:val="20"/>
          <w:color w:val="auto"/>
        </w:rPr>
      </w:pPr>
      <w:r>
        <w:rPr>
          <w:rFonts w:ascii="Arial" w:cs="Arial" w:eastAsia="Arial" w:hAnsi="Arial"/>
          <w:sz w:val="18"/>
          <w:szCs w:val="18"/>
          <w:color w:val="auto"/>
        </w:rPr>
        <w:t>Ashland maintains certain investments in company restricted renewable annual trusts for the purpose of paying future asbestos indemnity and defense costs and future environmental remediation and related litigation costs. The financial instruments are designated as investment securities, classified as Level 1 measurements within the fair value hierarchy. These securities were classified primarily as noncurrent restricted investment assets, with $71 million and $61 million classified within other current assets, in the Condensed Consolidated Balance Sheets as of June 30, 2023 and September 30, 2022, respectively.</w:t>
      </w:r>
    </w:p>
    <w:p>
      <w:pPr>
        <w:spacing w:after="0" w:line="57" w:lineRule="exact"/>
        <w:rPr>
          <w:sz w:val="20"/>
          <w:szCs w:val="20"/>
          <w:color w:val="auto"/>
        </w:rPr>
      </w:pPr>
    </w:p>
    <w:p>
      <w:pPr>
        <w:jc w:val="both"/>
        <w:ind w:left="380" w:right="380"/>
        <w:spacing w:after="0" w:line="260" w:lineRule="auto"/>
        <w:rPr>
          <w:sz w:val="20"/>
          <w:szCs w:val="20"/>
          <w:color w:val="auto"/>
        </w:rPr>
      </w:pPr>
      <w:r>
        <w:rPr>
          <w:rFonts w:ascii="Arial" w:cs="Arial" w:eastAsia="Arial" w:hAnsi="Arial"/>
          <w:sz w:val="20"/>
          <w:szCs w:val="20"/>
          <w:color w:val="auto"/>
        </w:rPr>
        <w:t>The following table presents gross unrealized gains and losses for the restricted securities as of June 30, 2023 and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80010</wp:posOffset>
            </wp:positionV>
            <wp:extent cx="663511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635115" cy="8255"/>
                    </a:xfrm>
                    <a:prstGeom prst="rect">
                      <a:avLst/>
                    </a:prstGeom>
                    <a:noFill/>
                  </pic:spPr>
                </pic:pic>
              </a:graphicData>
            </a:graphic>
          </wp:anchor>
        </w:drawing>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ind w:left="180"/>
              <w:spacing w:after="0"/>
              <w:rPr>
                <w:sz w:val="20"/>
                <w:szCs w:val="20"/>
                <w:color w:val="auto"/>
              </w:rPr>
            </w:pPr>
            <w:r>
              <w:rPr>
                <w:rFonts w:ascii="Arial" w:cs="Arial" w:eastAsia="Arial" w:hAnsi="Arial"/>
                <w:sz w:val="17"/>
                <w:szCs w:val="17"/>
                <w:color w:val="auto"/>
              </w:rPr>
              <w:t>Gross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ind w:right="531"/>
              <w:spacing w:after="0"/>
              <w:rPr>
                <w:sz w:val="20"/>
                <w:szCs w:val="20"/>
                <w:color w:val="auto"/>
              </w:rPr>
            </w:pPr>
            <w:r>
              <w:rPr>
                <w:rFonts w:ascii="Arial" w:cs="Arial" w:eastAsia="Arial" w:hAnsi="Arial"/>
                <w:sz w:val="17"/>
                <w:szCs w:val="17"/>
                <w:color w:val="auto"/>
              </w:rPr>
              <w:t>Gross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40"/>
        </w:trPr>
        <w:tc>
          <w:tcPr>
            <w:tcW w:w="400" w:type="dxa"/>
            <w:vAlign w:val="bottom"/>
          </w:tcPr>
          <w:p>
            <w:pPr>
              <w:spacing w:after="0"/>
              <w:rPr>
                <w:sz w:val="20"/>
                <w:szCs w:val="20"/>
                <w:color w:val="auto"/>
              </w:rPr>
            </w:pPr>
          </w:p>
        </w:tc>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 millions)</w:t>
            </w:r>
          </w:p>
        </w:tc>
        <w:tc>
          <w:tcPr>
            <w:tcW w:w="130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7"/>
                <w:szCs w:val="17"/>
                <w:color w:val="auto"/>
              </w:rPr>
              <w:t>Adjusted Cost</w:t>
            </w: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ind w:left="100"/>
              <w:spacing w:after="0"/>
              <w:rPr>
                <w:sz w:val="20"/>
                <w:szCs w:val="20"/>
                <w:color w:val="auto"/>
              </w:rPr>
            </w:pPr>
            <w:r>
              <w:rPr>
                <w:rFonts w:ascii="Arial" w:cs="Arial" w:eastAsia="Arial" w:hAnsi="Arial"/>
                <w:sz w:val="17"/>
                <w:szCs w:val="17"/>
                <w:color w:val="auto"/>
              </w:rPr>
              <w:t>Unrealized Gain</w:t>
            </w: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71"/>
              <w:spacing w:after="0"/>
              <w:rPr>
                <w:sz w:val="20"/>
                <w:szCs w:val="20"/>
                <w:color w:val="auto"/>
              </w:rPr>
            </w:pPr>
            <w:r>
              <w:rPr>
                <w:rFonts w:ascii="Arial" w:cs="Arial" w:eastAsia="Arial" w:hAnsi="Arial"/>
                <w:sz w:val="17"/>
                <w:szCs w:val="17"/>
                <w:color w:val="auto"/>
                <w:w w:val="91"/>
              </w:rPr>
              <w:t>Unrealized Loss</w:t>
            </w: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31"/>
              <w:spacing w:after="0"/>
              <w:rPr>
                <w:sz w:val="20"/>
                <w:szCs w:val="20"/>
                <w:color w:val="auto"/>
              </w:rPr>
            </w:pPr>
            <w:r>
              <w:rPr>
                <w:rFonts w:ascii="Arial" w:cs="Arial" w:eastAsia="Arial" w:hAnsi="Arial"/>
                <w:sz w:val="17"/>
                <w:szCs w:val="17"/>
                <w:color w:val="auto"/>
                <w:w w:val="95"/>
              </w:rPr>
              <w:t>Fair Value</w:t>
            </w:r>
          </w:p>
        </w:tc>
        <w:tc>
          <w:tcPr>
            <w:tcW w:w="400" w:type="dxa"/>
            <w:vAlign w:val="bottom"/>
          </w:tcPr>
          <w:p>
            <w:pPr>
              <w:spacing w:after="0"/>
              <w:rPr>
                <w:sz w:val="20"/>
                <w:szCs w:val="20"/>
                <w:color w:val="auto"/>
              </w:rPr>
            </w:pPr>
          </w:p>
        </w:tc>
      </w:tr>
      <w:tr>
        <w:trPr>
          <w:trHeight w:val="243"/>
        </w:trPr>
        <w:tc>
          <w:tcPr>
            <w:tcW w:w="400" w:type="dxa"/>
            <w:vAlign w:val="bottom"/>
          </w:tcPr>
          <w:p>
            <w:pPr>
              <w:spacing w:after="0"/>
              <w:rPr>
                <w:sz w:val="21"/>
                <w:szCs w:val="21"/>
                <w:color w:val="auto"/>
              </w:rPr>
            </w:pPr>
          </w:p>
        </w:tc>
        <w:tc>
          <w:tcPr>
            <w:tcW w:w="44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 of June 30, 2023</w:t>
            </w:r>
          </w:p>
        </w:tc>
        <w:tc>
          <w:tcPr>
            <w:tcW w:w="4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400" w:type="dxa"/>
            <w:vAlign w:val="bottom"/>
          </w:tcPr>
          <w:p>
            <w:pPr>
              <w:spacing w:after="0"/>
              <w:rPr>
                <w:sz w:val="21"/>
                <w:szCs w:val="21"/>
                <w:color w:val="auto"/>
              </w:rPr>
            </w:pPr>
          </w:p>
        </w:tc>
      </w:tr>
      <w:tr>
        <w:trPr>
          <w:trHeight w:val="237"/>
        </w:trPr>
        <w:tc>
          <w:tcPr>
            <w:tcW w:w="400" w:type="dxa"/>
            <w:vAlign w:val="bottom"/>
          </w:tcPr>
          <w:p>
            <w:pPr>
              <w:spacing w:after="0"/>
              <w:rPr>
                <w:sz w:val="20"/>
                <w:szCs w:val="20"/>
                <w:color w:val="auto"/>
              </w:rPr>
            </w:pPr>
          </w:p>
        </w:tc>
        <w:tc>
          <w:tcPr>
            <w:tcW w:w="4460" w:type="dxa"/>
            <w:vAlign w:val="bottom"/>
          </w:tcPr>
          <w:p>
            <w:pPr>
              <w:ind w:left="20"/>
              <w:spacing w:after="0"/>
              <w:rPr>
                <w:sz w:val="20"/>
                <w:szCs w:val="20"/>
                <w:color w:val="auto"/>
              </w:rPr>
            </w:pPr>
            <w:r>
              <w:rPr>
                <w:rFonts w:ascii="Arial" w:cs="Arial" w:eastAsia="Arial" w:hAnsi="Arial"/>
                <w:sz w:val="18"/>
                <w:szCs w:val="18"/>
                <w:color w:val="auto"/>
              </w:rPr>
              <w:t>Demand deposit</w:t>
            </w:r>
          </w:p>
        </w:tc>
        <w:tc>
          <w:tcPr>
            <w:tcW w:w="420" w:type="dxa"/>
            <w:vAlign w:val="bottom"/>
          </w:tcPr>
          <w:p>
            <w:pPr>
              <w:jc w:val="right"/>
              <w:ind w:right="231"/>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44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1160" w:type="dxa"/>
            <w:vAlign w:val="bottom"/>
          </w:tcPr>
          <w:p>
            <w:pPr>
              <w:ind w:left="84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8</w:t>
            </w:r>
          </w:p>
        </w:tc>
        <w:tc>
          <w:tcPr>
            <w:tcW w:w="400" w:type="dxa"/>
            <w:vAlign w:val="bottom"/>
          </w:tcPr>
          <w:p>
            <w:pPr>
              <w:spacing w:after="0"/>
              <w:rPr>
                <w:sz w:val="20"/>
                <w:szCs w:val="20"/>
                <w:color w:val="auto"/>
              </w:rPr>
            </w:pPr>
          </w:p>
        </w:tc>
      </w:tr>
      <w:tr>
        <w:trPr>
          <w:trHeight w:val="249"/>
        </w:trPr>
        <w:tc>
          <w:tcPr>
            <w:tcW w:w="400" w:type="dxa"/>
            <w:vAlign w:val="bottom"/>
          </w:tcPr>
          <w:p>
            <w:pPr>
              <w:spacing w:after="0"/>
              <w:rPr>
                <w:sz w:val="21"/>
                <w:szCs w:val="21"/>
                <w:color w:val="auto"/>
              </w:rPr>
            </w:pPr>
          </w:p>
        </w:tc>
        <w:tc>
          <w:tcPr>
            <w:tcW w:w="4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Equity mutual fund</w:t>
            </w:r>
          </w:p>
        </w:tc>
        <w:tc>
          <w:tcPr>
            <w:tcW w:w="42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158</w:t>
            </w: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60" w:type="dxa"/>
            <w:vAlign w:val="bottom"/>
            <w:shd w:val="clear" w:color="auto" w:fill="CFF0FC"/>
          </w:tcPr>
          <w:p>
            <w:pPr>
              <w:ind w:left="840"/>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191</w:t>
            </w:r>
          </w:p>
        </w:tc>
        <w:tc>
          <w:tcPr>
            <w:tcW w:w="400" w:type="dxa"/>
            <w:vAlign w:val="bottom"/>
          </w:tcPr>
          <w:p>
            <w:pPr>
              <w:spacing w:after="0"/>
              <w:rPr>
                <w:sz w:val="21"/>
                <w:szCs w:val="21"/>
                <w:color w:val="auto"/>
              </w:rPr>
            </w:pPr>
          </w:p>
        </w:tc>
      </w:tr>
      <w:tr>
        <w:trPr>
          <w:trHeight w:val="243"/>
        </w:trPr>
        <w:tc>
          <w:tcPr>
            <w:tcW w:w="400" w:type="dxa"/>
            <w:vAlign w:val="bottom"/>
          </w:tcPr>
          <w:p>
            <w:pPr>
              <w:spacing w:after="0"/>
              <w:rPr>
                <w:sz w:val="21"/>
                <w:szCs w:val="21"/>
                <w:color w:val="auto"/>
              </w:rPr>
            </w:pPr>
          </w:p>
        </w:tc>
        <w:tc>
          <w:tcPr>
            <w:tcW w:w="4460" w:type="dxa"/>
            <w:vAlign w:val="bottom"/>
          </w:tcPr>
          <w:p>
            <w:pPr>
              <w:ind w:left="20"/>
              <w:spacing w:after="0"/>
              <w:rPr>
                <w:sz w:val="20"/>
                <w:szCs w:val="20"/>
                <w:color w:val="auto"/>
              </w:rPr>
            </w:pPr>
            <w:r>
              <w:rPr>
                <w:rFonts w:ascii="Arial" w:cs="Arial" w:eastAsia="Arial" w:hAnsi="Arial"/>
                <w:sz w:val="18"/>
                <w:szCs w:val="18"/>
                <w:color w:val="auto"/>
              </w:rPr>
              <w:t>Fixed income mutual fund</w:t>
            </w:r>
          </w:p>
        </w:tc>
        <w:tc>
          <w:tcPr>
            <w:tcW w:w="4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232</w:t>
            </w:r>
          </w:p>
        </w:tc>
        <w:tc>
          <w:tcPr>
            <w:tcW w:w="1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(39 )</w:t>
            </w:r>
          </w:p>
        </w:tc>
        <w:tc>
          <w:tcPr>
            <w:tcW w:w="1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193</w:t>
            </w:r>
          </w:p>
        </w:tc>
        <w:tc>
          <w:tcPr>
            <w:tcW w:w="400" w:type="dxa"/>
            <w:vAlign w:val="bottom"/>
          </w:tcPr>
          <w:p>
            <w:pPr>
              <w:spacing w:after="0"/>
              <w:rPr>
                <w:sz w:val="21"/>
                <w:szCs w:val="21"/>
                <w:color w:val="auto"/>
              </w:rPr>
            </w:pPr>
          </w:p>
        </w:tc>
      </w:tr>
      <w:tr>
        <w:trPr>
          <w:trHeight w:val="277"/>
        </w:trPr>
        <w:tc>
          <w:tcPr>
            <w:tcW w:w="400" w:type="dxa"/>
            <w:vAlign w:val="bottom"/>
          </w:tcPr>
          <w:p>
            <w:pPr>
              <w:spacing w:after="0"/>
              <w:rPr>
                <w:sz w:val="24"/>
                <w:szCs w:val="24"/>
                <w:color w:val="auto"/>
              </w:rPr>
            </w:pPr>
          </w:p>
        </w:tc>
        <w:tc>
          <w:tcPr>
            <w:tcW w:w="44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Fair value</w:t>
            </w:r>
          </w:p>
        </w:tc>
        <w:tc>
          <w:tcPr>
            <w:tcW w:w="420" w:type="dxa"/>
            <w:vAlign w:val="bottom"/>
            <w:tcBorders>
              <w:bottom w:val="single" w:sz="8" w:color="auto"/>
            </w:tcBorders>
            <w:shd w:val="clear" w:color="auto" w:fill="CFF0FC"/>
          </w:tcPr>
          <w:p>
            <w:pPr>
              <w:jc w:val="right"/>
              <w:ind w:right="231"/>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398</w:t>
            </w:r>
          </w:p>
        </w:tc>
        <w:tc>
          <w:tcPr>
            <w:tcW w:w="1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ind w:left="840"/>
              <w:spacing w:after="0"/>
              <w:rPr>
                <w:sz w:val="20"/>
                <w:szCs w:val="20"/>
                <w:color w:val="auto"/>
              </w:rPr>
            </w:pPr>
            <w:r>
              <w:rPr>
                <w:rFonts w:ascii="Arial" w:cs="Arial" w:eastAsia="Arial" w:hAnsi="Arial"/>
                <w:sz w:val="18"/>
                <w:szCs w:val="18"/>
                <w:color w:val="auto"/>
              </w:rPr>
              <w:t>33</w:t>
            </w:r>
          </w:p>
        </w:tc>
        <w:tc>
          <w:tcPr>
            <w:tcW w:w="1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(39 )</w:t>
            </w:r>
          </w:p>
        </w:tc>
        <w:tc>
          <w:tcPr>
            <w:tcW w:w="1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392</w:t>
            </w:r>
          </w:p>
        </w:tc>
        <w:tc>
          <w:tcPr>
            <w:tcW w:w="400" w:type="dxa"/>
            <w:vAlign w:val="bottom"/>
          </w:tcPr>
          <w:p>
            <w:pPr>
              <w:spacing w:after="0"/>
              <w:rPr>
                <w:sz w:val="24"/>
                <w:szCs w:val="24"/>
                <w:color w:val="auto"/>
              </w:rPr>
            </w:pPr>
          </w:p>
        </w:tc>
      </w:tr>
      <w:tr>
        <w:trPr>
          <w:trHeight w:val="223"/>
        </w:trPr>
        <w:tc>
          <w:tcPr>
            <w:tcW w:w="40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43"/>
        </w:trPr>
        <w:tc>
          <w:tcPr>
            <w:tcW w:w="400" w:type="dxa"/>
            <w:vAlign w:val="bottom"/>
          </w:tcPr>
          <w:p>
            <w:pPr>
              <w:spacing w:after="0"/>
              <w:rPr>
                <w:sz w:val="21"/>
                <w:szCs w:val="21"/>
                <w:color w:val="auto"/>
              </w:rPr>
            </w:pPr>
          </w:p>
        </w:tc>
        <w:tc>
          <w:tcPr>
            <w:tcW w:w="44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 of September 30, 2022</w:t>
            </w:r>
          </w:p>
        </w:tc>
        <w:tc>
          <w:tcPr>
            <w:tcW w:w="4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400" w:type="dxa"/>
            <w:vAlign w:val="bottom"/>
          </w:tcPr>
          <w:p>
            <w:pPr>
              <w:spacing w:after="0"/>
              <w:rPr>
                <w:sz w:val="21"/>
                <w:szCs w:val="21"/>
                <w:color w:val="auto"/>
              </w:rPr>
            </w:pPr>
          </w:p>
        </w:tc>
      </w:tr>
      <w:tr>
        <w:trPr>
          <w:trHeight w:val="237"/>
        </w:trPr>
        <w:tc>
          <w:tcPr>
            <w:tcW w:w="400" w:type="dxa"/>
            <w:vAlign w:val="bottom"/>
          </w:tcPr>
          <w:p>
            <w:pPr>
              <w:spacing w:after="0"/>
              <w:rPr>
                <w:sz w:val="20"/>
                <w:szCs w:val="20"/>
                <w:color w:val="auto"/>
              </w:rPr>
            </w:pPr>
          </w:p>
        </w:tc>
        <w:tc>
          <w:tcPr>
            <w:tcW w:w="4460" w:type="dxa"/>
            <w:vAlign w:val="bottom"/>
          </w:tcPr>
          <w:p>
            <w:pPr>
              <w:ind w:left="20"/>
              <w:spacing w:after="0"/>
              <w:rPr>
                <w:sz w:val="20"/>
                <w:szCs w:val="20"/>
                <w:color w:val="auto"/>
              </w:rPr>
            </w:pPr>
            <w:r>
              <w:rPr>
                <w:rFonts w:ascii="Arial" w:cs="Arial" w:eastAsia="Arial" w:hAnsi="Arial"/>
                <w:sz w:val="18"/>
                <w:szCs w:val="18"/>
                <w:color w:val="auto"/>
              </w:rPr>
              <w:t>Demand deposit</w:t>
            </w:r>
          </w:p>
        </w:tc>
        <w:tc>
          <w:tcPr>
            <w:tcW w:w="420" w:type="dxa"/>
            <w:vAlign w:val="bottom"/>
          </w:tcPr>
          <w:p>
            <w:pPr>
              <w:jc w:val="right"/>
              <w:ind w:right="231"/>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44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1160" w:type="dxa"/>
            <w:vAlign w:val="bottom"/>
          </w:tcPr>
          <w:p>
            <w:pPr>
              <w:ind w:left="84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6</w:t>
            </w:r>
          </w:p>
        </w:tc>
        <w:tc>
          <w:tcPr>
            <w:tcW w:w="400" w:type="dxa"/>
            <w:vAlign w:val="bottom"/>
          </w:tcPr>
          <w:p>
            <w:pPr>
              <w:spacing w:after="0"/>
              <w:rPr>
                <w:sz w:val="20"/>
                <w:szCs w:val="20"/>
                <w:color w:val="auto"/>
              </w:rPr>
            </w:pPr>
          </w:p>
        </w:tc>
      </w:tr>
      <w:tr>
        <w:trPr>
          <w:trHeight w:val="249"/>
        </w:trPr>
        <w:tc>
          <w:tcPr>
            <w:tcW w:w="400" w:type="dxa"/>
            <w:vAlign w:val="bottom"/>
          </w:tcPr>
          <w:p>
            <w:pPr>
              <w:spacing w:after="0"/>
              <w:rPr>
                <w:sz w:val="21"/>
                <w:szCs w:val="21"/>
                <w:color w:val="auto"/>
              </w:rPr>
            </w:pPr>
          </w:p>
        </w:tc>
        <w:tc>
          <w:tcPr>
            <w:tcW w:w="4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Equity mutual fund</w:t>
            </w:r>
          </w:p>
        </w:tc>
        <w:tc>
          <w:tcPr>
            <w:tcW w:w="42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186</w:t>
            </w: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60" w:type="dxa"/>
            <w:vAlign w:val="bottom"/>
            <w:shd w:val="clear" w:color="auto" w:fill="CFF0FC"/>
          </w:tcPr>
          <w:p>
            <w:pPr>
              <w:ind w:left="840"/>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(25 )</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181</w:t>
            </w:r>
          </w:p>
        </w:tc>
        <w:tc>
          <w:tcPr>
            <w:tcW w:w="400" w:type="dxa"/>
            <w:vAlign w:val="bottom"/>
          </w:tcPr>
          <w:p>
            <w:pPr>
              <w:spacing w:after="0"/>
              <w:rPr>
                <w:sz w:val="21"/>
                <w:szCs w:val="21"/>
                <w:color w:val="auto"/>
              </w:rPr>
            </w:pPr>
          </w:p>
        </w:tc>
      </w:tr>
      <w:tr>
        <w:trPr>
          <w:trHeight w:val="243"/>
        </w:trPr>
        <w:tc>
          <w:tcPr>
            <w:tcW w:w="400" w:type="dxa"/>
            <w:vAlign w:val="bottom"/>
          </w:tcPr>
          <w:p>
            <w:pPr>
              <w:spacing w:after="0"/>
              <w:rPr>
                <w:sz w:val="21"/>
                <w:szCs w:val="21"/>
                <w:color w:val="auto"/>
              </w:rPr>
            </w:pPr>
          </w:p>
        </w:tc>
        <w:tc>
          <w:tcPr>
            <w:tcW w:w="4460" w:type="dxa"/>
            <w:vAlign w:val="bottom"/>
          </w:tcPr>
          <w:p>
            <w:pPr>
              <w:ind w:left="20"/>
              <w:spacing w:after="0"/>
              <w:rPr>
                <w:sz w:val="20"/>
                <w:szCs w:val="20"/>
                <w:color w:val="auto"/>
              </w:rPr>
            </w:pPr>
            <w:r>
              <w:rPr>
                <w:rFonts w:ascii="Arial" w:cs="Arial" w:eastAsia="Arial" w:hAnsi="Arial"/>
                <w:sz w:val="18"/>
                <w:szCs w:val="18"/>
                <w:color w:val="auto"/>
              </w:rPr>
              <w:t>Fixed income mutual fund</w:t>
            </w:r>
          </w:p>
        </w:tc>
        <w:tc>
          <w:tcPr>
            <w:tcW w:w="4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234</w:t>
            </w:r>
          </w:p>
        </w:tc>
        <w:tc>
          <w:tcPr>
            <w:tcW w:w="1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(47 )</w:t>
            </w:r>
          </w:p>
        </w:tc>
        <w:tc>
          <w:tcPr>
            <w:tcW w:w="1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187</w:t>
            </w:r>
          </w:p>
        </w:tc>
        <w:tc>
          <w:tcPr>
            <w:tcW w:w="400" w:type="dxa"/>
            <w:vAlign w:val="bottom"/>
          </w:tcPr>
          <w:p>
            <w:pPr>
              <w:spacing w:after="0"/>
              <w:rPr>
                <w:sz w:val="21"/>
                <w:szCs w:val="21"/>
                <w:color w:val="auto"/>
              </w:rPr>
            </w:pPr>
          </w:p>
        </w:tc>
      </w:tr>
      <w:tr>
        <w:trPr>
          <w:trHeight w:val="276"/>
        </w:trPr>
        <w:tc>
          <w:tcPr>
            <w:tcW w:w="400" w:type="dxa"/>
            <w:vAlign w:val="bottom"/>
          </w:tcPr>
          <w:p>
            <w:pPr>
              <w:spacing w:after="0"/>
              <w:rPr>
                <w:sz w:val="24"/>
                <w:szCs w:val="24"/>
                <w:color w:val="auto"/>
              </w:rPr>
            </w:pPr>
          </w:p>
        </w:tc>
        <w:tc>
          <w:tcPr>
            <w:tcW w:w="44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Fair value</w:t>
            </w:r>
          </w:p>
        </w:tc>
        <w:tc>
          <w:tcPr>
            <w:tcW w:w="420" w:type="dxa"/>
            <w:vAlign w:val="bottom"/>
            <w:tcBorders>
              <w:bottom w:val="single" w:sz="8" w:color="auto"/>
            </w:tcBorders>
            <w:shd w:val="clear" w:color="auto" w:fill="CFF0FC"/>
          </w:tcPr>
          <w:p>
            <w:pPr>
              <w:jc w:val="right"/>
              <w:ind w:right="231"/>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426</w:t>
            </w:r>
          </w:p>
        </w:tc>
        <w:tc>
          <w:tcPr>
            <w:tcW w:w="1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ind w:left="840"/>
              <w:spacing w:after="0"/>
              <w:rPr>
                <w:sz w:val="20"/>
                <w:szCs w:val="20"/>
                <w:color w:val="auto"/>
              </w:rPr>
            </w:pPr>
            <w:r>
              <w:rPr>
                <w:rFonts w:ascii="Arial" w:cs="Arial" w:eastAsia="Arial" w:hAnsi="Arial"/>
                <w:sz w:val="18"/>
                <w:szCs w:val="18"/>
                <w:color w:val="auto"/>
              </w:rPr>
              <w:t>20</w:t>
            </w:r>
          </w:p>
        </w:tc>
        <w:tc>
          <w:tcPr>
            <w:tcW w:w="1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(72 )</w:t>
            </w:r>
          </w:p>
        </w:tc>
        <w:tc>
          <w:tcPr>
            <w:tcW w:w="1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374</w:t>
            </w:r>
          </w:p>
        </w:tc>
        <w:tc>
          <w:tcPr>
            <w:tcW w:w="400" w:type="dxa"/>
            <w:vAlign w:val="bottom"/>
          </w:tcPr>
          <w:p>
            <w:pPr>
              <w:spacing w:after="0"/>
              <w:rPr>
                <w:sz w:val="24"/>
                <w:szCs w:val="24"/>
                <w:color w:val="auto"/>
              </w:rPr>
            </w:pPr>
          </w:p>
        </w:tc>
      </w:tr>
      <w:tr>
        <w:trPr>
          <w:trHeight w:val="75"/>
        </w:trPr>
        <w:tc>
          <w:tcPr>
            <w:tcW w:w="400" w:type="dxa"/>
            <w:vAlign w:val="bottom"/>
          </w:tcPr>
          <w:p>
            <w:pPr>
              <w:spacing w:after="0"/>
              <w:rPr>
                <w:sz w:val="6"/>
                <w:szCs w:val="6"/>
                <w:color w:val="auto"/>
              </w:rPr>
            </w:pPr>
          </w:p>
        </w:tc>
        <w:tc>
          <w:tcPr>
            <w:tcW w:w="446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400" w:type="dxa"/>
            <w:vAlign w:val="bottom"/>
          </w:tcPr>
          <w:p>
            <w:pPr>
              <w:spacing w:after="0"/>
              <w:rPr>
                <w:sz w:val="6"/>
                <w:szCs w:val="6"/>
                <w:color w:val="auto"/>
              </w:rPr>
            </w:pPr>
          </w:p>
        </w:tc>
      </w:tr>
      <w:tr>
        <w:trPr>
          <w:trHeight w:val="533"/>
        </w:trPr>
        <w:tc>
          <w:tcPr>
            <w:tcW w:w="40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right"/>
              <w:ind w:right="41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02"/>
        </w:trPr>
        <w:tc>
          <w:tcPr>
            <w:tcW w:w="400" w:type="dxa"/>
            <w:vAlign w:val="bottom"/>
            <w:tcBorders>
              <w:bottom w:val="single" w:sz="8" w:color="9A9A9A"/>
            </w:tcBorders>
          </w:tcPr>
          <w:p>
            <w:pPr>
              <w:spacing w:after="0"/>
              <w:rPr>
                <w:sz w:val="8"/>
                <w:szCs w:val="8"/>
                <w:color w:val="auto"/>
              </w:rPr>
            </w:pPr>
          </w:p>
        </w:tc>
        <w:tc>
          <w:tcPr>
            <w:tcW w:w="446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-1473835</wp:posOffset>
            </wp:positionV>
            <wp:extent cx="2186305" cy="1797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186305" cy="17970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-513715</wp:posOffset>
            </wp:positionV>
            <wp:extent cx="2186305" cy="946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186305" cy="946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9" w:name="page10"/>
    <w:bookmarkEnd w:id="9"/>
    <w:p>
      <w:pPr>
        <w:ind w:left="380" w:right="380"/>
        <w:spacing w:after="0" w:line="316" w:lineRule="auto"/>
        <w:rPr>
          <w:sz w:val="20"/>
          <w:szCs w:val="20"/>
          <w:color w:val="auto"/>
        </w:rPr>
      </w:pPr>
      <w:r>
        <w:rPr>
          <w:rFonts w:ascii="Arial" w:cs="Arial" w:eastAsia="Arial" w:hAnsi="Arial"/>
          <w:sz w:val="18"/>
          <w:szCs w:val="18"/>
          <w:color w:val="auto"/>
        </w:rPr>
        <w:t>The following table presents the investment income, net gains and losses realized, funds restricted for specific transactions, and disbursements related to the investments within the portfolio for the three and nine months ended June 30, 2023 and 2022.</w:t>
      </w:r>
    </w:p>
    <w:p>
      <w:pPr>
        <w:spacing w:after="0" w:line="59" w:lineRule="exact"/>
        <w:rPr>
          <w:sz w:val="20"/>
          <w:szCs w:val="20"/>
          <w:color w:val="auto"/>
        </w:rPr>
      </w:pPr>
    </w:p>
    <w:tbl>
      <w:tblPr>
        <w:tblLayout w:type="fixed"/>
        <w:tblInd w:w="400" w:type="dxa"/>
        <w:tblCellMar>
          <w:top w:w="0" w:type="dxa"/>
          <w:left w:w="0" w:type="dxa"/>
          <w:bottom w:w="0" w:type="dxa"/>
          <w:right w:w="0" w:type="dxa"/>
        </w:tblCellMar>
      </w:tblPr>
      <w:tr>
        <w:trPr>
          <w:trHeight w:val="244"/>
        </w:trPr>
        <w:tc>
          <w:tcPr>
            <w:tcW w:w="4300" w:type="dxa"/>
            <w:vAlign w:val="bottom"/>
            <w:tcBorders>
              <w:top w:val="single" w:sz="8" w:color="auto"/>
            </w:tcBorders>
          </w:tcPr>
          <w:p>
            <w:pPr>
              <w:spacing w:after="0"/>
              <w:rPr>
                <w:sz w:val="21"/>
                <w:szCs w:val="21"/>
                <w:color w:val="auto"/>
              </w:rPr>
            </w:pPr>
          </w:p>
        </w:tc>
        <w:tc>
          <w:tcPr>
            <w:tcW w:w="2500" w:type="dxa"/>
            <w:vAlign w:val="bottom"/>
            <w:tcBorders>
              <w:top w:val="single" w:sz="8" w:color="auto"/>
            </w:tcBorders>
            <w:gridSpan w:val="3"/>
          </w:tcPr>
          <w:p>
            <w:pPr>
              <w:jc w:val="center"/>
              <w:ind w:left="250"/>
              <w:spacing w:after="0"/>
              <w:rPr>
                <w:sz w:val="20"/>
                <w:szCs w:val="20"/>
                <w:color w:val="auto"/>
              </w:rPr>
            </w:pPr>
            <w:r>
              <w:rPr>
                <w:rFonts w:ascii="Arial" w:cs="Arial" w:eastAsia="Arial" w:hAnsi="Arial"/>
                <w:sz w:val="18"/>
                <w:szCs w:val="18"/>
                <w:color w:val="auto"/>
                <w:w w:val="89"/>
              </w:rPr>
              <w:t>Three months ended</w:t>
            </w:r>
          </w:p>
        </w:tc>
        <w:tc>
          <w:tcPr>
            <w:tcW w:w="540" w:type="dxa"/>
            <w:vAlign w:val="bottom"/>
            <w:tcBorders>
              <w:top w:val="single" w:sz="8" w:color="auto"/>
            </w:tcBorders>
          </w:tcPr>
          <w:p>
            <w:pPr>
              <w:spacing w:after="0"/>
              <w:rPr>
                <w:sz w:val="21"/>
                <w:szCs w:val="21"/>
                <w:color w:val="auto"/>
              </w:rPr>
            </w:pPr>
          </w:p>
        </w:tc>
        <w:tc>
          <w:tcPr>
            <w:tcW w:w="2620" w:type="dxa"/>
            <w:vAlign w:val="bottom"/>
            <w:tcBorders>
              <w:top w:val="single" w:sz="8" w:color="auto"/>
            </w:tcBorders>
            <w:gridSpan w:val="3"/>
          </w:tcPr>
          <w:p>
            <w:pPr>
              <w:jc w:val="center"/>
              <w:ind w:left="370"/>
              <w:spacing w:after="0"/>
              <w:rPr>
                <w:sz w:val="20"/>
                <w:szCs w:val="20"/>
                <w:color w:val="auto"/>
              </w:rPr>
            </w:pPr>
            <w:r>
              <w:rPr>
                <w:rFonts w:ascii="Arial" w:cs="Arial" w:eastAsia="Arial" w:hAnsi="Arial"/>
                <w:sz w:val="18"/>
                <w:szCs w:val="18"/>
                <w:color w:val="auto"/>
                <w:w w:val="89"/>
              </w:rPr>
              <w:t>Nine months ended</w:t>
            </w:r>
          </w:p>
        </w:tc>
        <w:tc>
          <w:tcPr>
            <w:tcW w:w="480" w:type="dxa"/>
            <w:vAlign w:val="bottom"/>
            <w:tcBorders>
              <w:top w:val="single" w:sz="8" w:color="auto"/>
            </w:tcBorders>
          </w:tcPr>
          <w:p>
            <w:pPr>
              <w:spacing w:after="0"/>
              <w:rPr>
                <w:sz w:val="21"/>
                <w:szCs w:val="21"/>
                <w:color w:val="auto"/>
              </w:rPr>
            </w:pPr>
          </w:p>
        </w:tc>
      </w:tr>
      <w:tr>
        <w:trPr>
          <w:trHeight w:val="249"/>
        </w:trPr>
        <w:tc>
          <w:tcPr>
            <w:tcW w:w="430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87"/>
              </w:rPr>
              <w:t>June 30</w:t>
            </w:r>
          </w:p>
        </w:tc>
        <w:tc>
          <w:tcPr>
            <w:tcW w:w="5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87"/>
              </w:rPr>
              <w:t>June 30</w:t>
            </w:r>
          </w:p>
        </w:tc>
        <w:tc>
          <w:tcPr>
            <w:tcW w:w="480" w:type="dxa"/>
            <w:vAlign w:val="bottom"/>
            <w:tcBorders>
              <w:bottom w:val="single" w:sz="8" w:color="auto"/>
            </w:tcBorders>
          </w:tcPr>
          <w:p>
            <w:pPr>
              <w:spacing w:after="0"/>
              <w:rPr>
                <w:sz w:val="21"/>
                <w:szCs w:val="21"/>
                <w:color w:val="auto"/>
              </w:rPr>
            </w:pPr>
          </w:p>
        </w:tc>
      </w:tr>
      <w:tr>
        <w:trPr>
          <w:trHeight w:val="237"/>
        </w:trPr>
        <w:tc>
          <w:tcPr>
            <w:tcW w:w="4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2023</w:t>
            </w:r>
          </w:p>
        </w:tc>
        <w:tc>
          <w:tcPr>
            <w:tcW w:w="5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2022</w:t>
            </w:r>
          </w:p>
        </w:tc>
        <w:tc>
          <w:tcPr>
            <w:tcW w:w="5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2023</w:t>
            </w:r>
          </w:p>
        </w:tc>
        <w:tc>
          <w:tcPr>
            <w:tcW w:w="5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2022</w:t>
            </w:r>
          </w:p>
        </w:tc>
        <w:tc>
          <w:tcPr>
            <w:tcW w:w="480" w:type="dxa"/>
            <w:vAlign w:val="bottom"/>
            <w:tcBorders>
              <w:bottom w:val="single" w:sz="8" w:color="auto"/>
            </w:tcBorders>
          </w:tcPr>
          <w:p>
            <w:pPr>
              <w:spacing w:after="0"/>
              <w:rPr>
                <w:sz w:val="20"/>
                <w:szCs w:val="20"/>
                <w:color w:val="auto"/>
              </w:rPr>
            </w:pPr>
          </w:p>
        </w:tc>
      </w:tr>
      <w:tr>
        <w:trPr>
          <w:trHeight w:val="243"/>
        </w:trPr>
        <w:tc>
          <w:tcPr>
            <w:tcW w:w="4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 xml:space="preserve">Investment income </w:t>
            </w:r>
            <w:r>
              <w:rPr>
                <w:rFonts w:ascii="Arial" w:cs="Arial" w:eastAsia="Arial" w:hAnsi="Arial"/>
                <w:sz w:val="14"/>
                <w:szCs w:val="14"/>
                <w:color w:val="auto"/>
              </w:rPr>
              <w:t>(a)</w:t>
            </w:r>
          </w:p>
        </w:tc>
        <w:tc>
          <w:tcPr>
            <w:tcW w:w="920" w:type="dxa"/>
            <w:vAlign w:val="bottom"/>
            <w:shd w:val="clear" w:color="auto" w:fill="CFF0FC"/>
          </w:tcPr>
          <w:p>
            <w:pPr>
              <w:jc w:val="right"/>
              <w:ind w:right="73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4</w:t>
            </w:r>
          </w:p>
        </w:tc>
        <w:tc>
          <w:tcPr>
            <w:tcW w:w="1040" w:type="dxa"/>
            <w:vAlign w:val="bottom"/>
            <w:shd w:val="clear" w:color="auto" w:fill="CFF0FC"/>
          </w:tcPr>
          <w:p>
            <w:pPr>
              <w:jc w:val="right"/>
              <w:ind w:right="73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3</w:t>
            </w:r>
          </w:p>
        </w:tc>
        <w:tc>
          <w:tcPr>
            <w:tcW w:w="1040" w:type="dxa"/>
            <w:vAlign w:val="bottom"/>
            <w:shd w:val="clear" w:color="auto" w:fill="CFF0FC"/>
          </w:tcPr>
          <w:p>
            <w:pPr>
              <w:jc w:val="right"/>
              <w:ind w:right="73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10</w:t>
            </w:r>
          </w:p>
        </w:tc>
        <w:tc>
          <w:tcPr>
            <w:tcW w:w="1040" w:type="dxa"/>
            <w:vAlign w:val="bottom"/>
            <w:shd w:val="clear" w:color="auto" w:fill="CFF0FC"/>
          </w:tcPr>
          <w:p>
            <w:pPr>
              <w:jc w:val="right"/>
              <w:ind w:right="73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13</w:t>
            </w:r>
          </w:p>
        </w:tc>
      </w:tr>
      <w:tr>
        <w:trPr>
          <w:trHeight w:val="237"/>
        </w:trPr>
        <w:tc>
          <w:tcPr>
            <w:tcW w:w="4300" w:type="dxa"/>
            <w:vAlign w:val="bottom"/>
          </w:tcPr>
          <w:p>
            <w:pPr>
              <w:ind w:left="20"/>
              <w:spacing w:after="0"/>
              <w:rPr>
                <w:sz w:val="20"/>
                <w:szCs w:val="20"/>
                <w:color w:val="auto"/>
              </w:rPr>
            </w:pPr>
            <w:r>
              <w:rPr>
                <w:rFonts w:ascii="Arial" w:cs="Arial" w:eastAsia="Arial" w:hAnsi="Arial"/>
                <w:sz w:val="18"/>
                <w:szCs w:val="18"/>
                <w:color w:val="auto"/>
              </w:rPr>
              <w:t xml:space="preserve">Net gains (losses) </w:t>
            </w:r>
            <w:r>
              <w:rPr>
                <w:rFonts w:ascii="Arial" w:cs="Arial" w:eastAsia="Arial" w:hAnsi="Arial"/>
                <w:sz w:val="14"/>
                <w:szCs w:val="14"/>
                <w:color w:val="auto"/>
              </w:rPr>
              <w:t>(a)</w:t>
            </w:r>
          </w:p>
        </w:tc>
        <w:tc>
          <w:tcPr>
            <w:tcW w:w="920" w:type="dxa"/>
            <w:vAlign w:val="bottom"/>
          </w:tcPr>
          <w:p>
            <w:pPr>
              <w:spacing w:after="0"/>
              <w:rPr>
                <w:sz w:val="20"/>
                <w:szCs w:val="20"/>
                <w:color w:val="auto"/>
              </w:rPr>
            </w:pPr>
          </w:p>
        </w:tc>
        <w:tc>
          <w:tcPr>
            <w:tcW w:w="540" w:type="dxa"/>
            <w:vAlign w:val="bottom"/>
          </w:tcPr>
          <w:p>
            <w:pPr>
              <w:jc w:val="right"/>
              <w:ind w:right="110"/>
              <w:spacing w:after="0"/>
              <w:rPr>
                <w:sz w:val="20"/>
                <w:szCs w:val="20"/>
                <w:color w:val="auto"/>
              </w:rPr>
            </w:pPr>
            <w:r>
              <w:rPr>
                <w:rFonts w:ascii="Arial" w:cs="Arial" w:eastAsia="Arial" w:hAnsi="Arial"/>
                <w:sz w:val="18"/>
                <w:szCs w:val="18"/>
                <w:color w:val="auto"/>
              </w:rPr>
              <w:t>6</w:t>
            </w:r>
          </w:p>
        </w:tc>
        <w:tc>
          <w:tcPr>
            <w:tcW w:w="1040" w:type="dxa"/>
            <w:vAlign w:val="bottom"/>
          </w:tcPr>
          <w:p>
            <w:pPr>
              <w:spacing w:after="0"/>
              <w:rPr>
                <w:sz w:val="20"/>
                <w:szCs w:val="20"/>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(48 )</w:t>
            </w:r>
          </w:p>
        </w:tc>
        <w:tc>
          <w:tcPr>
            <w:tcW w:w="1040" w:type="dxa"/>
            <w:vAlign w:val="bottom"/>
          </w:tcPr>
          <w:p>
            <w:pPr>
              <w:spacing w:after="0"/>
              <w:rPr>
                <w:sz w:val="20"/>
                <w:szCs w:val="20"/>
                <w:color w:val="auto"/>
              </w:rPr>
            </w:pPr>
          </w:p>
        </w:tc>
        <w:tc>
          <w:tcPr>
            <w:tcW w:w="540" w:type="dxa"/>
            <w:vAlign w:val="bottom"/>
          </w:tcPr>
          <w:p>
            <w:pPr>
              <w:jc w:val="right"/>
              <w:ind w:right="110"/>
              <w:spacing w:after="0"/>
              <w:rPr>
                <w:sz w:val="20"/>
                <w:szCs w:val="20"/>
                <w:color w:val="auto"/>
              </w:rPr>
            </w:pPr>
            <w:r>
              <w:rPr>
                <w:rFonts w:ascii="Arial" w:cs="Arial" w:eastAsia="Arial" w:hAnsi="Arial"/>
                <w:sz w:val="18"/>
                <w:szCs w:val="18"/>
                <w:color w:val="auto"/>
              </w:rPr>
              <w:t>47</w:t>
            </w:r>
          </w:p>
        </w:tc>
        <w:tc>
          <w:tcPr>
            <w:tcW w:w="10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(72 )</w:t>
            </w:r>
          </w:p>
        </w:tc>
      </w:tr>
      <w:tr>
        <w:trPr>
          <w:trHeight w:val="249"/>
        </w:trPr>
        <w:tc>
          <w:tcPr>
            <w:tcW w:w="4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Funds restricted for specific transactions</w:t>
            </w:r>
          </w:p>
        </w:tc>
        <w:tc>
          <w:tcPr>
            <w:tcW w:w="92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w:t>
            </w:r>
          </w:p>
        </w:tc>
        <w:tc>
          <w:tcPr>
            <w:tcW w:w="104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30</w:t>
            </w:r>
          </w:p>
        </w:tc>
        <w:tc>
          <w:tcPr>
            <w:tcW w:w="104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7</w:t>
            </w:r>
          </w:p>
        </w:tc>
        <w:tc>
          <w:tcPr>
            <w:tcW w:w="1040" w:type="dxa"/>
            <w:vAlign w:val="bottom"/>
            <w:shd w:val="clear" w:color="auto" w:fill="CFF0FC"/>
          </w:tcPr>
          <w:p>
            <w:pPr>
              <w:spacing w:after="0"/>
              <w:rPr>
                <w:sz w:val="21"/>
                <w:szCs w:val="21"/>
                <w:color w:val="auto"/>
              </w:rPr>
            </w:pPr>
          </w:p>
        </w:tc>
        <w:tc>
          <w:tcPr>
            <w:tcW w:w="4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74</w:t>
            </w:r>
          </w:p>
        </w:tc>
      </w:tr>
      <w:tr>
        <w:trPr>
          <w:trHeight w:val="230"/>
        </w:trPr>
        <w:tc>
          <w:tcPr>
            <w:tcW w:w="4300" w:type="dxa"/>
            <w:vAlign w:val="bottom"/>
          </w:tcPr>
          <w:p>
            <w:pPr>
              <w:ind w:left="20"/>
              <w:spacing w:after="0"/>
              <w:rPr>
                <w:sz w:val="20"/>
                <w:szCs w:val="20"/>
                <w:color w:val="auto"/>
              </w:rPr>
            </w:pPr>
            <w:r>
              <w:rPr>
                <w:rFonts w:ascii="Arial" w:cs="Arial" w:eastAsia="Arial" w:hAnsi="Arial"/>
                <w:sz w:val="18"/>
                <w:szCs w:val="18"/>
                <w:color w:val="auto"/>
              </w:rPr>
              <w:t>Disbursements</w:t>
            </w:r>
          </w:p>
        </w:tc>
        <w:tc>
          <w:tcPr>
            <w:tcW w:w="920" w:type="dxa"/>
            <w:vAlign w:val="bottom"/>
          </w:tcPr>
          <w:p>
            <w:pPr>
              <w:spacing w:after="0"/>
              <w:rPr>
                <w:sz w:val="20"/>
                <w:szCs w:val="20"/>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(29 )</w:t>
            </w:r>
          </w:p>
        </w:tc>
        <w:tc>
          <w:tcPr>
            <w:tcW w:w="1040" w:type="dxa"/>
            <w:vAlign w:val="bottom"/>
          </w:tcPr>
          <w:p>
            <w:pPr>
              <w:spacing w:after="0"/>
              <w:rPr>
                <w:sz w:val="20"/>
                <w:szCs w:val="20"/>
                <w:color w:val="auto"/>
              </w:rPr>
            </w:pPr>
          </w:p>
        </w:tc>
        <w:tc>
          <w:tcPr>
            <w:tcW w:w="5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0"/>
                <w:szCs w:val="20"/>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(46 )</w:t>
            </w:r>
          </w:p>
        </w:tc>
        <w:tc>
          <w:tcPr>
            <w:tcW w:w="10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67945</wp:posOffset>
            </wp:positionV>
            <wp:extent cx="663511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635115" cy="8255"/>
                    </a:xfrm>
                    <a:prstGeom prst="rect">
                      <a:avLst/>
                    </a:prstGeom>
                    <a:noFill/>
                  </pic:spPr>
                </pic:pic>
              </a:graphicData>
            </a:graphic>
          </wp:anchor>
        </w:drawing>
      </w:r>
    </w:p>
    <w:p>
      <w:pPr>
        <w:spacing w:after="0" w:line="190" w:lineRule="exact"/>
        <w:rPr>
          <w:sz w:val="20"/>
          <w:szCs w:val="20"/>
          <w:color w:val="auto"/>
        </w:rPr>
      </w:pPr>
    </w:p>
    <w:p>
      <w:pPr>
        <w:ind w:left="740" w:hanging="358"/>
        <w:spacing w:after="0"/>
        <w:tabs>
          <w:tab w:leader="none" w:pos="74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Included in the net interest and other expense (income) caption within the Statements of Consolidated Comprehensive Income (Loss).</w:t>
      </w:r>
    </w:p>
    <w:p>
      <w:pPr>
        <w:spacing w:after="0" w:line="91"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Foreign currency derivatives</w:t>
      </w:r>
    </w:p>
    <w:p>
      <w:pPr>
        <w:spacing w:after="0" w:line="114" w:lineRule="exact"/>
        <w:rPr>
          <w:sz w:val="20"/>
          <w:szCs w:val="20"/>
          <w:color w:val="auto"/>
        </w:rPr>
      </w:pPr>
    </w:p>
    <w:p>
      <w:pPr>
        <w:jc w:val="both"/>
        <w:ind w:left="380" w:right="380"/>
        <w:spacing w:after="0" w:line="272" w:lineRule="auto"/>
        <w:rPr>
          <w:sz w:val="20"/>
          <w:szCs w:val="20"/>
          <w:color w:val="auto"/>
        </w:rPr>
      </w:pPr>
      <w:r>
        <w:rPr>
          <w:rFonts w:ascii="Arial" w:cs="Arial" w:eastAsia="Arial" w:hAnsi="Arial"/>
          <w:sz w:val="18"/>
          <w:szCs w:val="18"/>
          <w:color w:val="auto"/>
        </w:rPr>
        <w:t>Ashland conducts business in a variety of foreign currencies. Accordingly, Ashland regularly uses foreign currency derivative instruments to manage exposure on certain transactions denominated in foreign currencies to curtail potential earnings volatility effects on certain assets and liabilities, including short-term inter-company loans, denominated in currencies other than Ashland’s functional currency of an entity. These derivative contracts generally require exchange of one foreign currency for another at a fixed rate at a future date and generally have maturities of less than twelve months. All contracts are valued at fair value with net changes in fair value recorded within the selling, general and administrative expense caption. The impacts of these contracts were largely offset by gains and losses resulting from the impact of changes in exchange rates on transactions denominated in non-functional currencies. The following table summarizes the net gains and losses recognized during the three and nine months ended June 30, 2023 and 2022 within the Statements of Consolidated Comprehensive Income (Loss).</w:t>
      </w:r>
    </w:p>
    <w:p>
      <w:pPr>
        <w:spacing w:after="0" w:line="100" w:lineRule="exact"/>
        <w:rPr>
          <w:sz w:val="20"/>
          <w:szCs w:val="20"/>
          <w:color w:val="auto"/>
        </w:rPr>
      </w:pPr>
    </w:p>
    <w:tbl>
      <w:tblPr>
        <w:tblLayout w:type="fixed"/>
        <w:tblInd w:w="400" w:type="dxa"/>
        <w:tblCellMar>
          <w:top w:w="0" w:type="dxa"/>
          <w:left w:w="0" w:type="dxa"/>
          <w:bottom w:w="0" w:type="dxa"/>
          <w:right w:w="0" w:type="dxa"/>
        </w:tblCellMar>
      </w:tblPr>
      <w:tr>
        <w:trPr>
          <w:trHeight w:val="244"/>
        </w:trPr>
        <w:tc>
          <w:tcPr>
            <w:tcW w:w="4300" w:type="dxa"/>
            <w:vAlign w:val="bottom"/>
            <w:tcBorders>
              <w:top w:val="single" w:sz="8" w:color="auto"/>
            </w:tcBorders>
          </w:tcPr>
          <w:p>
            <w:pPr>
              <w:spacing w:after="0"/>
              <w:rPr>
                <w:sz w:val="21"/>
                <w:szCs w:val="21"/>
                <w:color w:val="auto"/>
              </w:rPr>
            </w:pPr>
          </w:p>
        </w:tc>
        <w:tc>
          <w:tcPr>
            <w:tcW w:w="2500" w:type="dxa"/>
            <w:vAlign w:val="bottom"/>
            <w:tcBorders>
              <w:top w:val="single" w:sz="8" w:color="auto"/>
            </w:tcBorders>
            <w:gridSpan w:val="3"/>
          </w:tcPr>
          <w:p>
            <w:pPr>
              <w:jc w:val="center"/>
              <w:ind w:left="250"/>
              <w:spacing w:after="0"/>
              <w:rPr>
                <w:sz w:val="20"/>
                <w:szCs w:val="20"/>
                <w:color w:val="auto"/>
              </w:rPr>
            </w:pPr>
            <w:r>
              <w:rPr>
                <w:rFonts w:ascii="Arial" w:cs="Arial" w:eastAsia="Arial" w:hAnsi="Arial"/>
                <w:sz w:val="18"/>
                <w:szCs w:val="18"/>
                <w:color w:val="auto"/>
                <w:w w:val="89"/>
              </w:rPr>
              <w:t>Three months ended</w:t>
            </w:r>
          </w:p>
        </w:tc>
        <w:tc>
          <w:tcPr>
            <w:tcW w:w="48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2700" w:type="dxa"/>
            <w:vAlign w:val="bottom"/>
            <w:tcBorders>
              <w:top w:val="single" w:sz="8" w:color="auto"/>
            </w:tcBorders>
            <w:gridSpan w:val="3"/>
          </w:tcPr>
          <w:p>
            <w:pPr>
              <w:jc w:val="center"/>
              <w:ind w:right="330"/>
              <w:spacing w:after="0"/>
              <w:rPr>
                <w:sz w:val="20"/>
                <w:szCs w:val="20"/>
                <w:color w:val="auto"/>
              </w:rPr>
            </w:pPr>
            <w:r>
              <w:rPr>
                <w:rFonts w:ascii="Arial" w:cs="Arial" w:eastAsia="Arial" w:hAnsi="Arial"/>
                <w:sz w:val="18"/>
                <w:szCs w:val="18"/>
                <w:color w:val="auto"/>
                <w:w w:val="89"/>
              </w:rPr>
              <w:t>Nine months ended</w:t>
            </w:r>
          </w:p>
        </w:tc>
      </w:tr>
      <w:tr>
        <w:trPr>
          <w:trHeight w:val="249"/>
        </w:trPr>
        <w:tc>
          <w:tcPr>
            <w:tcW w:w="4300" w:type="dxa"/>
            <w:vAlign w:val="bottom"/>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2"/>
          </w:tcPr>
          <w:p>
            <w:pPr>
              <w:jc w:val="center"/>
              <w:ind w:right="550"/>
              <w:spacing w:after="0"/>
              <w:rPr>
                <w:sz w:val="20"/>
                <w:szCs w:val="20"/>
                <w:color w:val="auto"/>
              </w:rPr>
            </w:pPr>
            <w:r>
              <w:rPr>
                <w:rFonts w:ascii="Arial" w:cs="Arial" w:eastAsia="Arial" w:hAnsi="Arial"/>
                <w:sz w:val="18"/>
                <w:szCs w:val="18"/>
                <w:color w:val="auto"/>
                <w:w w:val="87"/>
              </w:rPr>
              <w:t>June 30</w:t>
            </w:r>
          </w:p>
        </w:tc>
        <w:tc>
          <w:tcPr>
            <w:tcW w:w="48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2"/>
          </w:tcPr>
          <w:p>
            <w:pPr>
              <w:jc w:val="center"/>
              <w:ind w:left="610"/>
              <w:spacing w:after="0"/>
              <w:rPr>
                <w:sz w:val="20"/>
                <w:szCs w:val="20"/>
                <w:color w:val="auto"/>
              </w:rPr>
            </w:pPr>
            <w:r>
              <w:rPr>
                <w:rFonts w:ascii="Arial" w:cs="Arial" w:eastAsia="Arial" w:hAnsi="Arial"/>
                <w:sz w:val="18"/>
                <w:szCs w:val="18"/>
                <w:color w:val="auto"/>
                <w:w w:val="87"/>
              </w:rPr>
              <w:t>June 30</w:t>
            </w:r>
          </w:p>
        </w:tc>
        <w:tc>
          <w:tcPr>
            <w:tcW w:w="1120" w:type="dxa"/>
            <w:vAlign w:val="bottom"/>
            <w:tcBorders>
              <w:bottom w:val="single" w:sz="8" w:color="auto"/>
            </w:tcBorders>
          </w:tcPr>
          <w:p>
            <w:pPr>
              <w:spacing w:after="0"/>
              <w:rPr>
                <w:sz w:val="21"/>
                <w:szCs w:val="21"/>
                <w:color w:val="auto"/>
              </w:rPr>
            </w:pPr>
          </w:p>
        </w:tc>
      </w:tr>
      <w:tr>
        <w:trPr>
          <w:trHeight w:val="237"/>
        </w:trPr>
        <w:tc>
          <w:tcPr>
            <w:tcW w:w="4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2023</w:t>
            </w:r>
          </w:p>
        </w:tc>
        <w:tc>
          <w:tcPr>
            <w:tcW w:w="4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2022</w:t>
            </w:r>
          </w:p>
        </w:tc>
        <w:tc>
          <w:tcPr>
            <w:tcW w:w="4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2023</w:t>
            </w:r>
          </w:p>
        </w:tc>
        <w:tc>
          <w:tcPr>
            <w:tcW w:w="4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2022</w:t>
            </w:r>
          </w:p>
        </w:tc>
      </w:tr>
      <w:tr>
        <w:trPr>
          <w:trHeight w:val="243"/>
        </w:trPr>
        <w:tc>
          <w:tcPr>
            <w:tcW w:w="4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Foreign currency derivative gains (losses)</w:t>
            </w:r>
          </w:p>
        </w:tc>
        <w:tc>
          <w:tcPr>
            <w:tcW w:w="980" w:type="dxa"/>
            <w:vAlign w:val="bottom"/>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w:t>
            </w:r>
          </w:p>
        </w:tc>
        <w:tc>
          <w:tcPr>
            <w:tcW w:w="1080" w:type="dxa"/>
            <w:vAlign w:val="bottom"/>
            <w:shd w:val="clear" w:color="auto" w:fill="CFF0FC"/>
          </w:tcPr>
          <w:p>
            <w:pPr>
              <w:jc w:val="right"/>
              <w:ind w:right="73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(12 )</w:t>
            </w:r>
          </w:p>
        </w:tc>
        <w:tc>
          <w:tcPr>
            <w:tcW w:w="18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10</w:t>
            </w:r>
          </w:p>
        </w:tc>
        <w:tc>
          <w:tcPr>
            <w:tcW w:w="4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(21 )</w:t>
            </w:r>
          </w:p>
        </w:tc>
      </w:tr>
      <w:tr>
        <w:trPr>
          <w:trHeight w:val="95"/>
        </w:trPr>
        <w:tc>
          <w:tcPr>
            <w:tcW w:w="43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r>
    </w:tbl>
    <w:p>
      <w:pPr>
        <w:spacing w:after="0" w:line="91" w:lineRule="exact"/>
        <w:rPr>
          <w:sz w:val="20"/>
          <w:szCs w:val="20"/>
          <w:color w:val="auto"/>
        </w:rPr>
      </w:pPr>
    </w:p>
    <w:p>
      <w:pPr>
        <w:jc w:val="both"/>
        <w:ind w:left="380" w:right="380"/>
        <w:spacing w:after="0" w:line="385" w:lineRule="auto"/>
        <w:rPr>
          <w:sz w:val="20"/>
          <w:szCs w:val="20"/>
          <w:color w:val="auto"/>
        </w:rPr>
      </w:pPr>
      <w:r>
        <w:rPr>
          <w:rFonts w:ascii="Arial" w:cs="Arial" w:eastAsia="Arial" w:hAnsi="Arial"/>
          <w:sz w:val="16"/>
          <w:szCs w:val="16"/>
          <w:color w:val="auto"/>
        </w:rPr>
        <w:t>The following table summarizes the fair values of the outstanding foreign currency derivatives as of June 30, 2023 and September 30, 2022 included in accounts receivable and accrued expenses and other liabilities of the Condensed Consolidated Balance Sheets.</w:t>
      </w:r>
    </w:p>
    <w:p>
      <w:pPr>
        <w:spacing w:after="0" w:line="14" w:lineRule="exact"/>
        <w:rPr>
          <w:sz w:val="20"/>
          <w:szCs w:val="20"/>
          <w:color w:val="auto"/>
        </w:rPr>
      </w:pPr>
    </w:p>
    <w:tbl>
      <w:tblPr>
        <w:tblLayout w:type="fixed"/>
        <w:tblInd w:w="400" w:type="dxa"/>
        <w:tblCellMar>
          <w:top w:w="0" w:type="dxa"/>
          <w:left w:w="0" w:type="dxa"/>
          <w:bottom w:w="0" w:type="dxa"/>
          <w:right w:w="0" w:type="dxa"/>
        </w:tblCellMar>
      </w:tblPr>
      <w:tr>
        <w:trPr>
          <w:trHeight w:val="244"/>
        </w:trPr>
        <w:tc>
          <w:tcPr>
            <w:tcW w:w="4460" w:type="dxa"/>
            <w:vAlign w:val="bottom"/>
            <w:tcBorders>
              <w:top w:val="single" w:sz="8" w:color="auto"/>
            </w:tcBorders>
          </w:tcPr>
          <w:p>
            <w:pPr>
              <w:spacing w:after="0"/>
              <w:rPr>
                <w:sz w:val="21"/>
                <w:szCs w:val="21"/>
                <w:color w:val="auto"/>
              </w:rPr>
            </w:pPr>
          </w:p>
        </w:tc>
        <w:tc>
          <w:tcPr>
            <w:tcW w:w="31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June 30</w:t>
            </w:r>
          </w:p>
        </w:tc>
        <w:tc>
          <w:tcPr>
            <w:tcW w:w="64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74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rPr>
              <w:t>September 30</w:t>
            </w:r>
          </w:p>
        </w:tc>
      </w:tr>
      <w:tr>
        <w:trPr>
          <w:trHeight w:val="249"/>
        </w:trPr>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3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2023</w:t>
            </w:r>
          </w:p>
        </w:tc>
        <w:tc>
          <w:tcPr>
            <w:tcW w:w="6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rPr>
              <w:t>2022</w:t>
            </w:r>
          </w:p>
        </w:tc>
      </w:tr>
      <w:tr>
        <w:trPr>
          <w:trHeight w:val="243"/>
        </w:trPr>
        <w:tc>
          <w:tcPr>
            <w:tcW w:w="4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Foreign currency derivative assets</w:t>
            </w:r>
          </w:p>
        </w:tc>
        <w:tc>
          <w:tcPr>
            <w:tcW w:w="3140" w:type="dxa"/>
            <w:vAlign w:val="bottom"/>
            <w:shd w:val="clear" w:color="auto" w:fill="CFF0FC"/>
          </w:tcPr>
          <w:p>
            <w:pPr>
              <w:jc w:val="right"/>
              <w:ind w:right="123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w:t>
            </w:r>
          </w:p>
        </w:tc>
        <w:tc>
          <w:tcPr>
            <w:tcW w:w="4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w:t>
            </w:r>
          </w:p>
        </w:tc>
      </w:tr>
      <w:tr>
        <w:trPr>
          <w:trHeight w:val="237"/>
        </w:trPr>
        <w:tc>
          <w:tcPr>
            <w:tcW w:w="4460" w:type="dxa"/>
            <w:vAlign w:val="bottom"/>
          </w:tcPr>
          <w:p>
            <w:pPr>
              <w:ind w:left="20"/>
              <w:spacing w:after="0"/>
              <w:rPr>
                <w:sz w:val="20"/>
                <w:szCs w:val="20"/>
                <w:color w:val="auto"/>
              </w:rPr>
            </w:pPr>
            <w:r>
              <w:rPr>
                <w:rFonts w:ascii="Arial" w:cs="Arial" w:eastAsia="Arial" w:hAnsi="Arial"/>
                <w:sz w:val="18"/>
                <w:szCs w:val="18"/>
                <w:color w:val="auto"/>
              </w:rPr>
              <w:t>Notional contract values</w:t>
            </w:r>
          </w:p>
        </w:tc>
        <w:tc>
          <w:tcPr>
            <w:tcW w:w="3140" w:type="dxa"/>
            <w:vAlign w:val="bottom"/>
          </w:tcPr>
          <w:p>
            <w:pPr>
              <w:spacing w:after="0"/>
              <w:rPr>
                <w:sz w:val="20"/>
                <w:szCs w:val="20"/>
                <w:color w:val="auto"/>
              </w:rPr>
            </w:pP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123</w:t>
            </w:r>
          </w:p>
        </w:tc>
        <w:tc>
          <w:tcPr>
            <w:tcW w:w="460" w:type="dxa"/>
            <w:vAlign w:val="bottom"/>
          </w:tcPr>
          <w:p>
            <w:pPr>
              <w:spacing w:after="0"/>
              <w:rPr>
                <w:sz w:val="20"/>
                <w:szCs w:val="20"/>
                <w:color w:val="auto"/>
              </w:rPr>
            </w:pPr>
          </w:p>
        </w:tc>
        <w:tc>
          <w:tcPr>
            <w:tcW w:w="1740" w:type="dxa"/>
            <w:vAlign w:val="bottom"/>
          </w:tcPr>
          <w:p>
            <w:pPr>
              <w:jc w:val="right"/>
              <w:ind w:right="50"/>
              <w:spacing w:after="0"/>
              <w:rPr>
                <w:sz w:val="20"/>
                <w:szCs w:val="20"/>
                <w:color w:val="auto"/>
              </w:rPr>
            </w:pPr>
            <w:r>
              <w:rPr>
                <w:rFonts w:ascii="Arial" w:cs="Arial" w:eastAsia="Arial" w:hAnsi="Arial"/>
                <w:sz w:val="18"/>
                <w:szCs w:val="18"/>
                <w:color w:val="auto"/>
              </w:rPr>
              <w:t>133</w:t>
            </w:r>
          </w:p>
        </w:tc>
      </w:tr>
      <w:tr>
        <w:trPr>
          <w:trHeight w:val="249"/>
        </w:trPr>
        <w:tc>
          <w:tcPr>
            <w:tcW w:w="4460" w:type="dxa"/>
            <w:vAlign w:val="bottom"/>
            <w:shd w:val="clear" w:color="auto" w:fill="CFF0FC"/>
          </w:tcPr>
          <w:p>
            <w:pPr>
              <w:spacing w:after="0"/>
              <w:rPr>
                <w:sz w:val="21"/>
                <w:szCs w:val="21"/>
                <w:color w:val="auto"/>
              </w:rPr>
            </w:pPr>
          </w:p>
        </w:tc>
        <w:tc>
          <w:tcPr>
            <w:tcW w:w="31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740" w:type="dxa"/>
            <w:vAlign w:val="bottom"/>
            <w:shd w:val="clear" w:color="auto" w:fill="CFF0FC"/>
          </w:tcPr>
          <w:p>
            <w:pPr>
              <w:spacing w:after="0"/>
              <w:rPr>
                <w:sz w:val="21"/>
                <w:szCs w:val="21"/>
                <w:color w:val="auto"/>
              </w:rPr>
            </w:pPr>
          </w:p>
        </w:tc>
      </w:tr>
      <w:tr>
        <w:trPr>
          <w:trHeight w:val="237"/>
        </w:trPr>
        <w:tc>
          <w:tcPr>
            <w:tcW w:w="4460" w:type="dxa"/>
            <w:vAlign w:val="bottom"/>
          </w:tcPr>
          <w:p>
            <w:pPr>
              <w:ind w:left="20"/>
              <w:spacing w:after="0"/>
              <w:rPr>
                <w:sz w:val="20"/>
                <w:szCs w:val="20"/>
                <w:color w:val="auto"/>
              </w:rPr>
            </w:pPr>
            <w:r>
              <w:rPr>
                <w:rFonts w:ascii="Arial" w:cs="Arial" w:eastAsia="Arial" w:hAnsi="Arial"/>
                <w:sz w:val="18"/>
                <w:szCs w:val="18"/>
                <w:color w:val="auto"/>
              </w:rPr>
              <w:t>Foreign currency derivative liabilities</w:t>
            </w:r>
          </w:p>
        </w:tc>
        <w:tc>
          <w:tcPr>
            <w:tcW w:w="3140" w:type="dxa"/>
            <w:vAlign w:val="bottom"/>
          </w:tcPr>
          <w:p>
            <w:pPr>
              <w:jc w:val="right"/>
              <w:ind w:right="123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50"/>
              <w:spacing w:after="0"/>
              <w:rPr>
                <w:sz w:val="20"/>
                <w:szCs w:val="20"/>
                <w:color w:val="auto"/>
              </w:rPr>
            </w:pPr>
            <w:r>
              <w:rPr>
                <w:rFonts w:ascii="Arial" w:cs="Arial" w:eastAsia="Arial" w:hAnsi="Arial"/>
                <w:sz w:val="18"/>
                <w:szCs w:val="18"/>
                <w:color w:val="auto"/>
              </w:rPr>
              <w:t>9</w:t>
            </w:r>
          </w:p>
        </w:tc>
      </w:tr>
      <w:tr>
        <w:trPr>
          <w:trHeight w:val="249"/>
        </w:trPr>
        <w:tc>
          <w:tcPr>
            <w:tcW w:w="4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Notional contract values</w:t>
            </w:r>
          </w:p>
        </w:tc>
        <w:tc>
          <w:tcPr>
            <w:tcW w:w="3140" w:type="dxa"/>
            <w:vAlign w:val="bottom"/>
            <w:shd w:val="clear" w:color="auto" w:fill="CFF0FC"/>
          </w:tcPr>
          <w:p>
            <w:pPr>
              <w:spacing w:after="0"/>
              <w:rPr>
                <w:sz w:val="21"/>
                <w:szCs w:val="21"/>
                <w:color w:val="auto"/>
              </w:rPr>
            </w:pPr>
          </w:p>
        </w:tc>
        <w:tc>
          <w:tcPr>
            <w:tcW w:w="6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145</w:t>
            </w:r>
          </w:p>
        </w:tc>
        <w:tc>
          <w:tcPr>
            <w:tcW w:w="460" w:type="dxa"/>
            <w:vAlign w:val="bottom"/>
            <w:shd w:val="clear" w:color="auto" w:fill="CFF0FC"/>
          </w:tcPr>
          <w:p>
            <w:pPr>
              <w:spacing w:after="0"/>
              <w:rPr>
                <w:sz w:val="21"/>
                <w:szCs w:val="21"/>
                <w:color w:val="auto"/>
              </w:rPr>
            </w:pPr>
          </w:p>
        </w:tc>
        <w:tc>
          <w:tcPr>
            <w:tcW w:w="17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535</w:t>
            </w:r>
          </w:p>
        </w:tc>
      </w:tr>
      <w:tr>
        <w:trPr>
          <w:trHeight w:val="95"/>
        </w:trPr>
        <w:tc>
          <w:tcPr>
            <w:tcW w:w="4460" w:type="dxa"/>
            <w:vAlign w:val="bottom"/>
            <w:tcBorders>
              <w:bottom w:val="single" w:sz="8" w:color="auto"/>
            </w:tcBorders>
          </w:tcPr>
          <w:p>
            <w:pPr>
              <w:spacing w:after="0"/>
              <w:rPr>
                <w:sz w:val="8"/>
                <w:szCs w:val="8"/>
                <w:color w:val="auto"/>
              </w:rPr>
            </w:pPr>
          </w:p>
        </w:tc>
        <w:tc>
          <w:tcPr>
            <w:tcW w:w="3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740" w:type="dxa"/>
            <w:vAlign w:val="bottom"/>
            <w:tcBorders>
              <w:bottom w:val="single" w:sz="8" w:color="auto"/>
            </w:tcBorders>
          </w:tcPr>
          <w:p>
            <w:pPr>
              <w:spacing w:after="0"/>
              <w:rPr>
                <w:sz w:val="8"/>
                <w:szCs w:val="8"/>
                <w:color w:val="auto"/>
              </w:rPr>
            </w:pPr>
          </w:p>
        </w:tc>
      </w:tr>
    </w:tbl>
    <w:p>
      <w:pPr>
        <w:spacing w:after="0" w:line="85"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Commodity derivatives</w:t>
      </w:r>
    </w:p>
    <w:p>
      <w:pPr>
        <w:spacing w:after="0" w:line="114" w:lineRule="exact"/>
        <w:rPr>
          <w:sz w:val="20"/>
          <w:szCs w:val="20"/>
          <w:color w:val="auto"/>
        </w:rPr>
      </w:pPr>
    </w:p>
    <w:p>
      <w:pPr>
        <w:jc w:val="both"/>
        <w:ind w:left="380" w:right="380"/>
        <w:spacing w:after="0" w:line="260" w:lineRule="auto"/>
        <w:rPr>
          <w:sz w:val="20"/>
          <w:szCs w:val="20"/>
          <w:color w:val="auto"/>
        </w:rPr>
      </w:pPr>
      <w:r>
        <w:rPr>
          <w:rFonts w:ascii="Arial" w:cs="Arial" w:eastAsia="Arial" w:hAnsi="Arial"/>
          <w:sz w:val="20"/>
          <w:szCs w:val="20"/>
          <w:color w:val="auto"/>
        </w:rPr>
        <w:t>To manage its exposure to the market price volatility of natural gas consumed by its U.S. plants during the manufacturing process, Ashland regularly enters into forward contracts that are designated as cash flow hedges.</w:t>
      </w:r>
    </w:p>
    <w:p>
      <w:pPr>
        <w:spacing w:after="0" w:line="69" w:lineRule="exact"/>
        <w:rPr>
          <w:sz w:val="20"/>
          <w:szCs w:val="20"/>
          <w:color w:val="auto"/>
        </w:rPr>
      </w:pPr>
    </w:p>
    <w:p>
      <w:pPr>
        <w:jc w:val="both"/>
        <w:ind w:left="380" w:right="380"/>
        <w:spacing w:after="0" w:line="260" w:lineRule="auto"/>
        <w:rPr>
          <w:sz w:val="20"/>
          <w:szCs w:val="20"/>
          <w:color w:val="auto"/>
        </w:rPr>
      </w:pPr>
      <w:r>
        <w:rPr>
          <w:rFonts w:ascii="Arial" w:cs="Arial" w:eastAsia="Arial" w:hAnsi="Arial"/>
          <w:sz w:val="20"/>
          <w:szCs w:val="20"/>
          <w:color w:val="auto"/>
        </w:rPr>
        <w:t>The following table summarizes the net gains and losses recognized during the three and nine months ended June 30, 2023 and 2022 within the cost of sales caption of the Statements of Consolidated Comprehensive Income (Loss).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00" w:type="dxa"/>
            <w:vAlign w:val="bottom"/>
          </w:tcPr>
          <w:p>
            <w:pPr>
              <w:spacing w:after="0"/>
              <w:rPr>
                <w:sz w:val="21"/>
                <w:szCs w:val="21"/>
                <w:color w:val="auto"/>
              </w:rPr>
            </w:pPr>
          </w:p>
        </w:tc>
        <w:tc>
          <w:tcPr>
            <w:tcW w:w="4300" w:type="dxa"/>
            <w:vAlign w:val="bottom"/>
            <w:tcBorders>
              <w:top w:val="single" w:sz="8" w:color="auto"/>
            </w:tcBorders>
          </w:tcPr>
          <w:p>
            <w:pPr>
              <w:spacing w:after="0"/>
              <w:rPr>
                <w:sz w:val="21"/>
                <w:szCs w:val="21"/>
                <w:color w:val="auto"/>
              </w:rPr>
            </w:pPr>
          </w:p>
        </w:tc>
        <w:tc>
          <w:tcPr>
            <w:tcW w:w="2580" w:type="dxa"/>
            <w:vAlign w:val="bottom"/>
            <w:tcBorders>
              <w:top w:val="single" w:sz="8" w:color="auto"/>
            </w:tcBorders>
            <w:gridSpan w:val="2"/>
          </w:tcPr>
          <w:p>
            <w:pPr>
              <w:jc w:val="center"/>
              <w:ind w:left="170"/>
              <w:spacing w:after="0"/>
              <w:rPr>
                <w:sz w:val="20"/>
                <w:szCs w:val="20"/>
                <w:color w:val="auto"/>
              </w:rPr>
            </w:pPr>
            <w:r>
              <w:rPr>
                <w:rFonts w:ascii="Arial" w:cs="Arial" w:eastAsia="Arial" w:hAnsi="Arial"/>
                <w:sz w:val="18"/>
                <w:szCs w:val="18"/>
                <w:color w:val="auto"/>
                <w:w w:val="89"/>
              </w:rPr>
              <w:t>Three months ended</w:t>
            </w:r>
          </w:p>
        </w:tc>
        <w:tc>
          <w:tcPr>
            <w:tcW w:w="4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2700" w:type="dxa"/>
            <w:vAlign w:val="bottom"/>
            <w:tcBorders>
              <w:top w:val="single" w:sz="8" w:color="auto"/>
            </w:tcBorders>
            <w:gridSpan w:val="2"/>
          </w:tcPr>
          <w:p>
            <w:pPr>
              <w:jc w:val="center"/>
              <w:ind w:right="330"/>
              <w:spacing w:after="0"/>
              <w:rPr>
                <w:sz w:val="20"/>
                <w:szCs w:val="20"/>
                <w:color w:val="auto"/>
              </w:rPr>
            </w:pPr>
            <w:r>
              <w:rPr>
                <w:rFonts w:ascii="Arial" w:cs="Arial" w:eastAsia="Arial" w:hAnsi="Arial"/>
                <w:sz w:val="18"/>
                <w:szCs w:val="18"/>
                <w:color w:val="auto"/>
                <w:w w:val="89"/>
              </w:rPr>
              <w:t>Nine months ended</w:t>
            </w:r>
          </w:p>
        </w:tc>
        <w:tc>
          <w:tcPr>
            <w:tcW w:w="400" w:type="dxa"/>
            <w:vAlign w:val="bottom"/>
          </w:tcPr>
          <w:p>
            <w:pPr>
              <w:spacing w:after="0"/>
              <w:rPr>
                <w:sz w:val="21"/>
                <w:szCs w:val="21"/>
                <w:color w:val="auto"/>
              </w:rPr>
            </w:pPr>
          </w:p>
        </w:tc>
      </w:tr>
      <w:tr>
        <w:trPr>
          <w:trHeight w:val="249"/>
        </w:trPr>
        <w:tc>
          <w:tcPr>
            <w:tcW w:w="400" w:type="dxa"/>
            <w:vAlign w:val="bottom"/>
          </w:tcPr>
          <w:p>
            <w:pPr>
              <w:spacing w:after="0"/>
              <w:rPr>
                <w:sz w:val="21"/>
                <w:szCs w:val="21"/>
                <w:color w:val="auto"/>
              </w:rPr>
            </w:pPr>
          </w:p>
        </w:tc>
        <w:tc>
          <w:tcPr>
            <w:tcW w:w="4300" w:type="dxa"/>
            <w:vAlign w:val="bottom"/>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center"/>
              <w:ind w:right="470"/>
              <w:spacing w:after="0"/>
              <w:rPr>
                <w:sz w:val="20"/>
                <w:szCs w:val="20"/>
                <w:color w:val="auto"/>
              </w:rPr>
            </w:pPr>
            <w:r>
              <w:rPr>
                <w:rFonts w:ascii="Arial" w:cs="Arial" w:eastAsia="Arial" w:hAnsi="Arial"/>
                <w:sz w:val="18"/>
                <w:szCs w:val="18"/>
                <w:color w:val="auto"/>
                <w:w w:val="87"/>
              </w:rPr>
              <w:t>June 30</w:t>
            </w:r>
          </w:p>
        </w:tc>
        <w:tc>
          <w:tcPr>
            <w:tcW w:w="40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center"/>
              <w:ind w:left="610"/>
              <w:spacing w:after="0"/>
              <w:rPr>
                <w:sz w:val="20"/>
                <w:szCs w:val="20"/>
                <w:color w:val="auto"/>
              </w:rPr>
            </w:pPr>
            <w:r>
              <w:rPr>
                <w:rFonts w:ascii="Arial" w:cs="Arial" w:eastAsia="Arial" w:hAnsi="Arial"/>
                <w:sz w:val="18"/>
                <w:szCs w:val="18"/>
                <w:color w:val="auto"/>
                <w:w w:val="87"/>
              </w:rPr>
              <w:t>June 30</w:t>
            </w:r>
          </w:p>
        </w:tc>
        <w:tc>
          <w:tcPr>
            <w:tcW w:w="1120" w:type="dxa"/>
            <w:vAlign w:val="bottom"/>
            <w:tcBorders>
              <w:bottom w:val="single" w:sz="8" w:color="auto"/>
            </w:tcBorders>
          </w:tcPr>
          <w:p>
            <w:pPr>
              <w:spacing w:after="0"/>
              <w:rPr>
                <w:sz w:val="21"/>
                <w:szCs w:val="21"/>
                <w:color w:val="auto"/>
              </w:rPr>
            </w:pPr>
          </w:p>
        </w:tc>
        <w:tc>
          <w:tcPr>
            <w:tcW w:w="400" w:type="dxa"/>
            <w:vAlign w:val="bottom"/>
          </w:tcPr>
          <w:p>
            <w:pPr>
              <w:spacing w:after="0"/>
              <w:rPr>
                <w:sz w:val="21"/>
                <w:szCs w:val="21"/>
                <w:color w:val="auto"/>
              </w:rPr>
            </w:pPr>
          </w:p>
        </w:tc>
      </w:tr>
      <w:tr>
        <w:trPr>
          <w:trHeight w:val="237"/>
        </w:trPr>
        <w:tc>
          <w:tcPr>
            <w:tcW w:w="400" w:type="dxa"/>
            <w:vAlign w:val="bottom"/>
          </w:tcPr>
          <w:p>
            <w:pPr>
              <w:spacing w:after="0"/>
              <w:rPr>
                <w:sz w:val="20"/>
                <w:szCs w:val="20"/>
                <w:color w:val="auto"/>
              </w:rPr>
            </w:pPr>
          </w:p>
        </w:tc>
        <w:tc>
          <w:tcPr>
            <w:tcW w:w="4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17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2022</w:t>
            </w:r>
          </w:p>
        </w:tc>
        <w:tc>
          <w:tcPr>
            <w:tcW w:w="4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color w:val="auto"/>
              </w:rPr>
              <w:t>2023</w:t>
            </w:r>
          </w:p>
        </w:tc>
        <w:tc>
          <w:tcPr>
            <w:tcW w:w="11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2022</w:t>
            </w:r>
          </w:p>
        </w:tc>
        <w:tc>
          <w:tcPr>
            <w:tcW w:w="400" w:type="dxa"/>
            <w:vAlign w:val="bottom"/>
          </w:tcPr>
          <w:p>
            <w:pPr>
              <w:spacing w:after="0"/>
              <w:rPr>
                <w:sz w:val="20"/>
                <w:szCs w:val="20"/>
                <w:color w:val="auto"/>
              </w:rPr>
            </w:pPr>
          </w:p>
        </w:tc>
      </w:tr>
      <w:tr>
        <w:trPr>
          <w:trHeight w:val="243"/>
        </w:trPr>
        <w:tc>
          <w:tcPr>
            <w:tcW w:w="400" w:type="dxa"/>
            <w:vAlign w:val="bottom"/>
          </w:tcPr>
          <w:p>
            <w:pPr>
              <w:spacing w:after="0"/>
              <w:rPr>
                <w:sz w:val="21"/>
                <w:szCs w:val="21"/>
                <w:color w:val="auto"/>
              </w:rPr>
            </w:pPr>
          </w:p>
        </w:tc>
        <w:tc>
          <w:tcPr>
            <w:tcW w:w="4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Commodity derivative gains (losses)</w:t>
            </w:r>
          </w:p>
        </w:tc>
        <w:tc>
          <w:tcPr>
            <w:tcW w:w="820" w:type="dxa"/>
            <w:vAlign w:val="bottom"/>
            <w:shd w:val="clear" w:color="auto" w:fill="CFF0FC"/>
          </w:tcPr>
          <w:p>
            <w:pPr>
              <w:jc w:val="right"/>
              <w:ind w:right="63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FF0FC"/>
          </w:tcPr>
          <w:p>
            <w:pPr>
              <w:jc w:val="right"/>
              <w:ind w:right="810"/>
              <w:spacing w:after="0"/>
              <w:rPr>
                <w:sz w:val="20"/>
                <w:szCs w:val="20"/>
                <w:color w:val="auto"/>
              </w:rPr>
            </w:pPr>
            <w:r>
              <w:rPr>
                <w:rFonts w:ascii="Arial" w:cs="Arial" w:eastAsia="Arial" w:hAnsi="Arial"/>
                <w:sz w:val="18"/>
                <w:szCs w:val="18"/>
                <w:color w:val="auto"/>
              </w:rPr>
              <w:t>(2 )   $</w:t>
            </w:r>
          </w:p>
        </w:tc>
        <w:tc>
          <w:tcPr>
            <w:tcW w:w="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(2 )   $</w:t>
            </w:r>
          </w:p>
        </w:tc>
        <w:tc>
          <w:tcPr>
            <w:tcW w:w="11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w:t>
            </w:r>
          </w:p>
        </w:tc>
        <w:tc>
          <w:tcPr>
            <w:tcW w:w="400" w:type="dxa"/>
            <w:vAlign w:val="bottom"/>
          </w:tcPr>
          <w:p>
            <w:pPr>
              <w:spacing w:after="0"/>
              <w:rPr>
                <w:sz w:val="21"/>
                <w:szCs w:val="21"/>
                <w:color w:val="auto"/>
              </w:rPr>
            </w:pPr>
          </w:p>
        </w:tc>
      </w:tr>
      <w:tr>
        <w:trPr>
          <w:trHeight w:val="94"/>
        </w:trPr>
        <w:tc>
          <w:tcPr>
            <w:tcW w:w="400" w:type="dxa"/>
            <w:vAlign w:val="bottom"/>
          </w:tcPr>
          <w:p>
            <w:pPr>
              <w:spacing w:after="0"/>
              <w:rPr>
                <w:sz w:val="8"/>
                <w:szCs w:val="8"/>
                <w:color w:val="auto"/>
              </w:rPr>
            </w:pPr>
          </w:p>
        </w:tc>
        <w:tc>
          <w:tcPr>
            <w:tcW w:w="43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7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r>
      <w:tr>
        <w:trPr>
          <w:trHeight w:val="534"/>
        </w:trPr>
        <w:tc>
          <w:tcPr>
            <w:tcW w:w="40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60" w:type="dxa"/>
            <w:vAlign w:val="bottom"/>
          </w:tcPr>
          <w:p>
            <w:pPr>
              <w:jc w:val="right"/>
              <w:ind w:right="1470"/>
              <w:spacing w:after="0"/>
              <w:rPr>
                <w:sz w:val="20"/>
                <w:szCs w:val="20"/>
                <w:color w:val="auto"/>
              </w:rPr>
            </w:pPr>
            <w:r>
              <w:rPr>
                <w:rFonts w:ascii="Arial" w:cs="Arial" w:eastAsia="Arial" w:hAnsi="Arial"/>
                <w:sz w:val="18"/>
                <w:szCs w:val="18"/>
                <w:color w:val="auto"/>
                <w:w w:val="89"/>
              </w:rPr>
              <w:t>10</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01"/>
        </w:trPr>
        <w:tc>
          <w:tcPr>
            <w:tcW w:w="400" w:type="dxa"/>
            <w:vAlign w:val="bottom"/>
            <w:tcBorders>
              <w:bottom w:val="single" w:sz="8" w:color="9A9A9A"/>
            </w:tcBorders>
          </w:tcPr>
          <w:p>
            <w:pPr>
              <w:spacing w:after="0"/>
              <w:rPr>
                <w:sz w:val="8"/>
                <w:szCs w:val="8"/>
                <w:color w:val="auto"/>
              </w:rPr>
            </w:pPr>
          </w:p>
        </w:tc>
        <w:tc>
          <w:tcPr>
            <w:tcW w:w="430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76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5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87" w:right="339" w:bottom="1440" w:gutter="0" w:footer="0" w:header="0"/>
        </w:sectPr>
      </w:pPr>
    </w:p>
    <w:bookmarkStart w:id="10" w:name="page11"/>
    <w:bookmarkEnd w:id="10"/>
    <w:p>
      <w:pPr>
        <w:jc w:val="both"/>
        <w:ind w:left="380"/>
        <w:spacing w:after="0" w:line="316" w:lineRule="auto"/>
        <w:rPr>
          <w:sz w:val="20"/>
          <w:szCs w:val="20"/>
          <w:color w:val="auto"/>
        </w:rPr>
      </w:pPr>
      <w:r>
        <w:rPr>
          <w:rFonts w:ascii="Arial" w:cs="Arial" w:eastAsia="Arial" w:hAnsi="Arial"/>
          <w:sz w:val="18"/>
          <w:szCs w:val="18"/>
          <w:color w:val="auto"/>
        </w:rPr>
        <w:t>The following table summarizes the fair values of the outstanding commodity derivatives as of June 30, 2023, and September 30, 2022 included in accounts receivable and accrued expenses and other liabilities of the Condensed Consolidated Balance Sheets.</w:t>
      </w:r>
    </w:p>
    <w:p>
      <w:pPr>
        <w:spacing w:after="0" w:line="46" w:lineRule="exact"/>
        <w:rPr>
          <w:sz w:val="20"/>
          <w:szCs w:val="20"/>
          <w:color w:val="auto"/>
        </w:rPr>
      </w:pPr>
    </w:p>
    <w:tbl>
      <w:tblPr>
        <w:tblLayout w:type="fixed"/>
        <w:tblInd w:w="400" w:type="dxa"/>
        <w:tblCellMar>
          <w:top w:w="0" w:type="dxa"/>
          <w:left w:w="0" w:type="dxa"/>
          <w:bottom w:w="0" w:type="dxa"/>
          <w:right w:w="0" w:type="dxa"/>
        </w:tblCellMar>
      </w:tblPr>
      <w:tr>
        <w:trPr>
          <w:trHeight w:val="244"/>
        </w:trPr>
        <w:tc>
          <w:tcPr>
            <w:tcW w:w="4280" w:type="dxa"/>
            <w:vAlign w:val="bottom"/>
            <w:tcBorders>
              <w:top w:val="single" w:sz="8" w:color="auto"/>
            </w:tcBorders>
          </w:tcPr>
          <w:p>
            <w:pPr>
              <w:spacing w:after="0"/>
              <w:rPr>
                <w:sz w:val="21"/>
                <w:szCs w:val="21"/>
                <w:color w:val="auto"/>
              </w:rPr>
            </w:pPr>
          </w:p>
        </w:tc>
        <w:tc>
          <w:tcPr>
            <w:tcW w:w="3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June 30</w:t>
            </w:r>
          </w:p>
        </w:tc>
        <w:tc>
          <w:tcPr>
            <w:tcW w:w="6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74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rPr>
              <w:t>September 30</w:t>
            </w:r>
          </w:p>
        </w:tc>
      </w:tr>
      <w:tr>
        <w:trPr>
          <w:trHeight w:val="249"/>
        </w:trPr>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33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2023</w:t>
            </w:r>
          </w:p>
        </w:tc>
        <w:tc>
          <w:tcPr>
            <w:tcW w:w="6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rPr>
              <w:t>2022</w:t>
            </w:r>
          </w:p>
        </w:tc>
      </w:tr>
      <w:tr>
        <w:trPr>
          <w:trHeight w:val="243"/>
        </w:trPr>
        <w:tc>
          <w:tcPr>
            <w:tcW w:w="4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Commodity derivative assets</w:t>
            </w:r>
          </w:p>
        </w:tc>
        <w:tc>
          <w:tcPr>
            <w:tcW w:w="3360" w:type="dxa"/>
            <w:vAlign w:val="bottom"/>
            <w:shd w:val="clear" w:color="auto" w:fill="CFF0FC"/>
          </w:tcPr>
          <w:p>
            <w:pPr>
              <w:jc w:val="right"/>
              <w:ind w:right="127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w:t>
            </w:r>
          </w:p>
        </w:tc>
      </w:tr>
      <w:tr>
        <w:trPr>
          <w:trHeight w:val="237"/>
        </w:trPr>
        <w:tc>
          <w:tcPr>
            <w:tcW w:w="4280" w:type="dxa"/>
            <w:vAlign w:val="bottom"/>
          </w:tcPr>
          <w:p>
            <w:pPr>
              <w:ind w:left="20"/>
              <w:spacing w:after="0"/>
              <w:rPr>
                <w:sz w:val="20"/>
                <w:szCs w:val="20"/>
                <w:color w:val="auto"/>
              </w:rPr>
            </w:pPr>
            <w:r>
              <w:rPr>
                <w:rFonts w:ascii="Arial" w:cs="Arial" w:eastAsia="Arial" w:hAnsi="Arial"/>
                <w:sz w:val="18"/>
                <w:szCs w:val="18"/>
                <w:color w:val="auto"/>
              </w:rPr>
              <w:t>Notional contract values</w:t>
            </w:r>
          </w:p>
        </w:tc>
        <w:tc>
          <w:tcPr>
            <w:tcW w:w="3360" w:type="dxa"/>
            <w:vAlign w:val="bottom"/>
          </w:tcPr>
          <w:p>
            <w:pPr>
              <w:spacing w:after="0"/>
              <w:rPr>
                <w:sz w:val="20"/>
                <w:szCs w:val="20"/>
                <w:color w:val="auto"/>
              </w:rPr>
            </w:pP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20"/>
                <w:szCs w:val="20"/>
                <w:color w:val="auto"/>
              </w:rPr>
            </w:pPr>
          </w:p>
        </w:tc>
        <w:tc>
          <w:tcPr>
            <w:tcW w:w="1740" w:type="dxa"/>
            <w:vAlign w:val="bottom"/>
          </w:tcPr>
          <w:p>
            <w:pPr>
              <w:jc w:val="right"/>
              <w:ind w:right="50"/>
              <w:spacing w:after="0"/>
              <w:rPr>
                <w:sz w:val="20"/>
                <w:szCs w:val="20"/>
                <w:color w:val="auto"/>
              </w:rPr>
            </w:pPr>
            <w:r>
              <w:rPr>
                <w:rFonts w:ascii="Arial" w:cs="Arial" w:eastAsia="Arial" w:hAnsi="Arial"/>
                <w:sz w:val="18"/>
                <w:szCs w:val="18"/>
                <w:color w:val="auto"/>
              </w:rPr>
              <w:t>13</w:t>
            </w:r>
          </w:p>
        </w:tc>
      </w:tr>
      <w:tr>
        <w:trPr>
          <w:trHeight w:val="249"/>
        </w:trPr>
        <w:tc>
          <w:tcPr>
            <w:tcW w:w="4280" w:type="dxa"/>
            <w:vAlign w:val="bottom"/>
            <w:shd w:val="clear" w:color="auto" w:fill="CFF0FC"/>
          </w:tcPr>
          <w:p>
            <w:pPr>
              <w:spacing w:after="0"/>
              <w:rPr>
                <w:sz w:val="21"/>
                <w:szCs w:val="21"/>
                <w:color w:val="auto"/>
              </w:rPr>
            </w:pPr>
          </w:p>
        </w:tc>
        <w:tc>
          <w:tcPr>
            <w:tcW w:w="33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740" w:type="dxa"/>
            <w:vAlign w:val="bottom"/>
            <w:shd w:val="clear" w:color="auto" w:fill="CFF0FC"/>
          </w:tcPr>
          <w:p>
            <w:pPr>
              <w:spacing w:after="0"/>
              <w:rPr>
                <w:sz w:val="21"/>
                <w:szCs w:val="21"/>
                <w:color w:val="auto"/>
              </w:rPr>
            </w:pPr>
          </w:p>
        </w:tc>
      </w:tr>
      <w:tr>
        <w:trPr>
          <w:trHeight w:val="237"/>
        </w:trPr>
        <w:tc>
          <w:tcPr>
            <w:tcW w:w="4280" w:type="dxa"/>
            <w:vAlign w:val="bottom"/>
          </w:tcPr>
          <w:p>
            <w:pPr>
              <w:ind w:left="20"/>
              <w:spacing w:after="0"/>
              <w:rPr>
                <w:sz w:val="20"/>
                <w:szCs w:val="20"/>
                <w:color w:val="auto"/>
              </w:rPr>
            </w:pPr>
            <w:r>
              <w:rPr>
                <w:rFonts w:ascii="Arial" w:cs="Arial" w:eastAsia="Arial" w:hAnsi="Arial"/>
                <w:sz w:val="18"/>
                <w:szCs w:val="18"/>
                <w:color w:val="auto"/>
              </w:rPr>
              <w:t>Commodity derivative liabilities</w:t>
            </w:r>
          </w:p>
        </w:tc>
        <w:tc>
          <w:tcPr>
            <w:tcW w:w="3360" w:type="dxa"/>
            <w:vAlign w:val="bottom"/>
          </w:tcPr>
          <w:p>
            <w:pPr>
              <w:jc w:val="right"/>
              <w:ind w:right="127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5</w:t>
            </w: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50"/>
              <w:spacing w:after="0"/>
              <w:rPr>
                <w:sz w:val="20"/>
                <w:szCs w:val="20"/>
                <w:color w:val="auto"/>
              </w:rPr>
            </w:pPr>
            <w:r>
              <w:rPr>
                <w:rFonts w:ascii="Arial" w:cs="Arial" w:eastAsia="Arial" w:hAnsi="Arial"/>
                <w:sz w:val="18"/>
                <w:szCs w:val="18"/>
                <w:color w:val="auto"/>
              </w:rPr>
              <w:t>1</w:t>
            </w:r>
          </w:p>
        </w:tc>
      </w:tr>
      <w:tr>
        <w:trPr>
          <w:trHeight w:val="249"/>
        </w:trPr>
        <w:tc>
          <w:tcPr>
            <w:tcW w:w="4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Notional contract values</w:t>
            </w:r>
          </w:p>
        </w:tc>
        <w:tc>
          <w:tcPr>
            <w:tcW w:w="3360" w:type="dxa"/>
            <w:vAlign w:val="bottom"/>
            <w:shd w:val="clear" w:color="auto" w:fill="CFF0FC"/>
          </w:tcPr>
          <w:p>
            <w:pPr>
              <w:spacing w:after="0"/>
              <w:rPr>
                <w:sz w:val="21"/>
                <w:szCs w:val="21"/>
                <w:color w:val="auto"/>
              </w:rPr>
            </w:pPr>
          </w:p>
        </w:tc>
        <w:tc>
          <w:tcPr>
            <w:tcW w:w="6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18</w:t>
            </w:r>
          </w:p>
        </w:tc>
        <w:tc>
          <w:tcPr>
            <w:tcW w:w="460" w:type="dxa"/>
            <w:vAlign w:val="bottom"/>
            <w:shd w:val="clear" w:color="auto" w:fill="CFF0FC"/>
          </w:tcPr>
          <w:p>
            <w:pPr>
              <w:spacing w:after="0"/>
              <w:rPr>
                <w:sz w:val="21"/>
                <w:szCs w:val="21"/>
                <w:color w:val="auto"/>
              </w:rPr>
            </w:pPr>
          </w:p>
        </w:tc>
        <w:tc>
          <w:tcPr>
            <w:tcW w:w="17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w:t>
            </w:r>
          </w:p>
        </w:tc>
      </w:tr>
      <w:tr>
        <w:trPr>
          <w:trHeight w:val="95"/>
        </w:trPr>
        <w:tc>
          <w:tcPr>
            <w:tcW w:w="4280" w:type="dxa"/>
            <w:vAlign w:val="bottom"/>
            <w:tcBorders>
              <w:bottom w:val="single" w:sz="8" w:color="auto"/>
            </w:tcBorders>
          </w:tcPr>
          <w:p>
            <w:pPr>
              <w:spacing w:after="0"/>
              <w:rPr>
                <w:sz w:val="8"/>
                <w:szCs w:val="8"/>
                <w:color w:val="auto"/>
              </w:rPr>
            </w:pPr>
          </w:p>
        </w:tc>
        <w:tc>
          <w:tcPr>
            <w:tcW w:w="33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740" w:type="dxa"/>
            <w:vAlign w:val="bottom"/>
            <w:tcBorders>
              <w:bottom w:val="single" w:sz="8" w:color="auto"/>
            </w:tcBorders>
          </w:tcPr>
          <w:p>
            <w:pPr>
              <w:spacing w:after="0"/>
              <w:rPr>
                <w:sz w:val="8"/>
                <w:szCs w:val="8"/>
                <w:color w:val="auto"/>
              </w:rPr>
            </w:pPr>
          </w:p>
        </w:tc>
      </w:tr>
    </w:tbl>
    <w:p>
      <w:pPr>
        <w:spacing w:after="0" w:line="85"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Other financial instruments</w:t>
      </w:r>
    </w:p>
    <w:p>
      <w:pPr>
        <w:spacing w:after="0" w:line="114" w:lineRule="exact"/>
        <w:rPr>
          <w:sz w:val="20"/>
          <w:szCs w:val="20"/>
          <w:color w:val="auto"/>
        </w:rPr>
      </w:pPr>
    </w:p>
    <w:p>
      <w:pPr>
        <w:jc w:val="both"/>
        <w:ind w:left="380"/>
        <w:spacing w:after="0" w:line="269" w:lineRule="auto"/>
        <w:rPr>
          <w:sz w:val="20"/>
          <w:szCs w:val="20"/>
          <w:color w:val="auto"/>
        </w:rPr>
      </w:pPr>
      <w:r>
        <w:rPr>
          <w:rFonts w:ascii="Arial" w:cs="Arial" w:eastAsia="Arial" w:hAnsi="Arial"/>
          <w:sz w:val="19"/>
          <w:szCs w:val="19"/>
          <w:color w:val="auto"/>
        </w:rPr>
        <w:t>At June 30, 2023 and September 30, 2022, Ashland's long-term debt (including the current portion and excluding debt issuance cost discounts) had a carrying value of $1,342 million and $1,284 million, respectively, compared to a fair value of $1,195 million and $1,102 million, respectively. The fair values of long-term debt are based on quoted market prices.</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F – INVENTORIES</w:t>
      </w:r>
    </w:p>
    <w:p>
      <w:pPr>
        <w:spacing w:after="0" w:line="114" w:lineRule="exact"/>
        <w:rPr>
          <w:sz w:val="20"/>
          <w:szCs w:val="20"/>
          <w:color w:val="auto"/>
        </w:rPr>
      </w:pPr>
    </w:p>
    <w:p>
      <w:pPr>
        <w:jc w:val="both"/>
        <w:ind w:left="380"/>
        <w:spacing w:after="0" w:line="250" w:lineRule="auto"/>
        <w:rPr>
          <w:sz w:val="20"/>
          <w:szCs w:val="20"/>
          <w:color w:val="auto"/>
        </w:rPr>
      </w:pPr>
      <w:r>
        <w:rPr>
          <w:rFonts w:ascii="Arial" w:cs="Arial" w:eastAsia="Arial" w:hAnsi="Arial"/>
          <w:sz w:val="20"/>
          <w:szCs w:val="20"/>
          <w:color w:val="auto"/>
        </w:rPr>
        <w:t>Inventories are carried at the lower of cost or net realizable value. Inventories are stated at cost using the weighted-average cost method. This method values inventories using average costs for raw materials and most recent production costs for labor and overhead.</w:t>
      </w:r>
    </w:p>
    <w:p>
      <w:pPr>
        <w:spacing w:after="0" w:line="78" w:lineRule="exact"/>
        <w:rPr>
          <w:sz w:val="20"/>
          <w:szCs w:val="20"/>
          <w:color w:val="auto"/>
        </w:rPr>
      </w:pPr>
    </w:p>
    <w:p>
      <w:pPr>
        <w:ind w:left="380"/>
        <w:spacing w:after="0"/>
        <w:rPr>
          <w:sz w:val="20"/>
          <w:szCs w:val="20"/>
          <w:color w:val="auto"/>
        </w:rPr>
      </w:pPr>
      <w:r>
        <w:rPr>
          <w:rFonts w:ascii="Arial" w:cs="Arial" w:eastAsia="Arial" w:hAnsi="Arial"/>
          <w:sz w:val="19"/>
          <w:szCs w:val="19"/>
          <w:color w:val="auto"/>
        </w:rPr>
        <w:t>The following table summarizes Ashland’s inventories as of the reported Condensed Consolidated Balance Sheet dates.</w:t>
      </w:r>
    </w:p>
    <w:p>
      <w:pPr>
        <w:spacing w:after="0" w:line="156" w:lineRule="exact"/>
        <w:rPr>
          <w:sz w:val="20"/>
          <w:szCs w:val="20"/>
          <w:color w:val="auto"/>
        </w:rPr>
      </w:pPr>
    </w:p>
    <w:tbl>
      <w:tblPr>
        <w:tblLayout w:type="fixed"/>
        <w:tblInd w:w="400" w:type="dxa"/>
        <w:tblCellMar>
          <w:top w:w="0" w:type="dxa"/>
          <w:left w:w="0" w:type="dxa"/>
          <w:bottom w:w="0" w:type="dxa"/>
          <w:right w:w="0" w:type="dxa"/>
        </w:tblCellMar>
      </w:tblPr>
      <w:tr>
        <w:trPr>
          <w:trHeight w:val="244"/>
        </w:trPr>
        <w:tc>
          <w:tcPr>
            <w:tcW w:w="616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jc w:val="right"/>
              <w:ind w:right="115"/>
              <w:spacing w:after="0"/>
              <w:rPr>
                <w:sz w:val="20"/>
                <w:szCs w:val="20"/>
                <w:color w:val="auto"/>
              </w:rPr>
            </w:pPr>
            <w:r>
              <w:rPr>
                <w:rFonts w:ascii="Arial" w:cs="Arial" w:eastAsia="Arial" w:hAnsi="Arial"/>
                <w:sz w:val="18"/>
                <w:szCs w:val="18"/>
                <w:color w:val="auto"/>
              </w:rPr>
              <w:t>June 30</w:t>
            </w:r>
          </w:p>
        </w:tc>
        <w:tc>
          <w:tcPr>
            <w:tcW w:w="60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740" w:type="dxa"/>
            <w:vAlign w:val="bottom"/>
            <w:tcBorders>
              <w:top w:val="single" w:sz="8" w:color="auto"/>
            </w:tcBorders>
          </w:tcPr>
          <w:p>
            <w:pPr>
              <w:jc w:val="right"/>
              <w:ind w:right="495"/>
              <w:spacing w:after="0"/>
              <w:rPr>
                <w:sz w:val="20"/>
                <w:szCs w:val="20"/>
                <w:color w:val="auto"/>
              </w:rPr>
            </w:pPr>
            <w:r>
              <w:rPr>
                <w:rFonts w:ascii="Arial" w:cs="Arial" w:eastAsia="Arial" w:hAnsi="Arial"/>
                <w:sz w:val="18"/>
                <w:szCs w:val="18"/>
                <w:color w:val="auto"/>
              </w:rPr>
              <w:t>September 30</w:t>
            </w:r>
          </w:p>
        </w:tc>
      </w:tr>
      <w:tr>
        <w:trPr>
          <w:trHeight w:val="249"/>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 millions)</w:t>
            </w:r>
          </w:p>
        </w:tc>
        <w:tc>
          <w:tcPr>
            <w:tcW w:w="144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color w:val="auto"/>
              </w:rPr>
              <w:t>2023</w:t>
            </w:r>
          </w:p>
        </w:tc>
        <w:tc>
          <w:tcPr>
            <w:tcW w:w="6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ind w:right="815"/>
              <w:spacing w:after="0"/>
              <w:rPr>
                <w:sz w:val="20"/>
                <w:szCs w:val="20"/>
                <w:color w:val="auto"/>
              </w:rPr>
            </w:pPr>
            <w:r>
              <w:rPr>
                <w:rFonts w:ascii="Arial" w:cs="Arial" w:eastAsia="Arial" w:hAnsi="Arial"/>
                <w:sz w:val="18"/>
                <w:szCs w:val="18"/>
                <w:color w:val="auto"/>
              </w:rPr>
              <w:t>2022</w:t>
            </w:r>
          </w:p>
        </w:tc>
      </w:tr>
      <w:tr>
        <w:trPr>
          <w:trHeight w:val="229"/>
        </w:trPr>
        <w:tc>
          <w:tcPr>
            <w:tcW w:w="6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Finished products</w:t>
            </w:r>
          </w:p>
        </w:tc>
        <w:tc>
          <w:tcPr>
            <w:tcW w:w="1440" w:type="dxa"/>
            <w:vAlign w:val="bottom"/>
            <w:shd w:val="clear" w:color="auto" w:fill="CFF0FC"/>
          </w:tcPr>
          <w:p>
            <w:pPr>
              <w:jc w:val="right"/>
              <w:ind w:right="1255"/>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460</w:t>
            </w:r>
          </w:p>
        </w:tc>
        <w:tc>
          <w:tcPr>
            <w:tcW w:w="5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740" w:type="dxa"/>
            <w:vAlign w:val="bottom"/>
            <w:shd w:val="clear" w:color="auto" w:fill="CFF0FC"/>
          </w:tcPr>
          <w:p>
            <w:pPr>
              <w:jc w:val="right"/>
              <w:ind w:right="55"/>
              <w:spacing w:after="0"/>
              <w:rPr>
                <w:sz w:val="20"/>
                <w:szCs w:val="20"/>
                <w:color w:val="auto"/>
              </w:rPr>
            </w:pPr>
            <w:r>
              <w:rPr>
                <w:rFonts w:ascii="Arial" w:cs="Arial" w:eastAsia="Arial" w:hAnsi="Arial"/>
                <w:sz w:val="16"/>
                <w:szCs w:val="16"/>
                <w:color w:val="auto"/>
              </w:rPr>
              <w:t>391</w:t>
            </w:r>
          </w:p>
        </w:tc>
      </w:tr>
      <w:tr>
        <w:trPr>
          <w:trHeight w:val="227"/>
        </w:trPr>
        <w:tc>
          <w:tcPr>
            <w:tcW w:w="6160" w:type="dxa"/>
            <w:vAlign w:val="bottom"/>
          </w:tcPr>
          <w:p>
            <w:pPr>
              <w:ind w:left="20"/>
              <w:spacing w:after="0"/>
              <w:rPr>
                <w:sz w:val="20"/>
                <w:szCs w:val="20"/>
                <w:color w:val="auto"/>
              </w:rPr>
            </w:pPr>
            <w:r>
              <w:rPr>
                <w:rFonts w:ascii="Arial" w:cs="Arial" w:eastAsia="Arial" w:hAnsi="Arial"/>
                <w:sz w:val="16"/>
                <w:szCs w:val="16"/>
                <w:color w:val="auto"/>
              </w:rPr>
              <w:t>Raw materials, supplies and work in process</w:t>
            </w:r>
          </w:p>
        </w:tc>
        <w:tc>
          <w:tcPr>
            <w:tcW w:w="14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252</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55"/>
              <w:spacing w:after="0"/>
              <w:rPr>
                <w:sz w:val="20"/>
                <w:szCs w:val="20"/>
                <w:color w:val="auto"/>
              </w:rPr>
            </w:pPr>
            <w:r>
              <w:rPr>
                <w:rFonts w:ascii="Arial" w:cs="Arial" w:eastAsia="Arial" w:hAnsi="Arial"/>
                <w:sz w:val="16"/>
                <w:szCs w:val="16"/>
                <w:color w:val="auto"/>
              </w:rPr>
              <w:t>238</w:t>
            </w:r>
          </w:p>
        </w:tc>
      </w:tr>
      <w:tr>
        <w:trPr>
          <w:trHeight w:val="260"/>
        </w:trPr>
        <w:tc>
          <w:tcPr>
            <w:tcW w:w="6160" w:type="dxa"/>
            <w:vAlign w:val="bottom"/>
            <w:shd w:val="clear" w:color="auto" w:fill="CFF0FC"/>
          </w:tcPr>
          <w:p>
            <w:pPr>
              <w:spacing w:after="0"/>
              <w:rPr>
                <w:sz w:val="22"/>
                <w:szCs w:val="22"/>
                <w:color w:val="auto"/>
              </w:rPr>
            </w:pPr>
          </w:p>
        </w:tc>
        <w:tc>
          <w:tcPr>
            <w:tcW w:w="1440" w:type="dxa"/>
            <w:vAlign w:val="bottom"/>
            <w:shd w:val="clear" w:color="auto" w:fill="CFF0FC"/>
          </w:tcPr>
          <w:p>
            <w:pPr>
              <w:jc w:val="right"/>
              <w:ind w:right="1255"/>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712</w:t>
            </w:r>
          </w:p>
        </w:tc>
        <w:tc>
          <w:tcPr>
            <w:tcW w:w="5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740" w:type="dxa"/>
            <w:vAlign w:val="bottom"/>
            <w:shd w:val="clear" w:color="auto" w:fill="CFF0FC"/>
          </w:tcPr>
          <w:p>
            <w:pPr>
              <w:jc w:val="right"/>
              <w:ind w:right="55"/>
              <w:spacing w:after="0"/>
              <w:rPr>
                <w:sz w:val="20"/>
                <w:szCs w:val="20"/>
                <w:color w:val="auto"/>
              </w:rPr>
            </w:pPr>
            <w:r>
              <w:rPr>
                <w:rFonts w:ascii="Arial" w:cs="Arial" w:eastAsia="Arial" w:hAnsi="Arial"/>
                <w:sz w:val="16"/>
                <w:szCs w:val="16"/>
                <w:color w:val="auto"/>
              </w:rPr>
              <w:t>629</w:t>
            </w:r>
          </w:p>
        </w:tc>
      </w:tr>
      <w:tr>
        <w:trPr>
          <w:trHeight w:val="81"/>
        </w:trPr>
        <w:tc>
          <w:tcPr>
            <w:tcW w:w="6160" w:type="dxa"/>
            <w:vAlign w:val="bottom"/>
            <w:tcBorders>
              <w:top w:val="single" w:sz="8" w:color="CFF0FC"/>
              <w:bottom w:val="single" w:sz="8" w:color="auto"/>
            </w:tcBorders>
          </w:tcPr>
          <w:p>
            <w:pPr>
              <w:spacing w:after="0"/>
              <w:rPr>
                <w:sz w:val="7"/>
                <w:szCs w:val="7"/>
                <w:color w:val="auto"/>
              </w:rPr>
            </w:pPr>
          </w:p>
        </w:tc>
        <w:tc>
          <w:tcPr>
            <w:tcW w:w="1440" w:type="dxa"/>
            <w:vAlign w:val="bottom"/>
            <w:tcBorders>
              <w:top w:val="single" w:sz="8" w:color="auto"/>
              <w:bottom w:val="single" w:sz="8" w:color="auto"/>
            </w:tcBorders>
          </w:tcPr>
          <w:p>
            <w:pPr>
              <w:spacing w:after="0"/>
              <w:rPr>
                <w:sz w:val="7"/>
                <w:szCs w:val="7"/>
                <w:color w:val="auto"/>
              </w:rPr>
            </w:pPr>
          </w:p>
        </w:tc>
        <w:tc>
          <w:tcPr>
            <w:tcW w:w="600" w:type="dxa"/>
            <w:vAlign w:val="bottom"/>
            <w:tcBorders>
              <w:top w:val="single" w:sz="8" w:color="auto"/>
              <w:bottom w:val="single" w:sz="8" w:color="auto"/>
            </w:tcBorders>
          </w:tcPr>
          <w:p>
            <w:pPr>
              <w:spacing w:after="0"/>
              <w:rPr>
                <w:sz w:val="7"/>
                <w:szCs w:val="7"/>
                <w:color w:val="auto"/>
              </w:rPr>
            </w:pPr>
          </w:p>
        </w:tc>
        <w:tc>
          <w:tcPr>
            <w:tcW w:w="220" w:type="dxa"/>
            <w:vAlign w:val="bottom"/>
            <w:tcBorders>
              <w:top w:val="single" w:sz="8" w:color="CFF0FC"/>
              <w:bottom w:val="single" w:sz="8" w:color="auto"/>
            </w:tcBorders>
          </w:tcPr>
          <w:p>
            <w:pPr>
              <w:spacing w:after="0"/>
              <w:rPr>
                <w:sz w:val="7"/>
                <w:szCs w:val="7"/>
                <w:color w:val="auto"/>
              </w:rPr>
            </w:pPr>
          </w:p>
        </w:tc>
        <w:tc>
          <w:tcPr>
            <w:tcW w:w="280" w:type="dxa"/>
            <w:vAlign w:val="bottom"/>
            <w:tcBorders>
              <w:top w:val="single" w:sz="8" w:color="auto"/>
              <w:bottom w:val="single" w:sz="8" w:color="auto"/>
            </w:tcBorders>
          </w:tcPr>
          <w:p>
            <w:pPr>
              <w:spacing w:after="0"/>
              <w:rPr>
                <w:sz w:val="7"/>
                <w:szCs w:val="7"/>
                <w:color w:val="auto"/>
              </w:rPr>
            </w:pPr>
          </w:p>
        </w:tc>
        <w:tc>
          <w:tcPr>
            <w:tcW w:w="1740" w:type="dxa"/>
            <w:vAlign w:val="bottom"/>
            <w:tcBorders>
              <w:top w:val="single" w:sz="8" w:color="auto"/>
              <w:bottom w:val="single" w:sz="8" w:color="auto"/>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-93345</wp:posOffset>
            </wp:positionV>
            <wp:extent cx="146050" cy="939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46050" cy="9398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G – GOODWILL AND OTHER INTANGIBLES</w:t>
      </w:r>
    </w:p>
    <w:p>
      <w:pPr>
        <w:spacing w:after="0" w:line="108"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Goodwill</w:t>
      </w:r>
    </w:p>
    <w:p>
      <w:pPr>
        <w:spacing w:after="0" w:line="114" w:lineRule="exact"/>
        <w:rPr>
          <w:sz w:val="20"/>
          <w:szCs w:val="20"/>
          <w:color w:val="auto"/>
        </w:rPr>
      </w:pPr>
    </w:p>
    <w:p>
      <w:pPr>
        <w:jc w:val="both"/>
        <w:ind w:left="380"/>
        <w:spacing w:after="0" w:line="260" w:lineRule="auto"/>
        <w:rPr>
          <w:sz w:val="20"/>
          <w:szCs w:val="20"/>
          <w:color w:val="auto"/>
        </w:rPr>
      </w:pPr>
      <w:r>
        <w:rPr>
          <w:rFonts w:ascii="Arial" w:cs="Arial" w:eastAsia="Arial" w:hAnsi="Arial"/>
          <w:sz w:val="20"/>
          <w:szCs w:val="20"/>
          <w:color w:val="auto"/>
        </w:rPr>
        <w:t>Ashland tests goodwill and other indefinite-lived intangible assets for impairment annually as of July 1 and when events and circumstances indicate an impairment may have occurred.</w:t>
      </w:r>
    </w:p>
    <w:p>
      <w:pPr>
        <w:spacing w:after="0" w:line="6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w:t>
      </w:r>
      <w:r>
        <w:rPr>
          <w:rFonts w:ascii="Arial" w:cs="Arial" w:eastAsia="Arial" w:hAnsi="Arial"/>
          <w:sz w:val="19"/>
          <w:szCs w:val="19"/>
          <w:color w:val="auto"/>
        </w:rPr>
        <w:t>o indicators of impairment were identified in the three and nine months ended June 30, 2023.</w:t>
      </w:r>
    </w:p>
    <w:p>
      <w:pPr>
        <w:spacing w:after="0" w:line="119" w:lineRule="exact"/>
        <w:rPr>
          <w:sz w:val="20"/>
          <w:szCs w:val="20"/>
          <w:color w:val="auto"/>
        </w:rPr>
      </w:pPr>
    </w:p>
    <w:p>
      <w:pPr>
        <w:ind w:left="380"/>
        <w:spacing w:after="0"/>
        <w:rPr>
          <w:sz w:val="20"/>
          <w:szCs w:val="20"/>
          <w:color w:val="auto"/>
        </w:rPr>
      </w:pPr>
      <w:r>
        <w:rPr>
          <w:rFonts w:ascii="Arial" w:cs="Arial" w:eastAsia="Arial" w:hAnsi="Arial"/>
          <w:sz w:val="20"/>
          <w:szCs w:val="20"/>
          <w:color w:val="auto"/>
        </w:rPr>
        <w:t>The following is a progression of goodwill by reportable segment for the nine months ended June 30, 2023.</w:t>
      </w:r>
    </w:p>
    <w:p>
      <w:pPr>
        <w:spacing w:after="0" w:line="145" w:lineRule="exact"/>
        <w:rPr>
          <w:sz w:val="20"/>
          <w:szCs w:val="20"/>
          <w:color w:val="auto"/>
        </w:rPr>
      </w:pPr>
    </w:p>
    <w:tbl>
      <w:tblPr>
        <w:tblLayout w:type="fixed"/>
        <w:tblInd w:w="400" w:type="dxa"/>
        <w:tblCellMar>
          <w:top w:w="0" w:type="dxa"/>
          <w:left w:w="0" w:type="dxa"/>
          <w:bottom w:w="0" w:type="dxa"/>
          <w:right w:w="0" w:type="dxa"/>
        </w:tblCellMar>
      </w:tblPr>
      <w:tr>
        <w:trPr>
          <w:trHeight w:val="244"/>
        </w:trPr>
        <w:tc>
          <w:tcPr>
            <w:tcW w:w="316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Life</w:t>
            </w:r>
          </w:p>
        </w:tc>
        <w:tc>
          <w:tcPr>
            <w:tcW w:w="16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2"/>
              </w:rPr>
              <w:t>Personal</w:t>
            </w:r>
          </w:p>
        </w:tc>
        <w:tc>
          <w:tcPr>
            <w:tcW w:w="28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5"/>
              </w:rPr>
              <w:t>Specialty</w:t>
            </w:r>
          </w:p>
        </w:tc>
        <w:tc>
          <w:tcPr>
            <w:tcW w:w="2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r>
      <w:tr>
        <w:trPr>
          <w:trHeight w:val="249"/>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0"/>
              </w:rPr>
              <w:t>Sciences</w:t>
            </w:r>
          </w:p>
        </w:tc>
        <w:tc>
          <w:tcPr>
            <w:tcW w:w="1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 xml:space="preserve">Care </w:t>
            </w:r>
            <w:r>
              <w:rPr>
                <w:rFonts w:ascii="Arial" w:cs="Arial" w:eastAsia="Arial" w:hAnsi="Arial"/>
                <w:sz w:val="14"/>
                <w:szCs w:val="14"/>
                <w:color w:val="auto"/>
              </w:rPr>
              <w:t>(a)</w:t>
            </w: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 xml:space="preserve">Additives </w:t>
            </w:r>
            <w:r>
              <w:rPr>
                <w:rFonts w:ascii="Arial" w:cs="Arial" w:eastAsia="Arial" w:hAnsi="Arial"/>
                <w:sz w:val="14"/>
                <w:szCs w:val="14"/>
                <w:color w:val="auto"/>
              </w:rPr>
              <w:t>(a)</w:t>
            </w:r>
          </w:p>
        </w:tc>
        <w:tc>
          <w:tcPr>
            <w:tcW w:w="2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xml:space="preserve">Intermediates </w:t>
            </w:r>
            <w:r>
              <w:rPr>
                <w:rFonts w:ascii="Arial" w:cs="Arial" w:eastAsia="Arial" w:hAnsi="Arial"/>
                <w:sz w:val="14"/>
                <w:szCs w:val="14"/>
                <w:color w:val="auto"/>
              </w:rPr>
              <w:t>(a)</w:t>
            </w:r>
          </w:p>
        </w:tc>
        <w:tc>
          <w:tcPr>
            <w:tcW w:w="2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Total</w:t>
            </w:r>
          </w:p>
        </w:tc>
      </w:tr>
      <w:tr>
        <w:trPr>
          <w:trHeight w:val="243"/>
        </w:trPr>
        <w:tc>
          <w:tcPr>
            <w:tcW w:w="3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September 30, 2022</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787</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118</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407</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ind w:left="110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1,312</w:t>
            </w:r>
          </w:p>
        </w:tc>
      </w:tr>
      <w:tr>
        <w:trPr>
          <w:trHeight w:val="243"/>
        </w:trPr>
        <w:tc>
          <w:tcPr>
            <w:tcW w:w="3160" w:type="dxa"/>
            <w:vAlign w:val="bottom"/>
          </w:tcPr>
          <w:p>
            <w:pPr>
              <w:ind w:left="20"/>
              <w:spacing w:after="0"/>
              <w:rPr>
                <w:sz w:val="20"/>
                <w:szCs w:val="20"/>
                <w:color w:val="auto"/>
              </w:rPr>
            </w:pPr>
            <w:r>
              <w:rPr>
                <w:rFonts w:ascii="Arial" w:cs="Arial" w:eastAsia="Arial" w:hAnsi="Arial"/>
                <w:sz w:val="18"/>
                <w:szCs w:val="18"/>
                <w:color w:val="auto"/>
              </w:rPr>
              <w:t>Currency translation</w:t>
            </w: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71</w:t>
            </w:r>
          </w:p>
        </w:tc>
      </w:tr>
      <w:tr>
        <w:trPr>
          <w:trHeight w:val="277"/>
        </w:trPr>
        <w:tc>
          <w:tcPr>
            <w:tcW w:w="3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at June 30, 2023</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832</w:t>
            </w:r>
          </w:p>
        </w:tc>
        <w:tc>
          <w:tcPr>
            <w:tcW w:w="1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123</w:t>
            </w:r>
          </w:p>
        </w:tc>
        <w:tc>
          <w:tcPr>
            <w:tcW w:w="2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428</w:t>
            </w:r>
          </w:p>
        </w:tc>
        <w:tc>
          <w:tcPr>
            <w:tcW w:w="2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ind w:left="11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1,383</w:t>
            </w:r>
          </w:p>
        </w:tc>
      </w:tr>
      <w:tr>
        <w:trPr>
          <w:trHeight w:val="129"/>
        </w:trPr>
        <w:tc>
          <w:tcPr>
            <w:tcW w:w="31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-128270</wp:posOffset>
            </wp:positionV>
            <wp:extent cx="3137535" cy="1289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137535" cy="128905"/>
                    </a:xfrm>
                    <a:prstGeom prst="rect">
                      <a:avLst/>
                    </a:prstGeom>
                    <a:noFill/>
                  </pic:spPr>
                </pic:pic>
              </a:graphicData>
            </a:graphic>
          </wp:anchor>
        </w:drawing>
      </w:r>
    </w:p>
    <w:p>
      <w:pPr>
        <w:spacing w:after="0" w:line="69" w:lineRule="exact"/>
        <w:rPr>
          <w:sz w:val="20"/>
          <w:szCs w:val="20"/>
          <w:color w:val="auto"/>
        </w:rPr>
      </w:pPr>
    </w:p>
    <w:p>
      <w:pPr>
        <w:ind w:left="740" w:hanging="358"/>
        <w:spacing w:after="0" w:line="253" w:lineRule="auto"/>
        <w:tabs>
          <w:tab w:leader="none" w:pos="740" w:val="left"/>
        </w:tabs>
        <w:numPr>
          <w:ilvl w:val="0"/>
          <w:numId w:val="9"/>
        </w:numPr>
        <w:rPr>
          <w:rFonts w:ascii="Arial" w:cs="Arial" w:eastAsia="Arial" w:hAnsi="Arial"/>
          <w:sz w:val="14"/>
          <w:szCs w:val="14"/>
          <w:color w:val="auto"/>
        </w:rPr>
      </w:pPr>
      <w:r>
        <w:rPr>
          <w:rFonts w:ascii="Arial" w:cs="Arial" w:eastAsia="Arial" w:hAnsi="Arial"/>
          <w:sz w:val="14"/>
          <w:szCs w:val="14"/>
          <w:color w:val="auto"/>
        </w:rPr>
        <w:t>As of June 30, 2023 and September 30, 2022, there were accumulated impairments of $356 million, $174 million and $90 million related to the Personal Care, Specialty Additives and Intermediates reportable segments, respectively.</w:t>
      </w:r>
    </w:p>
    <w:p>
      <w:pPr>
        <w:spacing w:after="0" w:line="7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447" w:right="719" w:bottom="1440" w:gutter="0" w:footer="0" w:header="0"/>
        </w:sectPr>
      </w:pPr>
    </w:p>
    <w:bookmarkStart w:id="11" w:name="page12"/>
    <w:bookmarkEnd w:id="11"/>
    <w:p>
      <w:pPr>
        <w:spacing w:after="0"/>
        <w:rPr>
          <w:sz w:val="20"/>
          <w:szCs w:val="20"/>
          <w:color w:val="auto"/>
        </w:rPr>
      </w:pPr>
      <w:r>
        <w:rPr>
          <w:rFonts w:ascii="Arial" w:cs="Arial" w:eastAsia="Arial" w:hAnsi="Arial"/>
          <w:sz w:val="20"/>
          <w:szCs w:val="20"/>
          <w:b w:val="1"/>
          <w:bCs w:val="1"/>
          <w:color w:val="auto"/>
        </w:rPr>
        <w:t>Other intangible assets</w:t>
      </w:r>
    </w:p>
    <w:p>
      <w:pPr>
        <w:spacing w:after="0" w:line="11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Intangible assets principally consist of trademarks and trade names, intellectual property and customer and supplier relationships. Intangible assets classified as finite are amortized on a straight-line basis over their estimated useful lives. The cost of trademarks and trade names is amortized principally over 3 to 20 years, intellectual property over 3 to 20 years, and customer and supplier relationships over 10 to 24 years.</w:t>
      </w:r>
    </w:p>
    <w:p>
      <w:pPr>
        <w:spacing w:after="0" w:line="8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Ashland annually reviews, as of July 1, indefinite-lived intangible assets for possible impairment or whenever events or changes in circumstances indicate that carrying amounts may not be recoverable.</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color w:val="auto"/>
        </w:rPr>
        <w:t>No indicators of impairment were identified in the three and nine months ended June 30, 2023.</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Other intangible assets were comprised of the following as of June 30, 2023 and September 30, 2022.</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250"/>
        </w:trPr>
        <w:tc>
          <w:tcPr>
            <w:tcW w:w="458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8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June 30, 2023</w:t>
            </w:r>
          </w:p>
        </w:tc>
        <w:tc>
          <w:tcPr>
            <w:tcW w:w="40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spacing w:after="0"/>
              <w:rPr>
                <w:sz w:val="21"/>
                <w:szCs w:val="21"/>
                <w:color w:val="auto"/>
              </w:rPr>
            </w:pPr>
          </w:p>
        </w:tc>
      </w:tr>
      <w:tr>
        <w:trPr>
          <w:trHeight w:val="230"/>
        </w:trPr>
        <w:tc>
          <w:tcPr>
            <w:tcW w:w="4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center"/>
              <w:ind w:right="290"/>
              <w:spacing w:after="0"/>
              <w:rPr>
                <w:sz w:val="20"/>
                <w:szCs w:val="20"/>
                <w:color w:val="auto"/>
              </w:rPr>
            </w:pPr>
            <w:r>
              <w:rPr>
                <w:rFonts w:ascii="Arial" w:cs="Arial" w:eastAsia="Arial" w:hAnsi="Arial"/>
                <w:sz w:val="18"/>
                <w:szCs w:val="18"/>
                <w:color w:val="auto"/>
                <w:w w:val="87"/>
              </w:rPr>
              <w:t>Gross</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jc w:val="center"/>
              <w:ind w:right="290"/>
              <w:spacing w:after="0"/>
              <w:rPr>
                <w:sz w:val="20"/>
                <w:szCs w:val="20"/>
                <w:color w:val="auto"/>
              </w:rPr>
            </w:pPr>
            <w:r>
              <w:rPr>
                <w:rFonts w:ascii="Arial" w:cs="Arial" w:eastAsia="Arial" w:hAnsi="Arial"/>
                <w:sz w:val="18"/>
                <w:szCs w:val="18"/>
                <w:color w:val="auto"/>
                <w:w w:val="92"/>
              </w:rPr>
              <w:t>Net</w:t>
            </w:r>
          </w:p>
        </w:tc>
      </w:tr>
      <w:tr>
        <w:trPr>
          <w:trHeight w:val="242"/>
        </w:trPr>
        <w:tc>
          <w:tcPr>
            <w:tcW w:w="4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center"/>
              <w:ind w:right="270"/>
              <w:spacing w:after="0"/>
              <w:rPr>
                <w:sz w:val="20"/>
                <w:szCs w:val="20"/>
                <w:color w:val="auto"/>
              </w:rPr>
            </w:pPr>
            <w:r>
              <w:rPr>
                <w:rFonts w:ascii="Arial" w:cs="Arial" w:eastAsia="Arial" w:hAnsi="Arial"/>
                <w:sz w:val="18"/>
                <w:szCs w:val="18"/>
                <w:color w:val="auto"/>
                <w:w w:val="93"/>
              </w:rPr>
              <w:t>carrying</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tcPr>
          <w:p>
            <w:pPr>
              <w:jc w:val="center"/>
              <w:ind w:right="370"/>
              <w:spacing w:after="0"/>
              <w:rPr>
                <w:sz w:val="20"/>
                <w:szCs w:val="20"/>
                <w:color w:val="auto"/>
              </w:rPr>
            </w:pPr>
            <w:r>
              <w:rPr>
                <w:rFonts w:ascii="Arial" w:cs="Arial" w:eastAsia="Arial" w:hAnsi="Arial"/>
                <w:sz w:val="18"/>
                <w:szCs w:val="18"/>
                <w:color w:val="auto"/>
                <w:w w:val="92"/>
              </w:rPr>
              <w:t>Accumulated</w:t>
            </w: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jc w:val="center"/>
              <w:ind w:right="310"/>
              <w:spacing w:after="0"/>
              <w:rPr>
                <w:sz w:val="20"/>
                <w:szCs w:val="20"/>
                <w:color w:val="auto"/>
              </w:rPr>
            </w:pPr>
            <w:r>
              <w:rPr>
                <w:rFonts w:ascii="Arial" w:cs="Arial" w:eastAsia="Arial" w:hAnsi="Arial"/>
                <w:sz w:val="18"/>
                <w:szCs w:val="18"/>
                <w:color w:val="auto"/>
                <w:w w:val="93"/>
              </w:rPr>
              <w:t>carrying</w:t>
            </w:r>
          </w:p>
        </w:tc>
      </w:tr>
      <w:tr>
        <w:trPr>
          <w:trHeight w:val="250"/>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color w:val="auto"/>
                <w:w w:val="89"/>
              </w:rPr>
              <w:t>amount</w:t>
            </w:r>
          </w:p>
        </w:tc>
        <w:tc>
          <w:tcPr>
            <w:tcW w:w="1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jc w:val="center"/>
              <w:ind w:right="350"/>
              <w:spacing w:after="0"/>
              <w:rPr>
                <w:sz w:val="20"/>
                <w:szCs w:val="20"/>
                <w:color w:val="auto"/>
              </w:rPr>
            </w:pPr>
            <w:r>
              <w:rPr>
                <w:rFonts w:ascii="Arial" w:cs="Arial" w:eastAsia="Arial" w:hAnsi="Arial"/>
                <w:sz w:val="18"/>
                <w:szCs w:val="18"/>
                <w:color w:val="auto"/>
                <w:w w:val="91"/>
              </w:rPr>
              <w:t>amortization</w:t>
            </w:r>
          </w:p>
        </w:tc>
        <w:tc>
          <w:tcPr>
            <w:tcW w:w="4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color w:val="auto"/>
                <w:w w:val="89"/>
              </w:rPr>
              <w:t>amount</w:t>
            </w:r>
          </w:p>
        </w:tc>
      </w:tr>
      <w:tr>
        <w:trPr>
          <w:trHeight w:val="243"/>
        </w:trPr>
        <w:tc>
          <w:tcPr>
            <w:tcW w:w="4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Definite-lived intangibles</w:t>
            </w:r>
          </w:p>
        </w:tc>
        <w:tc>
          <w:tcPr>
            <w:tcW w:w="24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8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r>
      <w:tr>
        <w:trPr>
          <w:trHeight w:val="237"/>
        </w:trPr>
        <w:tc>
          <w:tcPr>
            <w:tcW w:w="4580" w:type="dxa"/>
            <w:vAlign w:val="bottom"/>
          </w:tcPr>
          <w:p>
            <w:pPr>
              <w:ind w:left="100"/>
              <w:spacing w:after="0"/>
              <w:rPr>
                <w:sz w:val="20"/>
                <w:szCs w:val="20"/>
                <w:color w:val="auto"/>
              </w:rPr>
            </w:pPr>
            <w:r>
              <w:rPr>
                <w:rFonts w:ascii="Arial" w:cs="Arial" w:eastAsia="Arial" w:hAnsi="Arial"/>
                <w:sz w:val="18"/>
                <w:szCs w:val="18"/>
                <w:color w:val="auto"/>
              </w:rPr>
              <w:t>Trademarks and trade names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98</w:t>
            </w:r>
          </w:p>
        </w:tc>
        <w:tc>
          <w:tcPr>
            <w:tcW w:w="4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(42 )</w:t>
            </w:r>
          </w:p>
        </w:tc>
        <w:tc>
          <w:tcPr>
            <w:tcW w:w="6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56</w:t>
            </w:r>
          </w:p>
        </w:tc>
      </w:tr>
      <w:tr>
        <w:trPr>
          <w:trHeight w:val="249"/>
        </w:trPr>
        <w:tc>
          <w:tcPr>
            <w:tcW w:w="45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Intellectual property</w:t>
            </w:r>
          </w:p>
        </w:tc>
        <w:tc>
          <w:tcPr>
            <w:tcW w:w="240" w:type="dxa"/>
            <w:vAlign w:val="bottom"/>
            <w:shd w:val="clear" w:color="auto" w:fill="CFF0FC"/>
          </w:tcPr>
          <w:p>
            <w:pPr>
              <w:spacing w:after="0"/>
              <w:rPr>
                <w:sz w:val="21"/>
                <w:szCs w:val="21"/>
                <w:color w:val="auto"/>
              </w:rPr>
            </w:pPr>
          </w:p>
        </w:tc>
        <w:tc>
          <w:tcPr>
            <w:tcW w:w="1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738</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(573 )</w:t>
            </w:r>
          </w:p>
        </w:tc>
        <w:tc>
          <w:tcPr>
            <w:tcW w:w="4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165</w:t>
            </w:r>
          </w:p>
        </w:tc>
      </w:tr>
      <w:tr>
        <w:trPr>
          <w:trHeight w:val="243"/>
        </w:trPr>
        <w:tc>
          <w:tcPr>
            <w:tcW w:w="4580" w:type="dxa"/>
            <w:vAlign w:val="bottom"/>
          </w:tcPr>
          <w:p>
            <w:pPr>
              <w:ind w:left="100"/>
              <w:spacing w:after="0"/>
              <w:rPr>
                <w:sz w:val="20"/>
                <w:szCs w:val="20"/>
                <w:color w:val="auto"/>
              </w:rPr>
            </w:pPr>
            <w:r>
              <w:rPr>
                <w:rFonts w:ascii="Arial" w:cs="Arial" w:eastAsia="Arial" w:hAnsi="Arial"/>
                <w:sz w:val="18"/>
                <w:szCs w:val="18"/>
                <w:color w:val="auto"/>
              </w:rPr>
              <w:t>Customer and supplier relationships</w:t>
            </w: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830</w:t>
            </w:r>
          </w:p>
        </w:tc>
        <w:tc>
          <w:tcPr>
            <w:tcW w:w="1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(413 )</w:t>
            </w:r>
          </w:p>
        </w:tc>
        <w:tc>
          <w:tcPr>
            <w:tcW w:w="4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417</w:t>
            </w:r>
          </w:p>
        </w:tc>
      </w:tr>
      <w:tr>
        <w:trPr>
          <w:trHeight w:val="236"/>
        </w:trPr>
        <w:tc>
          <w:tcPr>
            <w:tcW w:w="4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definite-lived intangibles</w:t>
            </w:r>
          </w:p>
        </w:tc>
        <w:tc>
          <w:tcPr>
            <w:tcW w:w="24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1,666</w:t>
            </w:r>
          </w:p>
        </w:tc>
        <w:tc>
          <w:tcPr>
            <w:tcW w:w="1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(1,028 )</w:t>
            </w:r>
          </w:p>
        </w:tc>
        <w:tc>
          <w:tcPr>
            <w:tcW w:w="4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638</w:t>
            </w:r>
          </w:p>
        </w:tc>
      </w:tr>
      <w:tr>
        <w:trPr>
          <w:trHeight w:val="237"/>
        </w:trPr>
        <w:tc>
          <w:tcPr>
            <w:tcW w:w="4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43"/>
        </w:trPr>
        <w:tc>
          <w:tcPr>
            <w:tcW w:w="4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Indefinite-lived intangibles</w:t>
            </w:r>
          </w:p>
        </w:tc>
        <w:tc>
          <w:tcPr>
            <w:tcW w:w="24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8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r>
      <w:tr>
        <w:trPr>
          <w:trHeight w:val="243"/>
        </w:trPr>
        <w:tc>
          <w:tcPr>
            <w:tcW w:w="4580" w:type="dxa"/>
            <w:vAlign w:val="bottom"/>
          </w:tcPr>
          <w:p>
            <w:pPr>
              <w:ind w:left="100"/>
              <w:spacing w:after="0"/>
              <w:rPr>
                <w:sz w:val="20"/>
                <w:szCs w:val="20"/>
                <w:color w:val="auto"/>
              </w:rPr>
            </w:pPr>
            <w:r>
              <w:rPr>
                <w:rFonts w:ascii="Arial" w:cs="Arial" w:eastAsia="Arial" w:hAnsi="Arial"/>
                <w:sz w:val="18"/>
                <w:szCs w:val="18"/>
                <w:color w:val="auto"/>
              </w:rPr>
              <w:t>Trademarks and trade names</w:t>
            </w: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278</w:t>
            </w:r>
          </w:p>
        </w:tc>
        <w:tc>
          <w:tcPr>
            <w:tcW w:w="1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278</w:t>
            </w:r>
          </w:p>
        </w:tc>
      </w:tr>
      <w:tr>
        <w:trPr>
          <w:trHeight w:val="277"/>
        </w:trPr>
        <w:tc>
          <w:tcPr>
            <w:tcW w:w="4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intangible assets</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1,944</w:t>
            </w:r>
          </w:p>
        </w:tc>
        <w:tc>
          <w:tcPr>
            <w:tcW w:w="1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(1,028 )</w:t>
            </w:r>
          </w:p>
        </w:tc>
        <w:tc>
          <w:tcPr>
            <w:tcW w:w="4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916</w:t>
            </w:r>
          </w:p>
        </w:tc>
      </w:tr>
      <w:tr>
        <w:trPr>
          <w:trHeight w:val="305"/>
        </w:trPr>
        <w:tc>
          <w:tcPr>
            <w:tcW w:w="4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r>
        <w:trPr>
          <w:trHeight w:val="230"/>
        </w:trPr>
        <w:tc>
          <w:tcPr>
            <w:tcW w:w="45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September 30, 2022</w:t>
            </w:r>
          </w:p>
        </w:tc>
        <w:tc>
          <w:tcPr>
            <w:tcW w:w="4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r>
      <w:tr>
        <w:trPr>
          <w:trHeight w:val="230"/>
        </w:trPr>
        <w:tc>
          <w:tcPr>
            <w:tcW w:w="4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center"/>
              <w:ind w:right="290"/>
              <w:spacing w:after="0"/>
              <w:rPr>
                <w:sz w:val="20"/>
                <w:szCs w:val="20"/>
                <w:color w:val="auto"/>
              </w:rPr>
            </w:pPr>
            <w:r>
              <w:rPr>
                <w:rFonts w:ascii="Arial" w:cs="Arial" w:eastAsia="Arial" w:hAnsi="Arial"/>
                <w:sz w:val="18"/>
                <w:szCs w:val="18"/>
                <w:color w:val="auto"/>
                <w:w w:val="87"/>
              </w:rPr>
              <w:t>Gross</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jc w:val="center"/>
              <w:ind w:right="290"/>
              <w:spacing w:after="0"/>
              <w:rPr>
                <w:sz w:val="20"/>
                <w:szCs w:val="20"/>
                <w:color w:val="auto"/>
              </w:rPr>
            </w:pPr>
            <w:r>
              <w:rPr>
                <w:rFonts w:ascii="Arial" w:cs="Arial" w:eastAsia="Arial" w:hAnsi="Arial"/>
                <w:sz w:val="18"/>
                <w:szCs w:val="18"/>
                <w:color w:val="auto"/>
                <w:w w:val="92"/>
              </w:rPr>
              <w:t>Net</w:t>
            </w:r>
          </w:p>
        </w:tc>
      </w:tr>
      <w:tr>
        <w:trPr>
          <w:trHeight w:val="242"/>
        </w:trPr>
        <w:tc>
          <w:tcPr>
            <w:tcW w:w="4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center"/>
              <w:ind w:right="270"/>
              <w:spacing w:after="0"/>
              <w:rPr>
                <w:sz w:val="20"/>
                <w:szCs w:val="20"/>
                <w:color w:val="auto"/>
              </w:rPr>
            </w:pPr>
            <w:r>
              <w:rPr>
                <w:rFonts w:ascii="Arial" w:cs="Arial" w:eastAsia="Arial" w:hAnsi="Arial"/>
                <w:sz w:val="18"/>
                <w:szCs w:val="18"/>
                <w:color w:val="auto"/>
                <w:w w:val="93"/>
              </w:rPr>
              <w:t>carrying</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tcPr>
          <w:p>
            <w:pPr>
              <w:jc w:val="center"/>
              <w:ind w:right="370"/>
              <w:spacing w:after="0"/>
              <w:rPr>
                <w:sz w:val="20"/>
                <w:szCs w:val="20"/>
                <w:color w:val="auto"/>
              </w:rPr>
            </w:pPr>
            <w:r>
              <w:rPr>
                <w:rFonts w:ascii="Arial" w:cs="Arial" w:eastAsia="Arial" w:hAnsi="Arial"/>
                <w:sz w:val="18"/>
                <w:szCs w:val="18"/>
                <w:color w:val="auto"/>
                <w:w w:val="92"/>
              </w:rPr>
              <w:t>Accumulated</w:t>
            </w: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jc w:val="center"/>
              <w:ind w:right="310"/>
              <w:spacing w:after="0"/>
              <w:rPr>
                <w:sz w:val="20"/>
                <w:szCs w:val="20"/>
                <w:color w:val="auto"/>
              </w:rPr>
            </w:pPr>
            <w:r>
              <w:rPr>
                <w:rFonts w:ascii="Arial" w:cs="Arial" w:eastAsia="Arial" w:hAnsi="Arial"/>
                <w:sz w:val="18"/>
                <w:szCs w:val="18"/>
                <w:color w:val="auto"/>
                <w:w w:val="93"/>
              </w:rPr>
              <w:t>carrying</w:t>
            </w:r>
          </w:p>
        </w:tc>
      </w:tr>
      <w:tr>
        <w:trPr>
          <w:trHeight w:val="250"/>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color w:val="auto"/>
                <w:w w:val="89"/>
              </w:rPr>
              <w:t>amount</w:t>
            </w:r>
          </w:p>
        </w:tc>
        <w:tc>
          <w:tcPr>
            <w:tcW w:w="1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jc w:val="center"/>
              <w:ind w:right="350"/>
              <w:spacing w:after="0"/>
              <w:rPr>
                <w:sz w:val="20"/>
                <w:szCs w:val="20"/>
                <w:color w:val="auto"/>
              </w:rPr>
            </w:pPr>
            <w:r>
              <w:rPr>
                <w:rFonts w:ascii="Arial" w:cs="Arial" w:eastAsia="Arial" w:hAnsi="Arial"/>
                <w:sz w:val="18"/>
                <w:szCs w:val="18"/>
                <w:color w:val="auto"/>
                <w:w w:val="91"/>
              </w:rPr>
              <w:t>amortization</w:t>
            </w:r>
          </w:p>
        </w:tc>
        <w:tc>
          <w:tcPr>
            <w:tcW w:w="4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color w:val="auto"/>
                <w:w w:val="89"/>
              </w:rPr>
              <w:t>amount</w:t>
            </w:r>
          </w:p>
        </w:tc>
      </w:tr>
      <w:tr>
        <w:trPr>
          <w:trHeight w:val="243"/>
        </w:trPr>
        <w:tc>
          <w:tcPr>
            <w:tcW w:w="4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Definite-lived intangibles</w:t>
            </w:r>
          </w:p>
        </w:tc>
        <w:tc>
          <w:tcPr>
            <w:tcW w:w="24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8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r>
      <w:tr>
        <w:trPr>
          <w:trHeight w:val="237"/>
        </w:trPr>
        <w:tc>
          <w:tcPr>
            <w:tcW w:w="4580" w:type="dxa"/>
            <w:vAlign w:val="bottom"/>
          </w:tcPr>
          <w:p>
            <w:pPr>
              <w:ind w:left="100"/>
              <w:spacing w:after="0"/>
              <w:rPr>
                <w:sz w:val="20"/>
                <w:szCs w:val="20"/>
                <w:color w:val="auto"/>
              </w:rPr>
            </w:pPr>
            <w:r>
              <w:rPr>
                <w:rFonts w:ascii="Arial" w:cs="Arial" w:eastAsia="Arial" w:hAnsi="Arial"/>
                <w:sz w:val="18"/>
                <w:szCs w:val="18"/>
                <w:color w:val="auto"/>
              </w:rPr>
              <w:t>Trademarks and trade names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95</w:t>
            </w:r>
          </w:p>
        </w:tc>
        <w:tc>
          <w:tcPr>
            <w:tcW w:w="4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(37 )</w:t>
            </w:r>
          </w:p>
        </w:tc>
        <w:tc>
          <w:tcPr>
            <w:tcW w:w="6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58</w:t>
            </w:r>
          </w:p>
        </w:tc>
      </w:tr>
      <w:tr>
        <w:trPr>
          <w:trHeight w:val="249"/>
        </w:trPr>
        <w:tc>
          <w:tcPr>
            <w:tcW w:w="45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Intellectual property</w:t>
            </w:r>
          </w:p>
        </w:tc>
        <w:tc>
          <w:tcPr>
            <w:tcW w:w="240" w:type="dxa"/>
            <w:vAlign w:val="bottom"/>
            <w:shd w:val="clear" w:color="auto" w:fill="CFF0FC"/>
          </w:tcPr>
          <w:p>
            <w:pPr>
              <w:spacing w:after="0"/>
              <w:rPr>
                <w:sz w:val="21"/>
                <w:szCs w:val="21"/>
                <w:color w:val="auto"/>
              </w:rPr>
            </w:pPr>
          </w:p>
        </w:tc>
        <w:tc>
          <w:tcPr>
            <w:tcW w:w="1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718</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(523 )</w:t>
            </w:r>
          </w:p>
        </w:tc>
        <w:tc>
          <w:tcPr>
            <w:tcW w:w="4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195</w:t>
            </w:r>
          </w:p>
        </w:tc>
      </w:tr>
      <w:tr>
        <w:trPr>
          <w:trHeight w:val="243"/>
        </w:trPr>
        <w:tc>
          <w:tcPr>
            <w:tcW w:w="4580" w:type="dxa"/>
            <w:vAlign w:val="bottom"/>
          </w:tcPr>
          <w:p>
            <w:pPr>
              <w:ind w:left="100"/>
              <w:spacing w:after="0"/>
              <w:rPr>
                <w:sz w:val="20"/>
                <w:szCs w:val="20"/>
                <w:color w:val="auto"/>
              </w:rPr>
            </w:pPr>
            <w:r>
              <w:rPr>
                <w:rFonts w:ascii="Arial" w:cs="Arial" w:eastAsia="Arial" w:hAnsi="Arial"/>
                <w:sz w:val="18"/>
                <w:szCs w:val="18"/>
                <w:color w:val="auto"/>
              </w:rPr>
              <w:t>Customer and supplier relationships</w:t>
            </w: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801</w:t>
            </w:r>
          </w:p>
        </w:tc>
        <w:tc>
          <w:tcPr>
            <w:tcW w:w="1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(369 )</w:t>
            </w:r>
          </w:p>
        </w:tc>
        <w:tc>
          <w:tcPr>
            <w:tcW w:w="4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432</w:t>
            </w:r>
          </w:p>
        </w:tc>
      </w:tr>
      <w:tr>
        <w:trPr>
          <w:trHeight w:val="236"/>
        </w:trPr>
        <w:tc>
          <w:tcPr>
            <w:tcW w:w="4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definite-lived intangibles</w:t>
            </w:r>
          </w:p>
        </w:tc>
        <w:tc>
          <w:tcPr>
            <w:tcW w:w="24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1,614</w:t>
            </w:r>
          </w:p>
        </w:tc>
        <w:tc>
          <w:tcPr>
            <w:tcW w:w="1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(929 )</w:t>
            </w:r>
          </w:p>
        </w:tc>
        <w:tc>
          <w:tcPr>
            <w:tcW w:w="4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685</w:t>
            </w:r>
          </w:p>
        </w:tc>
      </w:tr>
      <w:tr>
        <w:trPr>
          <w:trHeight w:val="237"/>
        </w:trPr>
        <w:tc>
          <w:tcPr>
            <w:tcW w:w="4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43"/>
        </w:trPr>
        <w:tc>
          <w:tcPr>
            <w:tcW w:w="4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Indefinite-lived intangibles</w:t>
            </w:r>
          </w:p>
        </w:tc>
        <w:tc>
          <w:tcPr>
            <w:tcW w:w="24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8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r>
      <w:tr>
        <w:trPr>
          <w:trHeight w:val="243"/>
        </w:trPr>
        <w:tc>
          <w:tcPr>
            <w:tcW w:w="4580" w:type="dxa"/>
            <w:vAlign w:val="bottom"/>
          </w:tcPr>
          <w:p>
            <w:pPr>
              <w:ind w:left="100"/>
              <w:spacing w:after="0"/>
              <w:rPr>
                <w:sz w:val="20"/>
                <w:szCs w:val="20"/>
                <w:color w:val="auto"/>
              </w:rPr>
            </w:pPr>
            <w:r>
              <w:rPr>
                <w:rFonts w:ascii="Arial" w:cs="Arial" w:eastAsia="Arial" w:hAnsi="Arial"/>
                <w:sz w:val="18"/>
                <w:szCs w:val="18"/>
                <w:color w:val="auto"/>
              </w:rPr>
              <w:t>Trademarks and trade names</w:t>
            </w: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278</w:t>
            </w:r>
          </w:p>
        </w:tc>
        <w:tc>
          <w:tcPr>
            <w:tcW w:w="1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278</w:t>
            </w:r>
          </w:p>
        </w:tc>
      </w:tr>
      <w:tr>
        <w:trPr>
          <w:trHeight w:val="277"/>
        </w:trPr>
        <w:tc>
          <w:tcPr>
            <w:tcW w:w="4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intangible assets</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1,892</w:t>
            </w:r>
          </w:p>
        </w:tc>
        <w:tc>
          <w:tcPr>
            <w:tcW w:w="1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(929 )</w:t>
            </w:r>
          </w:p>
        </w:tc>
        <w:tc>
          <w:tcPr>
            <w:tcW w:w="4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963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3861435</wp:posOffset>
            </wp:positionH>
            <wp:positionV relativeFrom="paragraph">
              <wp:posOffset>-2948305</wp:posOffset>
            </wp:positionV>
            <wp:extent cx="111125" cy="1631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11125" cy="163195"/>
                    </a:xfrm>
                    <a:prstGeom prst="rect">
                      <a:avLst/>
                    </a:prstGeom>
                    <a:noFill/>
                  </pic:spPr>
                </pic:pic>
              </a:graphicData>
            </a:graphic>
          </wp:anchor>
        </w:drawing>
        <w:drawing>
          <wp:anchor simplePos="0" relativeHeight="251657728" behindDoc="1" locked="0" layoutInCell="0" allowOverlap="1">
            <wp:simplePos x="0" y="0"/>
            <wp:positionH relativeFrom="column">
              <wp:posOffset>5344160</wp:posOffset>
            </wp:positionH>
            <wp:positionV relativeFrom="paragraph">
              <wp:posOffset>-2948305</wp:posOffset>
            </wp:positionV>
            <wp:extent cx="257175" cy="1631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57175" cy="163195"/>
                    </a:xfrm>
                    <a:prstGeom prst="rect">
                      <a:avLst/>
                    </a:prstGeom>
                    <a:noFill/>
                  </pic:spPr>
                </pic:pic>
              </a:graphicData>
            </a:graphic>
          </wp:anchor>
        </w:drawing>
        <w:drawing>
          <wp:anchor simplePos="0" relativeHeight="251657728" behindDoc="1" locked="0" layoutInCell="0" allowOverlap="1">
            <wp:simplePos x="0" y="0"/>
            <wp:positionH relativeFrom="column">
              <wp:posOffset>3861435</wp:posOffset>
            </wp:positionH>
            <wp:positionV relativeFrom="paragraph">
              <wp:posOffset>-2313940</wp:posOffset>
            </wp:positionV>
            <wp:extent cx="1111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3861435</wp:posOffset>
            </wp:positionH>
            <wp:positionV relativeFrom="paragraph">
              <wp:posOffset>-2296795</wp:posOffset>
            </wp:positionV>
            <wp:extent cx="11112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5344160</wp:posOffset>
            </wp:positionH>
            <wp:positionV relativeFrom="paragraph">
              <wp:posOffset>-2313940</wp:posOffset>
            </wp:positionV>
            <wp:extent cx="25717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5344160</wp:posOffset>
            </wp:positionH>
            <wp:positionV relativeFrom="paragraph">
              <wp:posOffset>-2296795</wp:posOffset>
            </wp:positionV>
            <wp:extent cx="25717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57175" cy="8890"/>
                    </a:xfrm>
                    <a:prstGeom prst="rect">
                      <a:avLst/>
                    </a:prstGeom>
                    <a:noFill/>
                  </pic:spPr>
                </pic:pic>
              </a:graphicData>
            </a:graphic>
          </wp:anchor>
        </w:drawing>
        <w:drawing>
          <wp:anchor simplePos="0" relativeHeight="251657728" behindDoc="1" locked="0" layoutInCell="0" allowOverlap="1">
            <wp:simplePos x="0" y="0"/>
            <wp:positionH relativeFrom="column">
              <wp:posOffset>3861435</wp:posOffset>
            </wp:positionH>
            <wp:positionV relativeFrom="paragraph">
              <wp:posOffset>-659765</wp:posOffset>
            </wp:positionV>
            <wp:extent cx="111125" cy="1631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11125" cy="163195"/>
                    </a:xfrm>
                    <a:prstGeom prst="rect">
                      <a:avLst/>
                    </a:prstGeom>
                    <a:noFill/>
                  </pic:spPr>
                </pic:pic>
              </a:graphicData>
            </a:graphic>
          </wp:anchor>
        </w:drawing>
        <w:drawing>
          <wp:anchor simplePos="0" relativeHeight="251657728" behindDoc="1" locked="0" layoutInCell="0" allowOverlap="1">
            <wp:simplePos x="0" y="0"/>
            <wp:positionH relativeFrom="column">
              <wp:posOffset>5344160</wp:posOffset>
            </wp:positionH>
            <wp:positionV relativeFrom="paragraph">
              <wp:posOffset>-659765</wp:posOffset>
            </wp:positionV>
            <wp:extent cx="257175" cy="1631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57175" cy="163195"/>
                    </a:xfrm>
                    <a:prstGeom prst="rect">
                      <a:avLst/>
                    </a:prstGeom>
                    <a:noFill/>
                  </pic:spPr>
                </pic:pic>
              </a:graphicData>
            </a:graphic>
          </wp:anchor>
        </w:drawing>
        <w:drawing>
          <wp:anchor simplePos="0" relativeHeight="251657728" behindDoc="1" locked="0" layoutInCell="0" allowOverlap="1">
            <wp:simplePos x="0" y="0"/>
            <wp:positionH relativeFrom="column">
              <wp:posOffset>3861435</wp:posOffset>
            </wp:positionH>
            <wp:positionV relativeFrom="paragraph">
              <wp:posOffset>-24765</wp:posOffset>
            </wp:positionV>
            <wp:extent cx="1111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3861435</wp:posOffset>
            </wp:positionH>
            <wp:positionV relativeFrom="paragraph">
              <wp:posOffset>-8255</wp:posOffset>
            </wp:positionV>
            <wp:extent cx="11112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5344160</wp:posOffset>
            </wp:positionH>
            <wp:positionV relativeFrom="paragraph">
              <wp:posOffset>-24765</wp:posOffset>
            </wp:positionV>
            <wp:extent cx="25717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5344160</wp:posOffset>
            </wp:positionH>
            <wp:positionV relativeFrom="paragraph">
              <wp:posOffset>-8255</wp:posOffset>
            </wp:positionV>
            <wp:extent cx="25717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57175" cy="8890"/>
                    </a:xfrm>
                    <a:prstGeom prst="rect">
                      <a:avLst/>
                    </a:prstGeom>
                    <a:noFill/>
                  </pic:spPr>
                </pic:pic>
              </a:graphicData>
            </a:graphic>
          </wp:anchor>
        </w:drawing>
      </w:r>
    </w:p>
    <w:p>
      <w:pPr>
        <w:spacing w:after="0" w:line="85"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Amortization expense recognized on intangible assets was $24 million and $23 million for the three months ended June 30, 2023 and 2022, respectively, and $70 million and $71 million for the nine months ended June 30, 2023 and 2022, respectively, and is included in the intangibles amortization expense caption of the Statements of Consolidated Comprehensive Income (Loss). Estimated amortization expense for future periods is $93 million in 2023 (includes nine months actual and three months estimated), $80 million in 2024, $ 76 million in 2025, $74 million in 2026 and $53 million in 2027. Actual amounts may change from such estimated amounts due to fluctuations in foreign currency exchange rates, additional intangible asset acquisitions and divestitures, potential impairment, accelerated amortization, or other events.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441" w:right="719" w:bottom="1440" w:gutter="0" w:footer="0" w:header="0"/>
        </w:sectPr>
      </w:pPr>
    </w:p>
    <w:bookmarkStart w:id="12" w:name="page13"/>
    <w:bookmarkEnd w:id="12"/>
    <w:p>
      <w:pPr>
        <w:spacing w:after="0"/>
        <w:rPr>
          <w:sz w:val="20"/>
          <w:szCs w:val="20"/>
          <w:color w:val="auto"/>
        </w:rPr>
      </w:pPr>
      <w:r>
        <w:rPr>
          <w:rFonts w:ascii="Arial" w:cs="Arial" w:eastAsia="Arial" w:hAnsi="Arial"/>
          <w:sz w:val="20"/>
          <w:szCs w:val="20"/>
          <w:b w:val="1"/>
          <w:bCs w:val="1"/>
          <w:color w:val="auto"/>
        </w:rPr>
        <w:t>NOTE H – DEBT AND OTHER FINANCING ACTIVITIES</w:t>
      </w:r>
    </w:p>
    <w:p>
      <w:pPr>
        <w:spacing w:after="0" w:line="114" w:lineRule="exact"/>
        <w:rPr>
          <w:sz w:val="20"/>
          <w:szCs w:val="20"/>
          <w:color w:val="auto"/>
        </w:rPr>
      </w:pPr>
    </w:p>
    <w:p>
      <w:pPr>
        <w:ind w:left="380"/>
        <w:spacing w:after="0" w:line="260" w:lineRule="auto"/>
        <w:rPr>
          <w:sz w:val="20"/>
          <w:szCs w:val="20"/>
          <w:color w:val="auto"/>
        </w:rPr>
      </w:pPr>
      <w:r>
        <w:rPr>
          <w:rFonts w:ascii="Arial" w:cs="Arial" w:eastAsia="Arial" w:hAnsi="Arial"/>
          <w:sz w:val="20"/>
          <w:szCs w:val="20"/>
          <w:color w:val="auto"/>
        </w:rPr>
        <w:t>The following table summarizes Ashland’s current and long-term debt as of the dates reported in the Condensed Consolidated Balance Sheets.</w:t>
      </w:r>
    </w:p>
    <w:p>
      <w:pPr>
        <w:spacing w:after="0" w:line="106" w:lineRule="exact"/>
        <w:rPr>
          <w:sz w:val="20"/>
          <w:szCs w:val="20"/>
          <w:color w:val="auto"/>
        </w:rPr>
      </w:pPr>
    </w:p>
    <w:tbl>
      <w:tblPr>
        <w:tblLayout w:type="fixed"/>
        <w:tblInd w:w="400" w:type="dxa"/>
        <w:tblCellMar>
          <w:top w:w="0" w:type="dxa"/>
          <w:left w:w="0" w:type="dxa"/>
          <w:bottom w:w="0" w:type="dxa"/>
          <w:right w:w="0" w:type="dxa"/>
        </w:tblCellMar>
      </w:tblPr>
      <w:tr>
        <w:trPr>
          <w:trHeight w:val="250"/>
        </w:trPr>
        <w:tc>
          <w:tcPr>
            <w:tcW w:w="6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480" w:type="dxa"/>
            <w:vAlign w:val="bottom"/>
            <w:tcBorders>
              <w:top w:val="single" w:sz="8" w:color="auto"/>
              <w:bottom w:val="single" w:sz="8" w:color="auto"/>
            </w:tcBorders>
          </w:tcPr>
          <w:p>
            <w:pPr>
              <w:spacing w:after="0"/>
              <w:rPr>
                <w:sz w:val="21"/>
                <w:szCs w:val="21"/>
                <w:color w:val="auto"/>
              </w:rPr>
            </w:pPr>
          </w:p>
        </w:tc>
        <w:tc>
          <w:tcPr>
            <w:tcW w:w="15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June 30, 2023</w:t>
            </w:r>
          </w:p>
        </w:tc>
        <w:tc>
          <w:tcPr>
            <w:tcW w:w="22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7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September 30, 2022</w:t>
            </w:r>
          </w:p>
        </w:tc>
      </w:tr>
      <w:tr>
        <w:trPr>
          <w:trHeight w:val="243"/>
        </w:trPr>
        <w:tc>
          <w:tcPr>
            <w:tcW w:w="6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3.375% Senior Notes, due 2031</w:t>
            </w:r>
          </w:p>
        </w:tc>
        <w:tc>
          <w:tcPr>
            <w:tcW w:w="48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450</w:t>
            </w:r>
          </w:p>
        </w:tc>
        <w:tc>
          <w:tcPr>
            <w:tcW w:w="5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450</w:t>
            </w:r>
          </w:p>
        </w:tc>
      </w:tr>
      <w:tr>
        <w:trPr>
          <w:trHeight w:val="237"/>
        </w:trPr>
        <w:tc>
          <w:tcPr>
            <w:tcW w:w="6160" w:type="dxa"/>
            <w:vAlign w:val="bottom"/>
          </w:tcPr>
          <w:p>
            <w:pPr>
              <w:ind w:left="20"/>
              <w:spacing w:after="0"/>
              <w:rPr>
                <w:sz w:val="20"/>
                <w:szCs w:val="20"/>
                <w:color w:val="auto"/>
              </w:rPr>
            </w:pPr>
            <w:r>
              <w:rPr>
                <w:rFonts w:ascii="Arial" w:cs="Arial" w:eastAsia="Arial" w:hAnsi="Arial"/>
                <w:sz w:val="18"/>
                <w:szCs w:val="18"/>
                <w:color w:val="auto"/>
              </w:rPr>
              <w:t>2.00% Senior Notes, due 2028 (Euro 500 million principal)</w:t>
            </w:r>
          </w:p>
        </w:tc>
        <w:tc>
          <w:tcPr>
            <w:tcW w:w="480" w:type="dxa"/>
            <w:vAlign w:val="bottom"/>
          </w:tcPr>
          <w:p>
            <w:pPr>
              <w:spacing w:after="0"/>
              <w:rPr>
                <w:sz w:val="20"/>
                <w:szCs w:val="20"/>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544</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80" w:type="dxa"/>
            <w:vAlign w:val="bottom"/>
          </w:tcPr>
          <w:p>
            <w:pPr>
              <w:jc w:val="right"/>
              <w:ind w:right="50"/>
              <w:spacing w:after="0"/>
              <w:rPr>
                <w:sz w:val="20"/>
                <w:szCs w:val="20"/>
                <w:color w:val="auto"/>
              </w:rPr>
            </w:pPr>
            <w:r>
              <w:rPr>
                <w:rFonts w:ascii="Arial" w:cs="Arial" w:eastAsia="Arial" w:hAnsi="Arial"/>
                <w:sz w:val="18"/>
                <w:szCs w:val="18"/>
                <w:color w:val="auto"/>
              </w:rPr>
              <w:t>489</w:t>
            </w:r>
          </w:p>
        </w:tc>
      </w:tr>
      <w:tr>
        <w:trPr>
          <w:trHeight w:val="249"/>
        </w:trPr>
        <w:tc>
          <w:tcPr>
            <w:tcW w:w="6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6.875% notes, due 2043</w:t>
            </w:r>
          </w:p>
        </w:tc>
        <w:tc>
          <w:tcPr>
            <w:tcW w:w="48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281</w:t>
            </w: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7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282</w:t>
            </w:r>
          </w:p>
        </w:tc>
      </w:tr>
      <w:tr>
        <w:trPr>
          <w:trHeight w:val="237"/>
        </w:trPr>
        <w:tc>
          <w:tcPr>
            <w:tcW w:w="6160" w:type="dxa"/>
            <w:vAlign w:val="bottom"/>
          </w:tcPr>
          <w:p>
            <w:pPr>
              <w:ind w:left="20"/>
              <w:spacing w:after="0"/>
              <w:rPr>
                <w:sz w:val="20"/>
                <w:szCs w:val="20"/>
                <w:color w:val="auto"/>
              </w:rPr>
            </w:pPr>
            <w:r>
              <w:rPr>
                <w:rFonts w:ascii="Arial" w:cs="Arial" w:eastAsia="Arial" w:hAnsi="Arial"/>
                <w:sz w:val="18"/>
                <w:szCs w:val="18"/>
                <w:color w:val="auto"/>
              </w:rPr>
              <w:t>6.50% junior subordinated notes, due 2029</w:t>
            </w:r>
          </w:p>
        </w:tc>
        <w:tc>
          <w:tcPr>
            <w:tcW w:w="480" w:type="dxa"/>
            <w:vAlign w:val="bottom"/>
          </w:tcPr>
          <w:p>
            <w:pPr>
              <w:spacing w:after="0"/>
              <w:rPr>
                <w:sz w:val="20"/>
                <w:szCs w:val="20"/>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80" w:type="dxa"/>
            <w:vAlign w:val="bottom"/>
          </w:tcPr>
          <w:p>
            <w:pPr>
              <w:jc w:val="right"/>
              <w:ind w:right="50"/>
              <w:spacing w:after="0"/>
              <w:rPr>
                <w:sz w:val="20"/>
                <w:szCs w:val="20"/>
                <w:color w:val="auto"/>
              </w:rPr>
            </w:pPr>
            <w:r>
              <w:rPr>
                <w:rFonts w:ascii="Arial" w:cs="Arial" w:eastAsia="Arial" w:hAnsi="Arial"/>
                <w:sz w:val="18"/>
                <w:szCs w:val="18"/>
                <w:color w:val="auto"/>
              </w:rPr>
              <w:t>60</w:t>
            </w:r>
          </w:p>
        </w:tc>
      </w:tr>
      <w:tr>
        <w:trPr>
          <w:trHeight w:val="249"/>
        </w:trPr>
        <w:tc>
          <w:tcPr>
            <w:tcW w:w="6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4"/>
                <w:szCs w:val="14"/>
                <w:color w:val="auto"/>
              </w:rPr>
              <w:t>(a)</w:t>
            </w:r>
          </w:p>
        </w:tc>
        <w:tc>
          <w:tcPr>
            <w:tcW w:w="48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(10 )</w:t>
            </w:r>
          </w:p>
        </w:tc>
        <w:tc>
          <w:tcPr>
            <w:tcW w:w="2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(11 )</w:t>
            </w:r>
          </w:p>
        </w:tc>
      </w:tr>
      <w:tr>
        <w:trPr>
          <w:trHeight w:val="230"/>
        </w:trPr>
        <w:tc>
          <w:tcPr>
            <w:tcW w:w="616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480" w:type="dxa"/>
            <w:vAlign w:val="bottom"/>
          </w:tcPr>
          <w:p>
            <w:pPr>
              <w:spacing w:after="0"/>
              <w:rPr>
                <w:sz w:val="20"/>
                <w:szCs w:val="20"/>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1,328</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80" w:type="dxa"/>
            <w:vAlign w:val="bottom"/>
          </w:tcPr>
          <w:p>
            <w:pPr>
              <w:jc w:val="right"/>
              <w:ind w:right="50"/>
              <w:spacing w:after="0"/>
              <w:rPr>
                <w:sz w:val="20"/>
                <w:szCs w:val="20"/>
                <w:color w:val="auto"/>
              </w:rPr>
            </w:pPr>
            <w:r>
              <w:rPr>
                <w:rFonts w:ascii="Arial" w:cs="Arial" w:eastAsia="Arial" w:hAnsi="Arial"/>
                <w:sz w:val="18"/>
                <w:szCs w:val="18"/>
                <w:color w:val="auto"/>
              </w:rPr>
              <w:t>1,270</w:t>
            </w:r>
          </w:p>
        </w:tc>
      </w:tr>
      <w:tr>
        <w:trPr>
          <w:trHeight w:val="249"/>
        </w:trPr>
        <w:tc>
          <w:tcPr>
            <w:tcW w:w="6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Short-term debt (includes current portion of long-term debt)</w:t>
            </w:r>
          </w:p>
        </w:tc>
        <w:tc>
          <w:tcPr>
            <w:tcW w:w="48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7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37"/>
        </w:trPr>
        <w:tc>
          <w:tcPr>
            <w:tcW w:w="6160" w:type="dxa"/>
            <w:vAlign w:val="bottom"/>
          </w:tcPr>
          <w:p>
            <w:pPr>
              <w:ind w:left="20"/>
              <w:spacing w:after="0"/>
              <w:rPr>
                <w:sz w:val="20"/>
                <w:szCs w:val="20"/>
                <w:color w:val="auto"/>
              </w:rPr>
            </w:pPr>
            <w:r>
              <w:rPr>
                <w:rFonts w:ascii="Arial" w:cs="Arial" w:eastAsia="Arial" w:hAnsi="Arial"/>
                <w:sz w:val="18"/>
                <w:szCs w:val="18"/>
                <w:color w:val="auto"/>
              </w:rPr>
              <w:t>Long-term debt (less current portion)</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1,328</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50"/>
              <w:spacing w:after="0"/>
              <w:rPr>
                <w:sz w:val="20"/>
                <w:szCs w:val="20"/>
                <w:color w:val="auto"/>
              </w:rPr>
            </w:pPr>
            <w:r>
              <w:rPr>
                <w:rFonts w:ascii="Arial" w:cs="Arial" w:eastAsia="Arial" w:hAnsi="Arial"/>
                <w:sz w:val="18"/>
                <w:szCs w:val="18"/>
                <w:color w:val="auto"/>
              </w:rPr>
              <w:t>1,270</w:t>
            </w:r>
          </w:p>
        </w:tc>
      </w:tr>
      <w:tr>
        <w:trPr>
          <w:trHeight w:val="20"/>
        </w:trPr>
        <w:tc>
          <w:tcPr>
            <w:tcW w:w="6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r>
      <w:tr>
        <w:trPr>
          <w:trHeight w:val="129"/>
        </w:trPr>
        <w:tc>
          <w:tcPr>
            <w:tcW w:w="61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-607695</wp:posOffset>
            </wp:positionV>
            <wp:extent cx="137160" cy="1625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37160" cy="16256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-290830</wp:posOffset>
            </wp:positionV>
            <wp:extent cx="137160" cy="2914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37160" cy="291465"/>
                    </a:xfrm>
                    <a:prstGeom prst="rect">
                      <a:avLst/>
                    </a:prstGeom>
                    <a:noFill/>
                  </pic:spPr>
                </pic:pic>
              </a:graphicData>
            </a:graphic>
          </wp:anchor>
        </w:drawing>
      </w:r>
    </w:p>
    <w:p>
      <w:pPr>
        <w:spacing w:after="0" w:line="69" w:lineRule="exact"/>
        <w:rPr>
          <w:sz w:val="20"/>
          <w:szCs w:val="20"/>
          <w:color w:val="auto"/>
        </w:rPr>
      </w:pPr>
    </w:p>
    <w:p>
      <w:pPr>
        <w:ind w:left="740" w:hanging="358"/>
        <w:spacing w:after="0"/>
        <w:tabs>
          <w:tab w:leader="none" w:pos="7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Other includes $14 million of debt issuance costs as of June 30, 2023 and September 30, 2022.</w:t>
      </w:r>
    </w:p>
    <w:p>
      <w:pPr>
        <w:spacing w:after="0" w:line="97" w:lineRule="exact"/>
        <w:rPr>
          <w:sz w:val="20"/>
          <w:szCs w:val="20"/>
          <w:color w:val="auto"/>
        </w:rPr>
      </w:pPr>
    </w:p>
    <w:p>
      <w:pPr>
        <w:jc w:val="both"/>
        <w:ind w:left="380"/>
        <w:spacing w:after="0" w:line="260" w:lineRule="auto"/>
        <w:rPr>
          <w:sz w:val="20"/>
          <w:szCs w:val="20"/>
          <w:color w:val="auto"/>
        </w:rPr>
      </w:pPr>
      <w:r>
        <w:rPr>
          <w:rFonts w:ascii="Arial" w:cs="Arial" w:eastAsia="Arial" w:hAnsi="Arial"/>
          <w:sz w:val="20"/>
          <w:szCs w:val="20"/>
          <w:color w:val="auto"/>
        </w:rPr>
        <w:t>The scheduled aggregate maturities to 2027 for long-term debt by year (including the current portion and excluding debt issuance costs) are as follows as of June 30, 2023: zero in the next 4 years and $4 million in 2027.</w:t>
      </w:r>
    </w:p>
    <w:p>
      <w:pPr>
        <w:spacing w:after="0" w:line="63" w:lineRule="exact"/>
        <w:rPr>
          <w:sz w:val="20"/>
          <w:szCs w:val="20"/>
          <w:color w:val="auto"/>
        </w:rPr>
      </w:pPr>
    </w:p>
    <w:p>
      <w:pPr>
        <w:ind w:left="380" w:right="4720"/>
        <w:spacing w:after="0" w:line="355" w:lineRule="auto"/>
        <w:rPr>
          <w:sz w:val="20"/>
          <w:szCs w:val="20"/>
          <w:color w:val="auto"/>
        </w:rPr>
      </w:pPr>
      <w:r>
        <w:rPr>
          <w:rFonts w:ascii="Arial" w:cs="Arial" w:eastAsia="Arial" w:hAnsi="Arial"/>
          <w:sz w:val="20"/>
          <w:szCs w:val="20"/>
          <w:b w:val="1"/>
          <w:bCs w:val="1"/>
          <w:color w:val="auto"/>
        </w:rPr>
        <w:t xml:space="preserve">Accounts Receivable Facilities and Off-Balance Sheet Arrangements </w:t>
      </w:r>
      <w:r>
        <w:rPr>
          <w:rFonts w:ascii="Arial" w:cs="Arial" w:eastAsia="Arial" w:hAnsi="Arial"/>
          <w:sz w:val="20"/>
          <w:szCs w:val="20"/>
          <w:i w:val="1"/>
          <w:iCs w:val="1"/>
          <w:color w:val="auto"/>
        </w:rPr>
        <w:t>U.S. Accounts Receivable Sales Program</w:t>
      </w:r>
    </w:p>
    <w:p>
      <w:pPr>
        <w:spacing w:after="0" w:line="1" w:lineRule="exact"/>
        <w:rPr>
          <w:sz w:val="20"/>
          <w:szCs w:val="20"/>
          <w:color w:val="auto"/>
        </w:rPr>
      </w:pPr>
    </w:p>
    <w:p>
      <w:pPr>
        <w:jc w:val="both"/>
        <w:ind w:left="380"/>
        <w:spacing w:after="0" w:line="256" w:lineRule="auto"/>
        <w:rPr>
          <w:sz w:val="20"/>
          <w:szCs w:val="20"/>
          <w:color w:val="auto"/>
        </w:rPr>
      </w:pPr>
      <w:r>
        <w:rPr>
          <w:rFonts w:ascii="Arial" w:cs="Arial" w:eastAsia="Arial" w:hAnsi="Arial"/>
          <w:sz w:val="19"/>
          <w:szCs w:val="19"/>
          <w:color w:val="auto"/>
        </w:rPr>
        <w:t>Ashland continues to maintain its U.S. Accounts Receivable Sales Program entered into during fiscal 2021. Ashland accounts for the receivables transferred to buyers as sales. Ashland recognizes any gains or losses based on the excess of proceeds received net of buyer’s discounts and fees compared to the carrying value of the assets. Proceeds received, net of buyer’s discounts and fees, are recorded within the operating activities of the Statements of Condensed Consolidated Cash Flows. Losses on sale of assets, including related transaction expenses are recorded within the net interest and other expense (income) caption of the Statements of Consolidated Comprehensive Income (Loss). Ashland regularly assesses its servicing obligations and records them as assets or liabilities when appropriate. Ashland also monitors its obligation with regards to the limited guarantee and records the resulting guarantee liability when warranted. When applicable, Ashland discloses the amount of the receivable that serves as over-collateralization as a restricted asset.</w:t>
      </w:r>
    </w:p>
    <w:p>
      <w:pPr>
        <w:spacing w:after="0" w:line="76" w:lineRule="exact"/>
        <w:rPr>
          <w:sz w:val="20"/>
          <w:szCs w:val="20"/>
          <w:color w:val="auto"/>
        </w:rPr>
      </w:pPr>
    </w:p>
    <w:p>
      <w:pPr>
        <w:jc w:val="both"/>
        <w:ind w:left="380"/>
        <w:spacing w:after="0" w:line="273" w:lineRule="auto"/>
        <w:rPr>
          <w:sz w:val="20"/>
          <w:szCs w:val="20"/>
          <w:color w:val="auto"/>
        </w:rPr>
      </w:pPr>
      <w:r>
        <w:rPr>
          <w:rFonts w:ascii="Arial" w:cs="Arial" w:eastAsia="Arial" w:hAnsi="Arial"/>
          <w:sz w:val="18"/>
          <w:szCs w:val="18"/>
          <w:color w:val="auto"/>
        </w:rPr>
        <w:t>Ashland recognized a loss of less than $1 million and a loss of $1 million within the Statements of Consolidated Comprehensive Income (Loss) for the three months ended June 30, 2023 and June 30, 2022, respectively, and losses of $2 million and $1 million for the nine months ended June 30, 2023 and June 30, 2022, respectively, within the net interest and other expense (income) caption associated with sales under the program. Ashland has recorded $96 million in sales at June 30, 2023 against the buyer’s limit, which was $115 million at June 30, 2023 compared to $110 million of sales at September 30, 2022 against the buyer's limit, which was $ 125 million at September 30, 2022. Ashland transferred $120 million and $136 million in receivables to the special purpose entity (SPE) as of June 30, 2023 and September 30, 2022, respectively. Ashland recorded liabilities related to its service obligations and limited guarantee as of June 30, 2023 and September 30, 2022 of less than $1 million.</w:t>
      </w:r>
    </w:p>
    <w:p>
      <w:pPr>
        <w:spacing w:after="0" w:line="60" w:lineRule="exact"/>
        <w:rPr>
          <w:sz w:val="20"/>
          <w:szCs w:val="20"/>
          <w:color w:val="auto"/>
        </w:rPr>
      </w:pPr>
    </w:p>
    <w:p>
      <w:pPr>
        <w:jc w:val="both"/>
        <w:ind w:left="380"/>
        <w:spacing w:after="0" w:line="276" w:lineRule="auto"/>
        <w:rPr>
          <w:sz w:val="20"/>
          <w:szCs w:val="20"/>
          <w:color w:val="auto"/>
        </w:rPr>
      </w:pPr>
      <w:r>
        <w:rPr>
          <w:rFonts w:ascii="Arial" w:cs="Arial" w:eastAsia="Arial" w:hAnsi="Arial"/>
          <w:sz w:val="18"/>
          <w:szCs w:val="18"/>
          <w:color w:val="auto"/>
        </w:rPr>
        <w:t>As of June 30, 2023 and 2022, the year-to-date gross cash proceeds received for receivables transferred and derecognized were $150 million and $205 million, respectively, of which $164 million and $268 million were collected, which includes collections from sales in prior years transferred to the buyer. The difference between receivables transferred and derecognized versus collected of $14 million and $ 63 million for the periods ended June 30, 2023 and 2022, respectively, represent the impact of a net reduction in accounts receivable sales volume during each period, respectively. The prior year period included the impact of a $21 million net reduction in accounts receivables sales volume attributable to the Adhesives business sold in 2022.</w:t>
      </w:r>
    </w:p>
    <w:p>
      <w:pPr>
        <w:spacing w:after="0" w:line="57" w:lineRule="exact"/>
        <w:rPr>
          <w:sz w:val="20"/>
          <w:szCs w:val="20"/>
          <w:color w:val="auto"/>
        </w:rPr>
      </w:pPr>
    </w:p>
    <w:p>
      <w:pPr>
        <w:jc w:val="both"/>
        <w:ind w:left="380"/>
        <w:spacing w:after="0" w:line="269" w:lineRule="auto"/>
        <w:rPr>
          <w:sz w:val="20"/>
          <w:szCs w:val="20"/>
          <w:color w:val="auto"/>
        </w:rPr>
      </w:pPr>
      <w:r>
        <w:rPr>
          <w:rFonts w:ascii="Arial" w:cs="Arial" w:eastAsia="Arial" w:hAnsi="Arial"/>
          <w:sz w:val="19"/>
          <w:szCs w:val="19"/>
          <w:color w:val="auto"/>
        </w:rPr>
        <w:t>On April 14, 2023, Ashland entered into Second and Third Amendments associated with this current program. As part of these amendments the buyer's limit was reduced to $115 million between April and October of each year, and up to $100 million at all other times. Additionally, the scheduled termination date was extended from May 31, 2023 to April 14, 2025.</w:t>
      </w:r>
    </w:p>
    <w:p>
      <w:pPr>
        <w:spacing w:after="0" w:line="6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549" w:right="719" w:bottom="1440" w:gutter="0" w:footer="0" w:header="0"/>
        </w:sectPr>
      </w:pPr>
    </w:p>
    <w:bookmarkStart w:id="13" w:name="page14"/>
    <w:bookmarkEnd w:id="13"/>
    <w:p>
      <w:pPr>
        <w:ind w:left="380"/>
        <w:spacing w:after="0"/>
        <w:rPr>
          <w:sz w:val="20"/>
          <w:szCs w:val="20"/>
          <w:color w:val="auto"/>
        </w:rPr>
      </w:pPr>
      <w:r>
        <w:rPr>
          <w:rFonts w:ascii="Arial" w:cs="Arial" w:eastAsia="Arial" w:hAnsi="Arial"/>
          <w:sz w:val="20"/>
          <w:szCs w:val="20"/>
          <w:i w:val="1"/>
          <w:iCs w:val="1"/>
          <w:color w:val="auto"/>
        </w:rPr>
        <w:t>Foreign Accounts Receivable Securitization Facility</w:t>
      </w:r>
    </w:p>
    <w:p>
      <w:pPr>
        <w:spacing w:after="0" w:line="108" w:lineRule="exact"/>
        <w:rPr>
          <w:sz w:val="20"/>
          <w:szCs w:val="20"/>
          <w:color w:val="auto"/>
        </w:rPr>
      </w:pPr>
    </w:p>
    <w:p>
      <w:pPr>
        <w:jc w:val="both"/>
        <w:ind w:left="380" w:right="380"/>
        <w:spacing w:after="0" w:line="244" w:lineRule="auto"/>
        <w:rPr>
          <w:sz w:val="20"/>
          <w:szCs w:val="20"/>
          <w:color w:val="auto"/>
        </w:rPr>
      </w:pPr>
      <w:r>
        <w:rPr>
          <w:rFonts w:ascii="Arial" w:cs="Arial" w:eastAsia="Arial" w:hAnsi="Arial"/>
          <w:sz w:val="20"/>
          <w:szCs w:val="20"/>
          <w:color w:val="auto"/>
        </w:rPr>
        <w:t>Ashland continues to maintain its Foreign 2018 Accounts Receivable Securitization Facility. Ashland accounts for the Foreign 2018 Accounts Receivable Securitization Facility as secured borrowings, and the receivables sold pursuant to the facility are included in the Consolidated Balance Sheets as accounts receivable. At June 30, 2023 and September 30, 2022, the outstanding amounts of accounts receivable transferred by Ashland were $139 million and $162 million, respectively, and there were zero borrowings (denominated in multiple currencies) under the facility in both periods.</w:t>
      </w:r>
    </w:p>
    <w:p>
      <w:pPr>
        <w:spacing w:after="0" w:line="80"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Available borrowing capacity and liquidity</w:t>
      </w:r>
    </w:p>
    <w:p>
      <w:pPr>
        <w:spacing w:after="0" w:line="114" w:lineRule="exact"/>
        <w:rPr>
          <w:sz w:val="20"/>
          <w:szCs w:val="20"/>
          <w:color w:val="auto"/>
        </w:rPr>
      </w:pPr>
    </w:p>
    <w:p>
      <w:pPr>
        <w:jc w:val="both"/>
        <w:ind w:left="380" w:right="380"/>
        <w:spacing w:after="0" w:line="246" w:lineRule="auto"/>
        <w:rPr>
          <w:sz w:val="20"/>
          <w:szCs w:val="20"/>
          <w:color w:val="auto"/>
        </w:rPr>
      </w:pPr>
      <w:r>
        <w:rPr>
          <w:rFonts w:ascii="Arial" w:cs="Arial" w:eastAsia="Arial" w:hAnsi="Arial"/>
          <w:sz w:val="20"/>
          <w:szCs w:val="20"/>
          <w:color w:val="auto"/>
        </w:rPr>
        <w:t>The borrowing capacity remaining under the 2022 Credit Agreement was $ 593 million, which reflects the full $600 million Revolving Credit Facility less a reduction of $7 million for letters of credit outstanding as of June 30, 2023. Ashland's total borrowing capacity at June 30, 2023 was $702 million, which included $109 million of available capacity from the foreign 2018 Accounts Receivable Securitization Facility.</w:t>
      </w:r>
    </w:p>
    <w:p>
      <w:pPr>
        <w:spacing w:after="0" w:line="83" w:lineRule="exact"/>
        <w:rPr>
          <w:sz w:val="20"/>
          <w:szCs w:val="20"/>
          <w:color w:val="auto"/>
        </w:rPr>
      </w:pPr>
    </w:p>
    <w:p>
      <w:pPr>
        <w:ind w:left="380" w:right="620"/>
        <w:spacing w:after="0" w:line="352" w:lineRule="auto"/>
        <w:rPr>
          <w:sz w:val="20"/>
          <w:szCs w:val="20"/>
          <w:color w:val="auto"/>
        </w:rPr>
      </w:pPr>
      <w:r>
        <w:rPr>
          <w:rFonts w:ascii="Arial" w:cs="Arial" w:eastAsia="Arial" w:hAnsi="Arial"/>
          <w:sz w:val="20"/>
          <w:szCs w:val="20"/>
          <w:color w:val="auto"/>
        </w:rPr>
        <w:t xml:space="preserve">Additionally, Ashland had zero available liquidity under its current U.S. Accounts Receivable Sales Program as of June 30, 2023. </w:t>
      </w:r>
      <w:r>
        <w:rPr>
          <w:rFonts w:ascii="Arial" w:cs="Arial" w:eastAsia="Arial" w:hAnsi="Arial"/>
          <w:sz w:val="20"/>
          <w:szCs w:val="20"/>
          <w:b w:val="1"/>
          <w:bCs w:val="1"/>
          <w:color w:val="auto"/>
        </w:rPr>
        <w:t>Covenants related to current Ashland debt agreements</w:t>
      </w:r>
    </w:p>
    <w:p>
      <w:pPr>
        <w:jc w:val="both"/>
        <w:ind w:left="380" w:right="380"/>
        <w:spacing w:after="0" w:line="263" w:lineRule="auto"/>
        <w:rPr>
          <w:sz w:val="20"/>
          <w:szCs w:val="20"/>
          <w:color w:val="auto"/>
        </w:rPr>
      </w:pPr>
      <w:r>
        <w:rPr>
          <w:rFonts w:ascii="Arial" w:cs="Arial" w:eastAsia="Arial" w:hAnsi="Arial"/>
          <w:sz w:val="19"/>
          <w:szCs w:val="19"/>
          <w:color w:val="auto"/>
        </w:rPr>
        <w:t>Ashland's debt contains usual and customary representations, warranties and affirmative and negative covenants, including financial covenants for leverage and interest coverage ratios, limitations on liens, additional subsidiary indebtedness, restrictions on subsidiary distributions, investments, mergers, sale of assets and restricted payments and other customary limitations. As of June 30, 2023, Ashland is in compliance with all debt agreement covenant restrictions.</w:t>
      </w:r>
    </w:p>
    <w:p>
      <w:pPr>
        <w:spacing w:after="0" w:line="68" w:lineRule="exact"/>
        <w:rPr>
          <w:sz w:val="20"/>
          <w:szCs w:val="20"/>
          <w:color w:val="auto"/>
        </w:rPr>
      </w:pPr>
    </w:p>
    <w:p>
      <w:pPr>
        <w:jc w:val="both"/>
        <w:ind w:left="380" w:right="380"/>
        <w:spacing w:after="0" w:line="260" w:lineRule="auto"/>
        <w:rPr>
          <w:sz w:val="20"/>
          <w:szCs w:val="20"/>
          <w:color w:val="auto"/>
        </w:rPr>
      </w:pPr>
      <w:r>
        <w:rPr>
          <w:rFonts w:ascii="Arial" w:cs="Arial" w:eastAsia="Arial" w:hAnsi="Arial"/>
          <w:sz w:val="20"/>
          <w:szCs w:val="20"/>
          <w:color w:val="auto"/>
        </w:rPr>
        <w:t>The maximum consolidated net leverage ratio permitted under Ashland's current credit agreement (the 2022 Credit Agreement) is 4.0. At June 30, 2023, Ashland’s calculation of the consolidated net leverage ratio was 1.8.</w:t>
      </w:r>
    </w:p>
    <w:p>
      <w:pPr>
        <w:spacing w:after="0" w:line="69" w:lineRule="exact"/>
        <w:rPr>
          <w:sz w:val="20"/>
          <w:szCs w:val="20"/>
          <w:color w:val="auto"/>
        </w:rPr>
      </w:pPr>
    </w:p>
    <w:p>
      <w:pPr>
        <w:jc w:val="both"/>
        <w:ind w:left="380" w:right="380"/>
        <w:spacing w:after="0" w:line="260" w:lineRule="auto"/>
        <w:rPr>
          <w:sz w:val="20"/>
          <w:szCs w:val="20"/>
          <w:color w:val="auto"/>
        </w:rPr>
      </w:pPr>
      <w:r>
        <w:rPr>
          <w:rFonts w:ascii="Arial" w:cs="Arial" w:eastAsia="Arial" w:hAnsi="Arial"/>
          <w:sz w:val="20"/>
          <w:szCs w:val="20"/>
          <w:color w:val="auto"/>
        </w:rPr>
        <w:t>The minimum required consolidated interest coverage ratio under the 2022 Credit Agreement during its entire duration is 3.0. At June 30, 2023, Ashland’s calculation of the interest coverage ratio was 9.9.</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I – LEASING ARRANGEMENTS</w:t>
      </w:r>
    </w:p>
    <w:p>
      <w:pPr>
        <w:spacing w:after="0" w:line="114" w:lineRule="exact"/>
        <w:rPr>
          <w:sz w:val="20"/>
          <w:szCs w:val="20"/>
          <w:color w:val="auto"/>
        </w:rPr>
      </w:pPr>
    </w:p>
    <w:p>
      <w:pPr>
        <w:ind w:left="380"/>
        <w:spacing w:after="0"/>
        <w:rPr>
          <w:sz w:val="20"/>
          <w:szCs w:val="20"/>
          <w:color w:val="auto"/>
        </w:rPr>
      </w:pPr>
      <w:r>
        <w:rPr>
          <w:rFonts w:ascii="Arial" w:cs="Arial" w:eastAsia="Arial" w:hAnsi="Arial"/>
          <w:sz w:val="19"/>
          <w:szCs w:val="19"/>
          <w:color w:val="auto"/>
        </w:rPr>
        <w:t>The components of lease cost recognized within the Statements of Consolidated Comprehensive Income (Loss) were as follows:</w:t>
      </w:r>
    </w:p>
    <w:p>
      <w:pPr>
        <w:spacing w:after="0" w:line="156" w:lineRule="exact"/>
        <w:rPr>
          <w:sz w:val="20"/>
          <w:szCs w:val="20"/>
          <w:color w:val="auto"/>
        </w:rPr>
      </w:pPr>
    </w:p>
    <w:tbl>
      <w:tblPr>
        <w:tblLayout w:type="fixed"/>
        <w:tblInd w:w="400" w:type="dxa"/>
        <w:tblCellMar>
          <w:top w:w="0" w:type="dxa"/>
          <w:left w:w="0" w:type="dxa"/>
          <w:bottom w:w="0" w:type="dxa"/>
          <w:right w:w="0" w:type="dxa"/>
        </w:tblCellMar>
      </w:tblPr>
      <w:tr>
        <w:trPr>
          <w:trHeight w:val="244"/>
        </w:trPr>
        <w:tc>
          <w:tcPr>
            <w:tcW w:w="1700" w:type="dxa"/>
            <w:vAlign w:val="bottom"/>
            <w:tcBorders>
              <w:top w:val="single" w:sz="8" w:color="auto"/>
            </w:tcBorders>
          </w:tcPr>
          <w:p>
            <w:pPr>
              <w:spacing w:after="0"/>
              <w:rPr>
                <w:sz w:val="21"/>
                <w:szCs w:val="21"/>
                <w:color w:val="auto"/>
              </w:rPr>
            </w:pPr>
          </w:p>
        </w:tc>
        <w:tc>
          <w:tcPr>
            <w:tcW w:w="3460" w:type="dxa"/>
            <w:vAlign w:val="bottom"/>
            <w:tcBorders>
              <w:top w:val="single" w:sz="8" w:color="auto"/>
            </w:tcBorders>
          </w:tcPr>
          <w:p>
            <w:pPr>
              <w:spacing w:after="0"/>
              <w:rPr>
                <w:sz w:val="21"/>
                <w:szCs w:val="21"/>
                <w:color w:val="auto"/>
              </w:rPr>
            </w:pPr>
          </w:p>
        </w:tc>
        <w:tc>
          <w:tcPr>
            <w:tcW w:w="2180" w:type="dxa"/>
            <w:vAlign w:val="bottom"/>
            <w:tcBorders>
              <w:top w:val="single" w:sz="8" w:color="auto"/>
            </w:tcBorders>
            <w:gridSpan w:val="4"/>
          </w:tcPr>
          <w:p>
            <w:pPr>
              <w:jc w:val="right"/>
              <w:ind w:right="130"/>
              <w:spacing w:after="0"/>
              <w:rPr>
                <w:sz w:val="20"/>
                <w:szCs w:val="20"/>
                <w:color w:val="auto"/>
              </w:rPr>
            </w:pPr>
            <w:r>
              <w:rPr>
                <w:rFonts w:ascii="Arial" w:cs="Arial" w:eastAsia="Arial" w:hAnsi="Arial"/>
                <w:sz w:val="18"/>
                <w:szCs w:val="18"/>
                <w:color w:val="auto"/>
              </w:rPr>
              <w:t>Three months ended</w:t>
            </w:r>
          </w:p>
        </w:tc>
        <w:tc>
          <w:tcPr>
            <w:tcW w:w="4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2300" w:type="dxa"/>
            <w:vAlign w:val="bottom"/>
            <w:tcBorders>
              <w:top w:val="single" w:sz="8" w:color="auto"/>
            </w:tcBorders>
            <w:gridSpan w:val="4"/>
          </w:tcPr>
          <w:p>
            <w:pPr>
              <w:jc w:val="right"/>
              <w:ind w:right="530"/>
              <w:spacing w:after="0"/>
              <w:rPr>
                <w:sz w:val="20"/>
                <w:szCs w:val="20"/>
                <w:color w:val="auto"/>
              </w:rPr>
            </w:pPr>
            <w:r>
              <w:rPr>
                <w:rFonts w:ascii="Arial" w:cs="Arial" w:eastAsia="Arial" w:hAnsi="Arial"/>
                <w:sz w:val="18"/>
                <w:szCs w:val="18"/>
                <w:color w:val="auto"/>
              </w:rPr>
              <w:t>Nine months ended</w:t>
            </w:r>
          </w:p>
        </w:tc>
      </w:tr>
      <w:tr>
        <w:trPr>
          <w:trHeight w:val="249"/>
        </w:trPr>
        <w:tc>
          <w:tcPr>
            <w:tcW w:w="170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right"/>
              <w:ind w:right="590"/>
              <w:spacing w:after="0"/>
              <w:rPr>
                <w:sz w:val="20"/>
                <w:szCs w:val="20"/>
                <w:color w:val="auto"/>
              </w:rPr>
            </w:pPr>
            <w:r>
              <w:rPr>
                <w:rFonts w:ascii="Arial" w:cs="Arial" w:eastAsia="Arial" w:hAnsi="Arial"/>
                <w:sz w:val="18"/>
                <w:szCs w:val="18"/>
                <w:color w:val="auto"/>
              </w:rPr>
              <w:t>June 30</w:t>
            </w:r>
          </w:p>
        </w:tc>
        <w:tc>
          <w:tcPr>
            <w:tcW w:w="40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June 30</w:t>
            </w:r>
          </w:p>
        </w:tc>
        <w:tc>
          <w:tcPr>
            <w:tcW w:w="940" w:type="dxa"/>
            <w:vAlign w:val="bottom"/>
            <w:tcBorders>
              <w:bottom w:val="single" w:sz="8" w:color="auto"/>
            </w:tcBorders>
          </w:tcPr>
          <w:p>
            <w:pPr>
              <w:spacing w:after="0"/>
              <w:rPr>
                <w:sz w:val="21"/>
                <w:szCs w:val="21"/>
                <w:color w:val="auto"/>
              </w:rPr>
            </w:pPr>
          </w:p>
        </w:tc>
      </w:tr>
      <w:tr>
        <w:trPr>
          <w:trHeight w:val="237"/>
        </w:trPr>
        <w:tc>
          <w:tcPr>
            <w:tcW w:w="1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3460" w:type="dxa"/>
            <w:vAlign w:val="bottom"/>
            <w:tcBorders>
              <w:bottom w:val="single" w:sz="8" w:color="auto"/>
            </w:tcBorders>
          </w:tcPr>
          <w:p>
            <w:pPr>
              <w:ind w:left="1440"/>
              <w:spacing w:after="0"/>
              <w:rPr>
                <w:sz w:val="20"/>
                <w:szCs w:val="20"/>
                <w:color w:val="auto"/>
              </w:rPr>
            </w:pPr>
            <w:r>
              <w:rPr>
                <w:rFonts w:ascii="Arial" w:cs="Arial" w:eastAsia="Arial" w:hAnsi="Arial"/>
                <w:sz w:val="18"/>
                <w:szCs w:val="18"/>
                <w:color w:val="auto"/>
              </w:rPr>
              <w:t>Location</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4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2022</w:t>
            </w:r>
          </w:p>
        </w:tc>
        <w:tc>
          <w:tcPr>
            <w:tcW w:w="4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2023</w:t>
            </w:r>
          </w:p>
        </w:tc>
        <w:tc>
          <w:tcPr>
            <w:tcW w:w="1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2022</w:t>
            </w:r>
          </w:p>
        </w:tc>
      </w:tr>
      <w:tr>
        <w:trPr>
          <w:trHeight w:val="243"/>
        </w:trPr>
        <w:tc>
          <w:tcPr>
            <w:tcW w:w="17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Lease cost:</w:t>
            </w:r>
          </w:p>
        </w:tc>
        <w:tc>
          <w:tcPr>
            <w:tcW w:w="346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r>
      <w:tr>
        <w:trPr>
          <w:trHeight w:val="237"/>
        </w:trPr>
        <w:tc>
          <w:tcPr>
            <w:tcW w:w="1700" w:type="dxa"/>
            <w:vAlign w:val="bottom"/>
          </w:tcPr>
          <w:p>
            <w:pPr>
              <w:ind w:left="20"/>
              <w:spacing w:after="0"/>
              <w:rPr>
                <w:sz w:val="20"/>
                <w:szCs w:val="20"/>
                <w:color w:val="auto"/>
              </w:rPr>
            </w:pPr>
            <w:r>
              <w:rPr>
                <w:rFonts w:ascii="Arial" w:cs="Arial" w:eastAsia="Arial" w:hAnsi="Arial"/>
                <w:sz w:val="18"/>
                <w:szCs w:val="18"/>
                <w:color w:val="auto"/>
              </w:rPr>
              <w:t>Operating lease cost</w:t>
            </w:r>
          </w:p>
        </w:tc>
        <w:tc>
          <w:tcPr>
            <w:tcW w:w="3460" w:type="dxa"/>
            <w:vAlign w:val="bottom"/>
          </w:tcPr>
          <w:p>
            <w:pPr>
              <w:ind w:left="220"/>
              <w:spacing w:after="0"/>
              <w:rPr>
                <w:sz w:val="20"/>
                <w:szCs w:val="20"/>
                <w:color w:val="auto"/>
              </w:rPr>
            </w:pPr>
            <w:r>
              <w:rPr>
                <w:rFonts w:ascii="Arial" w:cs="Arial" w:eastAsia="Arial" w:hAnsi="Arial"/>
                <w:sz w:val="18"/>
                <w:szCs w:val="18"/>
                <w:color w:val="auto"/>
              </w:rPr>
              <w:t xml:space="preserve">Selling, General &amp; Administrative </w:t>
            </w:r>
            <w:r>
              <w:rPr>
                <w:rFonts w:ascii="Arial" w:cs="Arial" w:eastAsia="Arial" w:hAnsi="Arial"/>
                <w:sz w:val="14"/>
                <w:szCs w:val="14"/>
                <w:color w:val="auto"/>
              </w:rPr>
              <w:t>(a)</w:t>
            </w:r>
          </w:p>
        </w:tc>
        <w:tc>
          <w:tcPr>
            <w:tcW w:w="780" w:type="dxa"/>
            <w:vAlign w:val="bottom"/>
          </w:tcPr>
          <w:p>
            <w:pPr>
              <w:jc w:val="right"/>
              <w:ind w:right="59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3</w:t>
            </w:r>
          </w:p>
        </w:tc>
        <w:tc>
          <w:tcPr>
            <w:tcW w:w="1000" w:type="dxa"/>
            <w:vAlign w:val="bottom"/>
            <w:gridSpan w:val="2"/>
          </w:tcPr>
          <w:p>
            <w:pPr>
              <w:jc w:val="right"/>
              <w:ind w:right="65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5</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12</w:t>
            </w:r>
          </w:p>
        </w:tc>
      </w:tr>
      <w:tr>
        <w:trPr>
          <w:trHeight w:val="249"/>
        </w:trPr>
        <w:tc>
          <w:tcPr>
            <w:tcW w:w="1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cost</w:t>
            </w:r>
          </w:p>
        </w:tc>
        <w:tc>
          <w:tcPr>
            <w:tcW w:w="34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Cost of Sales</w:t>
            </w:r>
          </w:p>
        </w:tc>
        <w:tc>
          <w:tcPr>
            <w:tcW w:w="78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w:t>
            </w:r>
          </w:p>
        </w:tc>
      </w:tr>
      <w:tr>
        <w:trPr>
          <w:trHeight w:val="237"/>
        </w:trPr>
        <w:tc>
          <w:tcPr>
            <w:tcW w:w="170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3460" w:type="dxa"/>
            <w:vAlign w:val="bottom"/>
          </w:tcPr>
          <w:p>
            <w:pPr>
              <w:ind w:left="220"/>
              <w:spacing w:after="0"/>
              <w:rPr>
                <w:sz w:val="20"/>
                <w:szCs w:val="20"/>
                <w:color w:val="auto"/>
              </w:rPr>
            </w:pPr>
            <w:r>
              <w:rPr>
                <w:rFonts w:ascii="Arial" w:cs="Arial" w:eastAsia="Arial" w:hAnsi="Arial"/>
                <w:sz w:val="18"/>
                <w:szCs w:val="18"/>
                <w:color w:val="auto"/>
              </w:rPr>
              <w:t>Selling, General &amp; Administrative</w:t>
            </w:r>
          </w:p>
        </w:tc>
        <w:tc>
          <w:tcPr>
            <w:tcW w:w="780" w:type="dxa"/>
            <w:vAlign w:val="bottom"/>
          </w:tcPr>
          <w:p>
            <w:pPr>
              <w:spacing w:after="0"/>
              <w:rPr>
                <w:sz w:val="20"/>
                <w:szCs w:val="20"/>
                <w:color w:val="auto"/>
              </w:rPr>
            </w:pP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3</w:t>
            </w:r>
          </w:p>
        </w:tc>
      </w:tr>
      <w:tr>
        <w:trPr>
          <w:trHeight w:val="249"/>
        </w:trPr>
        <w:tc>
          <w:tcPr>
            <w:tcW w:w="1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Variable lease cost</w:t>
            </w:r>
          </w:p>
        </w:tc>
        <w:tc>
          <w:tcPr>
            <w:tcW w:w="34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Cost of Sales</w:t>
            </w:r>
          </w:p>
        </w:tc>
        <w:tc>
          <w:tcPr>
            <w:tcW w:w="78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w:t>
            </w:r>
          </w:p>
        </w:tc>
      </w:tr>
      <w:tr>
        <w:trPr>
          <w:trHeight w:val="243"/>
        </w:trPr>
        <w:tc>
          <w:tcPr>
            <w:tcW w:w="1700" w:type="dxa"/>
            <w:vAlign w:val="bottom"/>
          </w:tcPr>
          <w:p>
            <w:pPr>
              <w:ind w:left="20"/>
              <w:spacing w:after="0"/>
              <w:rPr>
                <w:sz w:val="20"/>
                <w:szCs w:val="20"/>
                <w:color w:val="auto"/>
              </w:rPr>
            </w:pPr>
            <w:r>
              <w:rPr>
                <w:rFonts w:ascii="Arial" w:cs="Arial" w:eastAsia="Arial" w:hAnsi="Arial"/>
                <w:sz w:val="18"/>
                <w:szCs w:val="18"/>
                <w:color w:val="auto"/>
              </w:rPr>
              <w:t>Short-term leases</w:t>
            </w:r>
          </w:p>
        </w:tc>
        <w:tc>
          <w:tcPr>
            <w:tcW w:w="3460" w:type="dxa"/>
            <w:vAlign w:val="bottom"/>
          </w:tcPr>
          <w:p>
            <w:pPr>
              <w:ind w:left="220"/>
              <w:spacing w:after="0"/>
              <w:rPr>
                <w:sz w:val="20"/>
                <w:szCs w:val="20"/>
                <w:color w:val="auto"/>
              </w:rPr>
            </w:pPr>
            <w:r>
              <w:rPr>
                <w:rFonts w:ascii="Arial" w:cs="Arial" w:eastAsia="Arial" w:hAnsi="Arial"/>
                <w:sz w:val="18"/>
                <w:szCs w:val="18"/>
                <w:color w:val="auto"/>
              </w:rPr>
              <w:t>Cost of Sales</w:t>
            </w:r>
          </w:p>
        </w:tc>
        <w:tc>
          <w:tcPr>
            <w:tcW w:w="7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w:t>
            </w:r>
          </w:p>
        </w:tc>
      </w:tr>
      <w:tr>
        <w:trPr>
          <w:trHeight w:val="276"/>
        </w:trPr>
        <w:tc>
          <w:tcPr>
            <w:tcW w:w="1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lease cost</w:t>
            </w:r>
          </w:p>
        </w:tc>
        <w:tc>
          <w:tcPr>
            <w:tcW w:w="346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bottom w:val="single" w:sz="8" w:color="auto"/>
            </w:tcBorders>
            <w:shd w:val="clear" w:color="auto" w:fill="CFF0FC"/>
          </w:tcPr>
          <w:p>
            <w:pPr>
              <w:jc w:val="right"/>
              <w:ind w:right="59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9</w:t>
            </w:r>
          </w:p>
        </w:tc>
        <w:tc>
          <w:tcPr>
            <w:tcW w:w="16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auto"/>
            </w:tcBorders>
            <w:shd w:val="clear" w:color="auto" w:fill="CFF0FC"/>
          </w:tcPr>
          <w:p>
            <w:pPr>
              <w:jc w:val="right"/>
              <w:ind w:right="65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11</w:t>
            </w:r>
          </w:p>
        </w:tc>
        <w:tc>
          <w:tcPr>
            <w:tcW w:w="1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30</w:t>
            </w:r>
          </w:p>
        </w:tc>
        <w:tc>
          <w:tcPr>
            <w:tcW w:w="1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30</w:t>
            </w:r>
          </w:p>
        </w:tc>
      </w:tr>
      <w:tr>
        <w:trPr>
          <w:trHeight w:val="75"/>
        </w:trPr>
        <w:tc>
          <w:tcPr>
            <w:tcW w:w="1700" w:type="dxa"/>
            <w:vAlign w:val="bottom"/>
            <w:tcBorders>
              <w:bottom w:val="single" w:sz="8" w:color="auto"/>
            </w:tcBorders>
          </w:tcPr>
          <w:p>
            <w:pPr>
              <w:spacing w:after="0"/>
              <w:rPr>
                <w:sz w:val="6"/>
                <w:szCs w:val="6"/>
                <w:color w:val="auto"/>
              </w:rPr>
            </w:pPr>
          </w:p>
        </w:tc>
        <w:tc>
          <w:tcPr>
            <w:tcW w:w="34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-93980</wp:posOffset>
            </wp:positionV>
            <wp:extent cx="1851660" cy="946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851660" cy="94615"/>
                    </a:xfrm>
                    <a:prstGeom prst="rect">
                      <a:avLst/>
                    </a:prstGeom>
                    <a:noFill/>
                  </pic:spPr>
                </pic:pic>
              </a:graphicData>
            </a:graphic>
          </wp:anchor>
        </w:drawing>
      </w:r>
    </w:p>
    <w:p>
      <w:pPr>
        <w:spacing w:after="0" w:line="69" w:lineRule="exact"/>
        <w:rPr>
          <w:sz w:val="20"/>
          <w:szCs w:val="20"/>
          <w:color w:val="auto"/>
        </w:rPr>
      </w:pPr>
    </w:p>
    <w:p>
      <w:pPr>
        <w:ind w:left="740" w:hanging="358"/>
        <w:spacing w:after="0"/>
        <w:tabs>
          <w:tab w:leader="none" w:pos="7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$2 million lease termination fee for the three and nine months ended June 30, 2022.</w:t>
      </w:r>
    </w:p>
    <w:p>
      <w:pPr>
        <w:spacing w:after="0" w:line="97" w:lineRule="exact"/>
        <w:rPr>
          <w:sz w:val="20"/>
          <w:szCs w:val="20"/>
          <w:color w:val="auto"/>
        </w:rPr>
      </w:pPr>
    </w:p>
    <w:p>
      <w:pPr>
        <w:ind w:left="380" w:right="380"/>
        <w:spacing w:after="0" w:line="316" w:lineRule="auto"/>
        <w:rPr>
          <w:sz w:val="20"/>
          <w:szCs w:val="20"/>
          <w:color w:val="auto"/>
        </w:rPr>
      </w:pPr>
      <w:r>
        <w:rPr>
          <w:rFonts w:ascii="Arial" w:cs="Arial" w:eastAsia="Arial" w:hAnsi="Arial"/>
          <w:sz w:val="18"/>
          <w:szCs w:val="18"/>
          <w:color w:val="auto"/>
        </w:rPr>
        <w:t>Right-of-use assets exchanged for new operating lease obligations were $6 million and $7 million for the three months ended June 30, 2023 and 2022, respectively, and $29 million and $11 million for the nine months ended June 30, 2023 and 2022.</w:t>
      </w:r>
    </w:p>
    <w:p>
      <w:pPr>
        <w:spacing w:after="0" w:line="22" w:lineRule="exact"/>
        <w:rPr>
          <w:sz w:val="20"/>
          <w:szCs w:val="20"/>
          <w:color w:val="auto"/>
        </w:rPr>
      </w:pPr>
    </w:p>
    <w:p>
      <w:pPr>
        <w:ind w:left="380"/>
        <w:spacing w:after="0"/>
        <w:rPr>
          <w:sz w:val="20"/>
          <w:szCs w:val="20"/>
          <w:color w:val="auto"/>
        </w:rPr>
      </w:pPr>
      <w:r>
        <w:rPr>
          <w:rFonts w:ascii="Arial" w:cs="Arial" w:eastAsia="Arial" w:hAnsi="Arial"/>
          <w:sz w:val="20"/>
          <w:szCs w:val="20"/>
          <w:color w:val="auto"/>
        </w:rPr>
        <w:t>The following table provides cash paid for amounts included in the measurement of operating lease liabilities: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00" w:type="dxa"/>
            <w:vAlign w:val="bottom"/>
          </w:tcPr>
          <w:p>
            <w:pPr>
              <w:spacing w:after="0"/>
              <w:rPr>
                <w:sz w:val="21"/>
                <w:szCs w:val="21"/>
                <w:color w:val="auto"/>
              </w:rPr>
            </w:pPr>
          </w:p>
        </w:tc>
        <w:tc>
          <w:tcPr>
            <w:tcW w:w="4140" w:type="dxa"/>
            <w:vAlign w:val="bottom"/>
            <w:tcBorders>
              <w:top w:val="single" w:sz="8" w:color="auto"/>
            </w:tcBorders>
          </w:tcPr>
          <w:p>
            <w:pPr>
              <w:spacing w:after="0"/>
              <w:rPr>
                <w:sz w:val="21"/>
                <w:szCs w:val="21"/>
                <w:color w:val="auto"/>
              </w:rPr>
            </w:pPr>
          </w:p>
        </w:tc>
        <w:tc>
          <w:tcPr>
            <w:tcW w:w="3220" w:type="dxa"/>
            <w:vAlign w:val="bottom"/>
            <w:tcBorders>
              <w:top w:val="single" w:sz="8" w:color="auto"/>
            </w:tcBorders>
            <w:gridSpan w:val="3"/>
          </w:tcPr>
          <w:p>
            <w:pPr>
              <w:ind w:left="1500"/>
              <w:spacing w:after="0"/>
              <w:rPr>
                <w:sz w:val="20"/>
                <w:szCs w:val="20"/>
                <w:color w:val="auto"/>
              </w:rPr>
            </w:pPr>
            <w:r>
              <w:rPr>
                <w:rFonts w:ascii="Arial" w:cs="Arial" w:eastAsia="Arial" w:hAnsi="Arial"/>
                <w:sz w:val="18"/>
                <w:szCs w:val="18"/>
                <w:color w:val="auto"/>
              </w:rPr>
              <w:t>Three months ended</w:t>
            </w:r>
          </w:p>
        </w:tc>
        <w:tc>
          <w:tcPr>
            <w:tcW w:w="38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2300" w:type="dxa"/>
            <w:vAlign w:val="bottom"/>
            <w:tcBorders>
              <w:top w:val="single" w:sz="8" w:color="auto"/>
            </w:tcBorders>
            <w:gridSpan w:val="3"/>
          </w:tcPr>
          <w:p>
            <w:pPr>
              <w:jc w:val="center"/>
              <w:ind w:right="250"/>
              <w:spacing w:after="0"/>
              <w:rPr>
                <w:sz w:val="20"/>
                <w:szCs w:val="20"/>
                <w:color w:val="auto"/>
              </w:rPr>
            </w:pPr>
            <w:r>
              <w:rPr>
                <w:rFonts w:ascii="Arial" w:cs="Arial" w:eastAsia="Arial" w:hAnsi="Arial"/>
                <w:sz w:val="18"/>
                <w:szCs w:val="18"/>
                <w:color w:val="auto"/>
                <w:w w:val="89"/>
              </w:rPr>
              <w:t>Nine months ended</w:t>
            </w:r>
          </w:p>
        </w:tc>
        <w:tc>
          <w:tcPr>
            <w:tcW w:w="400" w:type="dxa"/>
            <w:vAlign w:val="bottom"/>
          </w:tcPr>
          <w:p>
            <w:pPr>
              <w:spacing w:after="0"/>
              <w:rPr>
                <w:sz w:val="21"/>
                <w:szCs w:val="21"/>
                <w:color w:val="auto"/>
              </w:rPr>
            </w:pPr>
          </w:p>
        </w:tc>
      </w:tr>
      <w:tr>
        <w:trPr>
          <w:trHeight w:val="249"/>
        </w:trPr>
        <w:tc>
          <w:tcPr>
            <w:tcW w:w="400" w:type="dxa"/>
            <w:vAlign w:val="bottom"/>
          </w:tcPr>
          <w:p>
            <w:pPr>
              <w:spacing w:after="0"/>
              <w:rPr>
                <w:sz w:val="21"/>
                <w:szCs w:val="21"/>
                <w:color w:val="auto"/>
              </w:rPr>
            </w:pPr>
          </w:p>
        </w:tc>
        <w:tc>
          <w:tcPr>
            <w:tcW w:w="414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June 30</w:t>
            </w:r>
          </w:p>
        </w:tc>
        <w:tc>
          <w:tcPr>
            <w:tcW w:w="38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jc w:val="center"/>
              <w:ind w:left="510"/>
              <w:spacing w:after="0"/>
              <w:rPr>
                <w:sz w:val="20"/>
                <w:szCs w:val="20"/>
                <w:color w:val="auto"/>
              </w:rPr>
            </w:pPr>
            <w:r>
              <w:rPr>
                <w:rFonts w:ascii="Arial" w:cs="Arial" w:eastAsia="Arial" w:hAnsi="Arial"/>
                <w:sz w:val="18"/>
                <w:szCs w:val="18"/>
                <w:color w:val="auto"/>
                <w:w w:val="87"/>
              </w:rPr>
              <w:t>June 30</w:t>
            </w:r>
          </w:p>
        </w:tc>
        <w:tc>
          <w:tcPr>
            <w:tcW w:w="940" w:type="dxa"/>
            <w:vAlign w:val="bottom"/>
            <w:tcBorders>
              <w:bottom w:val="single" w:sz="8" w:color="auto"/>
            </w:tcBorders>
          </w:tcPr>
          <w:p>
            <w:pPr>
              <w:spacing w:after="0"/>
              <w:rPr>
                <w:sz w:val="21"/>
                <w:szCs w:val="21"/>
                <w:color w:val="auto"/>
              </w:rPr>
            </w:pPr>
          </w:p>
        </w:tc>
        <w:tc>
          <w:tcPr>
            <w:tcW w:w="400" w:type="dxa"/>
            <w:vAlign w:val="bottom"/>
          </w:tcPr>
          <w:p>
            <w:pPr>
              <w:spacing w:after="0"/>
              <w:rPr>
                <w:sz w:val="21"/>
                <w:szCs w:val="21"/>
                <w:color w:val="auto"/>
              </w:rPr>
            </w:pPr>
          </w:p>
        </w:tc>
      </w:tr>
      <w:tr>
        <w:trPr>
          <w:trHeight w:val="237"/>
        </w:trPr>
        <w:tc>
          <w:tcPr>
            <w:tcW w:w="400" w:type="dxa"/>
            <w:vAlign w:val="bottom"/>
          </w:tcPr>
          <w:p>
            <w:pPr>
              <w:spacing w:after="0"/>
              <w:rPr>
                <w:sz w:val="20"/>
                <w:szCs w:val="20"/>
                <w:color w:val="auto"/>
              </w:rPr>
            </w:pPr>
          </w:p>
        </w:tc>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1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2023</w:t>
            </w: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2022</w:t>
            </w:r>
          </w:p>
        </w:tc>
        <w:tc>
          <w:tcPr>
            <w:tcW w:w="3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2023</w:t>
            </w: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2022</w:t>
            </w:r>
          </w:p>
        </w:tc>
        <w:tc>
          <w:tcPr>
            <w:tcW w:w="400" w:type="dxa"/>
            <w:vAlign w:val="bottom"/>
          </w:tcPr>
          <w:p>
            <w:pPr>
              <w:spacing w:after="0"/>
              <w:rPr>
                <w:sz w:val="20"/>
                <w:szCs w:val="20"/>
                <w:color w:val="auto"/>
              </w:rPr>
            </w:pPr>
          </w:p>
        </w:tc>
      </w:tr>
      <w:tr>
        <w:trPr>
          <w:trHeight w:val="243"/>
        </w:trPr>
        <w:tc>
          <w:tcPr>
            <w:tcW w:w="400" w:type="dxa"/>
            <w:vAlign w:val="bottom"/>
          </w:tcPr>
          <w:p>
            <w:pPr>
              <w:spacing w:after="0"/>
              <w:rPr>
                <w:sz w:val="21"/>
                <w:szCs w:val="21"/>
                <w:color w:val="auto"/>
              </w:rPr>
            </w:pPr>
          </w:p>
        </w:tc>
        <w:tc>
          <w:tcPr>
            <w:tcW w:w="4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cash flows from operating leases</w:t>
            </w:r>
          </w:p>
        </w:tc>
        <w:tc>
          <w:tcPr>
            <w:tcW w:w="1840" w:type="dxa"/>
            <w:vAlign w:val="bottom"/>
            <w:shd w:val="clear" w:color="auto" w:fill="CFF0FC"/>
          </w:tcPr>
          <w:p>
            <w:pPr>
              <w:ind w:left="10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8</w:t>
            </w:r>
          </w:p>
        </w:tc>
        <w:tc>
          <w:tcPr>
            <w:tcW w:w="1020" w:type="dxa"/>
            <w:vAlign w:val="bottom"/>
            <w:shd w:val="clear" w:color="auto" w:fill="CFF0FC"/>
          </w:tcPr>
          <w:p>
            <w:pPr>
              <w:jc w:val="right"/>
              <w:ind w:right="67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w:t>
            </w:r>
          </w:p>
        </w:tc>
        <w:tc>
          <w:tcPr>
            <w:tcW w:w="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21</w:t>
            </w:r>
          </w:p>
        </w:tc>
        <w:tc>
          <w:tcPr>
            <w:tcW w:w="3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23</w:t>
            </w:r>
          </w:p>
        </w:tc>
        <w:tc>
          <w:tcPr>
            <w:tcW w:w="400" w:type="dxa"/>
            <w:vAlign w:val="bottom"/>
          </w:tcPr>
          <w:p>
            <w:pPr>
              <w:spacing w:after="0"/>
              <w:rPr>
                <w:sz w:val="21"/>
                <w:szCs w:val="21"/>
                <w:color w:val="auto"/>
              </w:rPr>
            </w:pPr>
          </w:p>
        </w:tc>
      </w:tr>
      <w:tr>
        <w:trPr>
          <w:trHeight w:val="94"/>
        </w:trPr>
        <w:tc>
          <w:tcPr>
            <w:tcW w:w="400" w:type="dxa"/>
            <w:vAlign w:val="bottom"/>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c>
          <w:tcPr>
            <w:tcW w:w="18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r>
      <w:tr>
        <w:trPr>
          <w:trHeight w:val="534"/>
        </w:trPr>
        <w:tc>
          <w:tcPr>
            <w:tcW w:w="4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840" w:type="dxa"/>
            <w:vAlign w:val="bottom"/>
          </w:tcPr>
          <w:p>
            <w:pPr>
              <w:ind w:left="1000"/>
              <w:spacing w:after="0"/>
              <w:rPr>
                <w:sz w:val="20"/>
                <w:szCs w:val="20"/>
                <w:color w:val="auto"/>
              </w:rPr>
            </w:pPr>
            <w:r>
              <w:rPr>
                <w:rFonts w:ascii="Arial" w:cs="Arial" w:eastAsia="Arial" w:hAnsi="Arial"/>
                <w:sz w:val="18"/>
                <w:szCs w:val="18"/>
                <w:color w:val="auto"/>
              </w:rPr>
              <w:t>14</w:t>
            </w: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01"/>
        </w:trPr>
        <w:tc>
          <w:tcPr>
            <w:tcW w:w="400" w:type="dxa"/>
            <w:vAlign w:val="bottom"/>
            <w:tcBorders>
              <w:bottom w:val="single" w:sz="8" w:color="9A9A9A"/>
            </w:tcBorders>
          </w:tcPr>
          <w:p>
            <w:pPr>
              <w:spacing w:after="0"/>
              <w:rPr>
                <w:sz w:val="8"/>
                <w:szCs w:val="8"/>
                <w:color w:val="auto"/>
              </w:rPr>
            </w:pPr>
          </w:p>
        </w:tc>
        <w:tc>
          <w:tcPr>
            <w:tcW w:w="4140" w:type="dxa"/>
            <w:vAlign w:val="bottom"/>
            <w:tcBorders>
              <w:bottom w:val="single" w:sz="8" w:color="9A9A9A"/>
            </w:tcBorders>
          </w:tcPr>
          <w:p>
            <w:pPr>
              <w:spacing w:after="0"/>
              <w:rPr>
                <w:sz w:val="8"/>
                <w:szCs w:val="8"/>
                <w:color w:val="auto"/>
              </w:rPr>
            </w:pPr>
          </w:p>
        </w:tc>
        <w:tc>
          <w:tcPr>
            <w:tcW w:w="184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14" w:name="page15"/>
    <w:bookmarkEnd w:id="14"/>
    <w:p>
      <w:pPr>
        <w:spacing w:after="0"/>
        <w:rPr>
          <w:sz w:val="20"/>
          <w:szCs w:val="20"/>
          <w:color w:val="auto"/>
        </w:rPr>
      </w:pPr>
      <w:r>
        <w:rPr>
          <w:rFonts w:ascii="Arial" w:cs="Arial" w:eastAsia="Arial" w:hAnsi="Arial"/>
          <w:sz w:val="20"/>
          <w:szCs w:val="20"/>
          <w:b w:val="1"/>
          <w:bCs w:val="1"/>
          <w:color w:val="auto"/>
        </w:rPr>
        <w:t>NOTE J – INCOME TAXES</w:t>
      </w:r>
    </w:p>
    <w:p>
      <w:pPr>
        <w:spacing w:after="0" w:line="108"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Current fiscal year</w:t>
      </w:r>
    </w:p>
    <w:p>
      <w:pPr>
        <w:spacing w:after="0" w:line="114" w:lineRule="exact"/>
        <w:rPr>
          <w:sz w:val="20"/>
          <w:szCs w:val="20"/>
          <w:color w:val="auto"/>
        </w:rPr>
      </w:pPr>
    </w:p>
    <w:p>
      <w:pPr>
        <w:jc w:val="both"/>
        <w:ind w:left="380"/>
        <w:spacing w:after="0" w:line="316" w:lineRule="auto"/>
        <w:rPr>
          <w:sz w:val="20"/>
          <w:szCs w:val="20"/>
          <w:color w:val="auto"/>
        </w:rPr>
      </w:pPr>
      <w:r>
        <w:rPr>
          <w:rFonts w:ascii="Arial" w:cs="Arial" w:eastAsia="Arial" w:hAnsi="Arial"/>
          <w:sz w:val="18"/>
          <w:szCs w:val="18"/>
          <w:color w:val="auto"/>
        </w:rPr>
        <w:t>Ashland’s effective tax rate in any interim period is subject to adjustments related to discrete items and the mix of domestic and foreign operating results. The overall effective tax rate was 26% and 11% for the three and nine months ended June 30, 2023.</w:t>
      </w:r>
    </w:p>
    <w:p>
      <w:pPr>
        <w:spacing w:after="0" w:line="22" w:lineRule="exact"/>
        <w:rPr>
          <w:sz w:val="20"/>
          <w:szCs w:val="20"/>
          <w:color w:val="auto"/>
        </w:rPr>
      </w:pPr>
    </w:p>
    <w:p>
      <w:pPr>
        <w:jc w:val="both"/>
        <w:ind w:left="380"/>
        <w:spacing w:after="0" w:line="246" w:lineRule="auto"/>
        <w:rPr>
          <w:sz w:val="20"/>
          <w:szCs w:val="20"/>
          <w:color w:val="auto"/>
        </w:rPr>
      </w:pPr>
      <w:r>
        <w:rPr>
          <w:rFonts w:ascii="Arial" w:cs="Arial" w:eastAsia="Arial" w:hAnsi="Arial"/>
          <w:sz w:val="20"/>
          <w:szCs w:val="20"/>
          <w:color w:val="auto"/>
        </w:rPr>
        <w:t>The current quarter's tax rate was impacted by jurisdictional income mix, as well as net $4 million from favorable tax discrete items primarily related to changes in uncertain tax positions and adjustments to valuation allowances. The current nine month tax rate was impacted by jurisdictional income mix, as well as net $27 million from favorable tax discrete items primarily related to changes in uncertain tax positions.</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Prior fiscal year</w:t>
      </w:r>
    </w:p>
    <w:p>
      <w:pPr>
        <w:spacing w:after="0" w:line="114" w:lineRule="exact"/>
        <w:rPr>
          <w:sz w:val="20"/>
          <w:szCs w:val="20"/>
          <w:color w:val="auto"/>
        </w:rPr>
      </w:pPr>
    </w:p>
    <w:p>
      <w:pPr>
        <w:jc w:val="both"/>
        <w:ind w:left="380"/>
        <w:spacing w:after="0" w:line="260" w:lineRule="auto"/>
        <w:rPr>
          <w:sz w:val="20"/>
          <w:szCs w:val="20"/>
          <w:color w:val="auto"/>
        </w:rPr>
      </w:pPr>
      <w:r>
        <w:rPr>
          <w:rFonts w:ascii="Arial" w:cs="Arial" w:eastAsia="Arial" w:hAnsi="Arial"/>
          <w:sz w:val="19"/>
          <w:szCs w:val="19"/>
          <w:color w:val="auto"/>
        </w:rPr>
        <w:t>The overall effective tax rate was 2% and 17% for the three and nine months ended June 30, 2022. The prior year quarter's tax rate was impacted by jurisdictional income mix, as well as a net $1 million benefit primarily from favorable return to provision adjustments for certain jurisdictions. The nine month tax rate was impacted by jurisdictional income mix as well as $3 million from net unfavorable tax discrete items primarily related to restructuring and separation activity partially offset by a favorable valuation adjustment for certain foreign tax credits and adjustments to uncertain positions.</w:t>
      </w:r>
    </w:p>
    <w:p>
      <w:pPr>
        <w:spacing w:after="0" w:line="66"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Unrecognized tax benefits</w:t>
      </w:r>
    </w:p>
    <w:p>
      <w:pPr>
        <w:spacing w:after="0" w:line="114" w:lineRule="exact"/>
        <w:rPr>
          <w:sz w:val="20"/>
          <w:szCs w:val="20"/>
          <w:color w:val="auto"/>
        </w:rPr>
      </w:pPr>
    </w:p>
    <w:p>
      <w:pPr>
        <w:ind w:left="380"/>
        <w:spacing w:after="0"/>
        <w:rPr>
          <w:sz w:val="20"/>
          <w:szCs w:val="20"/>
          <w:color w:val="auto"/>
        </w:rPr>
      </w:pPr>
      <w:r>
        <w:rPr>
          <w:rFonts w:ascii="Arial" w:cs="Arial" w:eastAsia="Arial" w:hAnsi="Arial"/>
          <w:sz w:val="20"/>
          <w:szCs w:val="20"/>
          <w:color w:val="auto"/>
        </w:rPr>
        <w:t>Changes in unrecognized tax benefits are summarized as follows for the nine months ended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104775</wp:posOffset>
            </wp:positionV>
            <wp:extent cx="663511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635115" cy="8255"/>
                    </a:xfrm>
                    <a:prstGeom prst="rect">
                      <a:avLst/>
                    </a:prstGeom>
                    <a:noFill/>
                  </pic:spPr>
                </pic:pic>
              </a:graphicData>
            </a:graphic>
          </wp:anchor>
        </w:drawing>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millions)</w:t>
      </w:r>
    </w:p>
    <w:p>
      <w:pPr>
        <w:spacing w:after="0" w:line="23" w:lineRule="exact"/>
        <w:rPr>
          <w:sz w:val="20"/>
          <w:szCs w:val="20"/>
          <w:color w:val="auto"/>
        </w:rPr>
      </w:pPr>
    </w:p>
    <w:tbl>
      <w:tblPr>
        <w:tblLayout w:type="fixed"/>
        <w:tblInd w:w="400" w:type="dxa"/>
        <w:tblCellMar>
          <w:top w:w="0" w:type="dxa"/>
          <w:left w:w="0" w:type="dxa"/>
          <w:bottom w:w="0" w:type="dxa"/>
          <w:right w:w="0" w:type="dxa"/>
        </w:tblCellMar>
      </w:tblPr>
      <w:tr>
        <w:trPr>
          <w:trHeight w:val="250"/>
        </w:trPr>
        <w:tc>
          <w:tcPr>
            <w:tcW w:w="80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October 1, 2022</w:t>
            </w:r>
          </w:p>
        </w:tc>
        <w:tc>
          <w:tcPr>
            <w:tcW w:w="1040" w:type="dxa"/>
            <w:vAlign w:val="bottom"/>
            <w:tcBorders>
              <w:top w:val="single" w:sz="8" w:color="auto"/>
            </w:tcBorders>
            <w:shd w:val="clear" w:color="auto" w:fill="CFF0FC"/>
          </w:tcPr>
          <w:p>
            <w:pPr>
              <w:jc w:val="right"/>
              <w:ind w:right="85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84</w:t>
            </w:r>
          </w:p>
        </w:tc>
      </w:tr>
      <w:tr>
        <w:trPr>
          <w:trHeight w:val="237"/>
        </w:trPr>
        <w:tc>
          <w:tcPr>
            <w:tcW w:w="8080" w:type="dxa"/>
            <w:vAlign w:val="bottom"/>
          </w:tcPr>
          <w:p>
            <w:pPr>
              <w:ind w:left="20"/>
              <w:spacing w:after="0"/>
              <w:rPr>
                <w:sz w:val="20"/>
                <w:szCs w:val="20"/>
                <w:color w:val="auto"/>
              </w:rPr>
            </w:pPr>
            <w:r>
              <w:rPr>
                <w:rFonts w:ascii="Arial" w:cs="Arial" w:eastAsia="Arial" w:hAnsi="Arial"/>
                <w:sz w:val="18"/>
                <w:szCs w:val="18"/>
                <w:color w:val="auto"/>
              </w:rPr>
              <w:t>Increases related to positions taken in prior years</w:t>
            </w:r>
          </w:p>
        </w:tc>
        <w:tc>
          <w:tcPr>
            <w:tcW w:w="1040" w:type="dxa"/>
            <w:vAlign w:val="bottom"/>
          </w:tcPr>
          <w:p>
            <w:pPr>
              <w:spacing w:after="0"/>
              <w:rPr>
                <w:sz w:val="20"/>
                <w:szCs w:val="20"/>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w:t>
            </w:r>
          </w:p>
        </w:tc>
      </w:tr>
      <w:tr>
        <w:trPr>
          <w:trHeight w:val="249"/>
        </w:trPr>
        <w:tc>
          <w:tcPr>
            <w:tcW w:w="8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Decreases related to positions taken in prior years</w:t>
            </w:r>
          </w:p>
        </w:tc>
        <w:tc>
          <w:tcPr>
            <w:tcW w:w="10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(27 )</w:t>
            </w:r>
          </w:p>
        </w:tc>
      </w:tr>
      <w:tr>
        <w:trPr>
          <w:trHeight w:val="237"/>
        </w:trPr>
        <w:tc>
          <w:tcPr>
            <w:tcW w:w="8080" w:type="dxa"/>
            <w:vAlign w:val="bottom"/>
          </w:tcPr>
          <w:p>
            <w:pPr>
              <w:ind w:left="20"/>
              <w:spacing w:after="0"/>
              <w:rPr>
                <w:sz w:val="20"/>
                <w:szCs w:val="20"/>
                <w:color w:val="auto"/>
              </w:rPr>
            </w:pPr>
            <w:r>
              <w:rPr>
                <w:rFonts w:ascii="Arial" w:cs="Arial" w:eastAsia="Arial" w:hAnsi="Arial"/>
                <w:sz w:val="18"/>
                <w:szCs w:val="18"/>
                <w:color w:val="auto"/>
              </w:rPr>
              <w:t>Increases related to positions taken in the current year</w:t>
            </w:r>
          </w:p>
        </w:tc>
        <w:tc>
          <w:tcPr>
            <w:tcW w:w="1040" w:type="dxa"/>
            <w:vAlign w:val="bottom"/>
          </w:tcPr>
          <w:p>
            <w:pPr>
              <w:spacing w:after="0"/>
              <w:rPr>
                <w:sz w:val="20"/>
                <w:szCs w:val="20"/>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3</w:t>
            </w:r>
          </w:p>
        </w:tc>
      </w:tr>
      <w:tr>
        <w:trPr>
          <w:trHeight w:val="249"/>
        </w:trPr>
        <w:tc>
          <w:tcPr>
            <w:tcW w:w="8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Lapse of statute of limitations</w:t>
            </w:r>
          </w:p>
        </w:tc>
        <w:tc>
          <w:tcPr>
            <w:tcW w:w="104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(4 )</w:t>
            </w:r>
          </w:p>
        </w:tc>
      </w:tr>
      <w:tr>
        <w:trPr>
          <w:trHeight w:val="236"/>
        </w:trPr>
        <w:tc>
          <w:tcPr>
            <w:tcW w:w="8080" w:type="dxa"/>
            <w:vAlign w:val="bottom"/>
          </w:tcPr>
          <w:p>
            <w:pPr>
              <w:ind w:left="20"/>
              <w:spacing w:after="0"/>
              <w:rPr>
                <w:sz w:val="20"/>
                <w:szCs w:val="20"/>
                <w:color w:val="auto"/>
              </w:rPr>
            </w:pPr>
            <w:r>
              <w:rPr>
                <w:rFonts w:ascii="Arial" w:cs="Arial" w:eastAsia="Arial" w:hAnsi="Arial"/>
                <w:sz w:val="18"/>
                <w:szCs w:val="18"/>
                <w:b w:val="1"/>
                <w:bCs w:val="1"/>
                <w:color w:val="auto"/>
              </w:rPr>
              <w:t>Balance at June 30, 2023</w:t>
            </w:r>
          </w:p>
        </w:tc>
        <w:tc>
          <w:tcPr>
            <w:tcW w:w="10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57</w:t>
            </w:r>
          </w:p>
        </w:tc>
      </w:tr>
      <w:tr>
        <w:trPr>
          <w:trHeight w:val="20"/>
        </w:trPr>
        <w:tc>
          <w:tcPr>
            <w:tcW w:w="80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29"/>
        </w:trPr>
        <w:tc>
          <w:tcPr>
            <w:tcW w:w="80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r>
    </w:tbl>
    <w:p>
      <w:pPr>
        <w:spacing w:after="0" w:line="91" w:lineRule="exact"/>
        <w:rPr>
          <w:sz w:val="20"/>
          <w:szCs w:val="20"/>
          <w:color w:val="auto"/>
        </w:rPr>
      </w:pPr>
    </w:p>
    <w:p>
      <w:pPr>
        <w:jc w:val="both"/>
        <w:ind w:left="380"/>
        <w:spacing w:after="0" w:line="282" w:lineRule="auto"/>
        <w:rPr>
          <w:sz w:val="20"/>
          <w:szCs w:val="20"/>
          <w:color w:val="auto"/>
        </w:rPr>
      </w:pPr>
      <w:r>
        <w:rPr>
          <w:rFonts w:ascii="Arial" w:cs="Arial" w:eastAsia="Arial" w:hAnsi="Arial"/>
          <w:sz w:val="18"/>
          <w:szCs w:val="18"/>
          <w:color w:val="auto"/>
        </w:rPr>
        <w:t>From a combination of statute expirations and audit settlements in the next twelve months, Ashland expects a decrease in the amount accrued for uncertain tax positions of between zero and $1 million. It is reasonably possible that there could be other material changes to the amount of uncertain tax positions due to activities of the taxing authorities, settlement of audit issues or the reassessment of existing uncertain tax positions; however, Ashland is not able to estimate the impact of these items at this time.</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K - EMPLOYEE BENEFIT PLANS</w:t>
      </w:r>
    </w:p>
    <w:p>
      <w:pPr>
        <w:spacing w:after="0" w:line="108"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Plan contributions</w:t>
      </w:r>
    </w:p>
    <w:p>
      <w:pPr>
        <w:spacing w:after="0" w:line="11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For the nine months ended June 30, 2023, Ashland contributed $4 million to its non-U.S. pension plans and $3 million to its U.S.</w:t>
      </w:r>
    </w:p>
    <w:p>
      <w:pPr>
        <w:spacing w:after="0" w:line="3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pension plans. Ashland expects to make additional contributions of less than $1 million to both its U.S. pension plans and non-U.S.</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20"/>
          <w:szCs w:val="20"/>
          <w:color w:val="auto"/>
        </w:rPr>
        <w:t>pension plans during the remainder of fiscal 2023.</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Plan Remeasurements</w:t>
      </w:r>
    </w:p>
    <w:p>
      <w:pPr>
        <w:spacing w:after="0" w:line="114" w:lineRule="exact"/>
        <w:rPr>
          <w:sz w:val="20"/>
          <w:szCs w:val="20"/>
          <w:color w:val="auto"/>
        </w:rPr>
      </w:pPr>
    </w:p>
    <w:p>
      <w:pPr>
        <w:jc w:val="both"/>
        <w:ind w:left="380"/>
        <w:spacing w:after="0" w:line="243" w:lineRule="auto"/>
        <w:rPr>
          <w:sz w:val="20"/>
          <w:szCs w:val="20"/>
          <w:color w:val="auto"/>
        </w:rPr>
      </w:pPr>
      <w:r>
        <w:rPr>
          <w:rFonts w:ascii="Arial" w:cs="Arial" w:eastAsia="Arial" w:hAnsi="Arial"/>
          <w:sz w:val="20"/>
          <w:szCs w:val="20"/>
          <w:color w:val="auto"/>
        </w:rPr>
        <w:t>Following the completion of the sale of its Performance Adhesives business segment on February 28, 2022, the post-retirement benefits for approximately 40 employees transferred to Arkema, all of whom participated in a non-contributory defined benefit plan in the U.S., were frozen. This resulted in a significant decrease in total expected future years of service within the plan and required Ashland to remeasure the plan as of February 28, 2022. As a result, Ashland recorded zero and $1 million actuarial gain within the other net periodic benefits income caption of the Statements of Consolidated Comprehensive Income (Loss) for the three and nine months ended June 30, 2022.</w:t>
      </w:r>
    </w:p>
    <w:p>
      <w:pPr>
        <w:spacing w:after="0" w:line="9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454" w:right="719" w:bottom="1440" w:gutter="0" w:footer="0" w:header="0"/>
        </w:sectPr>
      </w:pPr>
    </w:p>
    <w:bookmarkStart w:id="15" w:name="page16"/>
    <w:bookmarkEnd w:id="15"/>
    <w:p>
      <w:pPr>
        <w:ind w:left="380"/>
        <w:spacing w:after="0"/>
        <w:rPr>
          <w:sz w:val="20"/>
          <w:szCs w:val="20"/>
          <w:color w:val="auto"/>
        </w:rPr>
      </w:pPr>
      <w:r>
        <w:rPr>
          <w:rFonts w:ascii="Arial" w:cs="Arial" w:eastAsia="Arial" w:hAnsi="Arial"/>
          <w:sz w:val="20"/>
          <w:szCs w:val="20"/>
          <w:b w:val="1"/>
          <w:bCs w:val="1"/>
          <w:color w:val="auto"/>
        </w:rPr>
        <w:t>Components of net periodic benefit costs (income)</w:t>
      </w:r>
    </w:p>
    <w:p>
      <w:pPr>
        <w:spacing w:after="0" w:line="114" w:lineRule="exact"/>
        <w:rPr>
          <w:sz w:val="20"/>
          <w:szCs w:val="20"/>
          <w:color w:val="auto"/>
        </w:rPr>
      </w:pPr>
    </w:p>
    <w:p>
      <w:pPr>
        <w:ind w:left="380"/>
        <w:spacing w:after="0"/>
        <w:rPr>
          <w:sz w:val="20"/>
          <w:szCs w:val="20"/>
          <w:color w:val="auto"/>
        </w:rPr>
      </w:pPr>
      <w:r>
        <w:rPr>
          <w:rFonts w:ascii="Arial" w:cs="Arial" w:eastAsia="Arial" w:hAnsi="Arial"/>
          <w:sz w:val="20"/>
          <w:szCs w:val="20"/>
          <w:color w:val="auto"/>
        </w:rPr>
        <w:t>The following table details the components of pension and other postretirement benefit costs for continuing operations.</w:t>
      </w:r>
    </w:p>
    <w:p>
      <w:pPr>
        <w:spacing w:after="0" w:line="145" w:lineRule="exact"/>
        <w:rPr>
          <w:sz w:val="20"/>
          <w:szCs w:val="20"/>
          <w:color w:val="auto"/>
        </w:rPr>
      </w:pPr>
    </w:p>
    <w:tbl>
      <w:tblPr>
        <w:tblLayout w:type="fixed"/>
        <w:tblInd w:w="400" w:type="dxa"/>
        <w:tblCellMar>
          <w:top w:w="0" w:type="dxa"/>
          <w:left w:w="0" w:type="dxa"/>
          <w:bottom w:w="0" w:type="dxa"/>
          <w:right w:w="0" w:type="dxa"/>
        </w:tblCellMar>
      </w:tblPr>
      <w:tr>
        <w:trPr>
          <w:trHeight w:val="229"/>
        </w:trPr>
        <w:tc>
          <w:tcPr>
            <w:tcW w:w="34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3080" w:type="dxa"/>
            <w:vAlign w:val="bottom"/>
            <w:tcBorders>
              <w:top w:val="single" w:sz="8" w:color="auto"/>
            </w:tcBorders>
            <w:gridSpan w:val="4"/>
          </w:tcPr>
          <w:p>
            <w:pPr>
              <w:jc w:val="right"/>
              <w:ind w:right="930"/>
              <w:spacing w:after="0"/>
              <w:rPr>
                <w:sz w:val="20"/>
                <w:szCs w:val="20"/>
                <w:color w:val="auto"/>
              </w:rPr>
            </w:pPr>
            <w:r>
              <w:rPr>
                <w:rFonts w:ascii="Arial" w:cs="Arial" w:eastAsia="Arial" w:hAnsi="Arial"/>
                <w:sz w:val="18"/>
                <w:szCs w:val="18"/>
                <w:color w:val="auto"/>
              </w:rPr>
              <w:t>Other postretirement</w:t>
            </w:r>
          </w:p>
        </w:tc>
      </w:tr>
      <w:tr>
        <w:trPr>
          <w:trHeight w:val="237"/>
        </w:trPr>
        <w:tc>
          <w:tcPr>
            <w:tcW w:w="34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ind w:right="680"/>
              <w:spacing w:after="0"/>
              <w:rPr>
                <w:sz w:val="20"/>
                <w:szCs w:val="20"/>
                <w:color w:val="auto"/>
              </w:rPr>
            </w:pPr>
            <w:r>
              <w:rPr>
                <w:rFonts w:ascii="Arial" w:cs="Arial" w:eastAsia="Arial" w:hAnsi="Arial"/>
                <w:sz w:val="18"/>
                <w:szCs w:val="18"/>
                <w:color w:val="auto"/>
                <w:w w:val="93"/>
              </w:rPr>
              <w:t>Pension benefits</w:t>
            </w:r>
          </w:p>
        </w:tc>
        <w:tc>
          <w:tcPr>
            <w:tcW w:w="5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8"/>
                <w:szCs w:val="18"/>
                <w:color w:val="auto"/>
              </w:rPr>
              <w:t>benefits</w:t>
            </w:r>
          </w:p>
        </w:tc>
        <w:tc>
          <w:tcPr>
            <w:tcW w:w="1260" w:type="dxa"/>
            <w:vAlign w:val="bottom"/>
            <w:tcBorders>
              <w:bottom w:val="single" w:sz="8" w:color="auto"/>
            </w:tcBorders>
          </w:tcPr>
          <w:p>
            <w:pPr>
              <w:spacing w:after="0"/>
              <w:rPr>
                <w:sz w:val="20"/>
                <w:szCs w:val="20"/>
                <w:color w:val="auto"/>
              </w:rPr>
            </w:pPr>
          </w:p>
        </w:tc>
      </w:tr>
      <w:tr>
        <w:trPr>
          <w:trHeight w:val="237"/>
        </w:trPr>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6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2022</w:t>
            </w:r>
          </w:p>
        </w:tc>
        <w:tc>
          <w:tcPr>
            <w:tcW w:w="5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2023</w:t>
            </w:r>
          </w:p>
        </w:tc>
        <w:tc>
          <w:tcPr>
            <w:tcW w:w="2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2022</w:t>
            </w:r>
          </w:p>
        </w:tc>
      </w:tr>
      <w:tr>
        <w:trPr>
          <w:trHeight w:val="243"/>
        </w:trPr>
        <w:tc>
          <w:tcPr>
            <w:tcW w:w="34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Three months ended June 30</w:t>
            </w:r>
          </w:p>
        </w:tc>
        <w:tc>
          <w:tcPr>
            <w:tcW w:w="98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r>
      <w:tr>
        <w:trPr>
          <w:trHeight w:val="237"/>
        </w:trPr>
        <w:tc>
          <w:tcPr>
            <w:tcW w:w="342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49"/>
        </w:trPr>
        <w:tc>
          <w:tcPr>
            <w:tcW w:w="3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cost</w:t>
            </w:r>
          </w:p>
        </w:tc>
        <w:tc>
          <w:tcPr>
            <w:tcW w:w="980" w:type="dxa"/>
            <w:vAlign w:val="bottom"/>
            <w:shd w:val="clear" w:color="auto" w:fill="CFF0FC"/>
          </w:tcPr>
          <w:p>
            <w:pPr>
              <w:spacing w:after="0"/>
              <w:rPr>
                <w:sz w:val="21"/>
                <w:szCs w:val="21"/>
                <w:color w:val="auto"/>
              </w:rPr>
            </w:pPr>
          </w:p>
        </w:tc>
        <w:tc>
          <w:tcPr>
            <w:tcW w:w="6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5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37"/>
        </w:trPr>
        <w:tc>
          <w:tcPr>
            <w:tcW w:w="3420" w:type="dxa"/>
            <w:vAlign w:val="bottom"/>
          </w:tcPr>
          <w:p>
            <w:pPr>
              <w:ind w:left="20"/>
              <w:spacing w:after="0"/>
              <w:rPr>
                <w:sz w:val="20"/>
                <w:szCs w:val="20"/>
                <w:color w:val="auto"/>
              </w:rPr>
            </w:pPr>
            <w:r>
              <w:rPr>
                <w:rFonts w:ascii="Arial" w:cs="Arial" w:eastAsia="Arial" w:hAnsi="Arial"/>
                <w:sz w:val="18"/>
                <w:szCs w:val="18"/>
                <w:color w:val="auto"/>
              </w:rPr>
              <w:t>Expected return on plan assets</w:t>
            </w:r>
          </w:p>
        </w:tc>
        <w:tc>
          <w:tcPr>
            <w:tcW w:w="9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(2 )</w:t>
            </w: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(1 )</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49"/>
        </w:trPr>
        <w:tc>
          <w:tcPr>
            <w:tcW w:w="3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Actuarial (gain)</w:t>
            </w:r>
          </w:p>
        </w:tc>
        <w:tc>
          <w:tcPr>
            <w:tcW w:w="98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36"/>
        </w:trPr>
        <w:tc>
          <w:tcPr>
            <w:tcW w:w="3420" w:type="dxa"/>
            <w:vAlign w:val="bottom"/>
          </w:tcPr>
          <w:p>
            <w:pPr>
              <w:ind w:left="20"/>
              <w:spacing w:after="0"/>
              <w:rPr>
                <w:sz w:val="20"/>
                <w:szCs w:val="20"/>
                <w:color w:val="auto"/>
              </w:rPr>
            </w:pPr>
            <w:r>
              <w:rPr>
                <w:rFonts w:ascii="Arial" w:cs="Arial" w:eastAsia="Arial" w:hAnsi="Arial"/>
                <w:sz w:val="18"/>
                <w:szCs w:val="18"/>
                <w:color w:val="auto"/>
              </w:rPr>
              <w:t>Total net periodic benefit costs</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1320" w:type="dxa"/>
            <w:vAlign w:val="bottom"/>
            <w:gridSpan w:val="2"/>
          </w:tcPr>
          <w:p>
            <w:pPr>
              <w:jc w:val="right"/>
              <w:ind w:right="100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0"/>
        </w:trPr>
        <w:tc>
          <w:tcPr>
            <w:tcW w:w="34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34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Nine months ended June 30</w:t>
            </w:r>
          </w:p>
        </w:tc>
        <w:tc>
          <w:tcPr>
            <w:tcW w:w="9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r>
      <w:tr>
        <w:trPr>
          <w:trHeight w:val="237"/>
        </w:trPr>
        <w:tc>
          <w:tcPr>
            <w:tcW w:w="342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1320" w:type="dxa"/>
            <w:vAlign w:val="bottom"/>
            <w:gridSpan w:val="2"/>
          </w:tcPr>
          <w:p>
            <w:pPr>
              <w:jc w:val="right"/>
              <w:ind w:right="100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50"/>
              <w:spacing w:after="0"/>
              <w:rPr>
                <w:sz w:val="20"/>
                <w:szCs w:val="20"/>
                <w:color w:val="auto"/>
              </w:rPr>
            </w:pPr>
            <w:r>
              <w:rPr>
                <w:rFonts w:ascii="Arial" w:cs="Arial" w:eastAsia="Arial" w:hAnsi="Arial"/>
                <w:sz w:val="18"/>
                <w:szCs w:val="18"/>
                <w:color w:val="auto"/>
              </w:rPr>
              <w:t>3</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49"/>
        </w:trPr>
        <w:tc>
          <w:tcPr>
            <w:tcW w:w="3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cost</w:t>
            </w:r>
          </w:p>
        </w:tc>
        <w:tc>
          <w:tcPr>
            <w:tcW w:w="980" w:type="dxa"/>
            <w:vAlign w:val="bottom"/>
            <w:shd w:val="clear" w:color="auto" w:fill="CFF0FC"/>
          </w:tcPr>
          <w:p>
            <w:pPr>
              <w:spacing w:after="0"/>
              <w:rPr>
                <w:sz w:val="21"/>
                <w:szCs w:val="21"/>
                <w:color w:val="auto"/>
              </w:rPr>
            </w:pPr>
          </w:p>
        </w:tc>
        <w:tc>
          <w:tcPr>
            <w:tcW w:w="6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5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w:t>
            </w:r>
          </w:p>
        </w:tc>
      </w:tr>
      <w:tr>
        <w:trPr>
          <w:trHeight w:val="237"/>
        </w:trPr>
        <w:tc>
          <w:tcPr>
            <w:tcW w:w="3420" w:type="dxa"/>
            <w:vAlign w:val="bottom"/>
          </w:tcPr>
          <w:p>
            <w:pPr>
              <w:ind w:left="20"/>
              <w:spacing w:after="0"/>
              <w:rPr>
                <w:sz w:val="20"/>
                <w:szCs w:val="20"/>
                <w:color w:val="auto"/>
              </w:rPr>
            </w:pPr>
            <w:r>
              <w:rPr>
                <w:rFonts w:ascii="Arial" w:cs="Arial" w:eastAsia="Arial" w:hAnsi="Arial"/>
                <w:sz w:val="18"/>
                <w:szCs w:val="18"/>
                <w:color w:val="auto"/>
              </w:rPr>
              <w:t>Expected return on plan assets</w:t>
            </w:r>
          </w:p>
        </w:tc>
        <w:tc>
          <w:tcPr>
            <w:tcW w:w="9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(5 )</w:t>
            </w: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(5 )</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49"/>
        </w:trPr>
        <w:tc>
          <w:tcPr>
            <w:tcW w:w="3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Actuarial (gain)</w:t>
            </w:r>
          </w:p>
        </w:tc>
        <w:tc>
          <w:tcPr>
            <w:tcW w:w="98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2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37"/>
        </w:trPr>
        <w:tc>
          <w:tcPr>
            <w:tcW w:w="3420" w:type="dxa"/>
            <w:vAlign w:val="bottom"/>
          </w:tcPr>
          <w:p>
            <w:pPr>
              <w:ind w:left="20"/>
              <w:spacing w:after="0"/>
              <w:rPr>
                <w:sz w:val="20"/>
                <w:szCs w:val="20"/>
                <w:color w:val="auto"/>
              </w:rPr>
            </w:pPr>
            <w:r>
              <w:rPr>
                <w:rFonts w:ascii="Arial" w:cs="Arial" w:eastAsia="Arial" w:hAnsi="Arial"/>
                <w:sz w:val="18"/>
                <w:szCs w:val="18"/>
                <w:color w:val="auto"/>
              </w:rPr>
              <w:t>Total net periodic benefit costs</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7</w:t>
            </w:r>
          </w:p>
        </w:tc>
        <w:tc>
          <w:tcPr>
            <w:tcW w:w="1320" w:type="dxa"/>
            <w:vAlign w:val="bottom"/>
            <w:gridSpan w:val="2"/>
          </w:tcPr>
          <w:p>
            <w:pPr>
              <w:jc w:val="right"/>
              <w:ind w:right="100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w:t>
            </w:r>
          </w:p>
        </w:tc>
      </w:tr>
      <w:tr>
        <w:trPr>
          <w:trHeight w:val="20"/>
        </w:trPr>
        <w:tc>
          <w:tcPr>
            <w:tcW w:w="34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129"/>
        </w:trPr>
        <w:tc>
          <w:tcPr>
            <w:tcW w:w="34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3442335</wp:posOffset>
            </wp:positionH>
            <wp:positionV relativeFrom="paragraph">
              <wp:posOffset>-1250950</wp:posOffset>
            </wp:positionV>
            <wp:extent cx="128905" cy="1885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8905" cy="18859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-1250950</wp:posOffset>
            </wp:positionV>
            <wp:extent cx="128905" cy="1885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8905" cy="18859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-1250950</wp:posOffset>
            </wp:positionV>
            <wp:extent cx="128905" cy="1885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8905" cy="18859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-290830</wp:posOffset>
            </wp:positionV>
            <wp:extent cx="128905" cy="2914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8905" cy="29146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-290830</wp:posOffset>
            </wp:positionV>
            <wp:extent cx="128905" cy="2914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8905" cy="29146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-290830</wp:posOffset>
            </wp:positionV>
            <wp:extent cx="128905" cy="2914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8905" cy="291465"/>
                    </a:xfrm>
                    <a:prstGeom prst="rect">
                      <a:avLst/>
                    </a:prstGeom>
                    <a:noFill/>
                  </pic:spPr>
                </pic:pic>
              </a:graphicData>
            </a:graphic>
          </wp:anchor>
        </w:drawing>
      </w:r>
    </w:p>
    <w:p>
      <w:pPr>
        <w:spacing w:after="0" w:line="71" w:lineRule="exact"/>
        <w:rPr>
          <w:sz w:val="20"/>
          <w:szCs w:val="20"/>
          <w:color w:val="auto"/>
        </w:rPr>
      </w:pPr>
    </w:p>
    <w:p>
      <w:pPr>
        <w:jc w:val="both"/>
        <w:ind w:left="380"/>
        <w:spacing w:after="0" w:line="243" w:lineRule="auto"/>
        <w:rPr>
          <w:sz w:val="20"/>
          <w:szCs w:val="20"/>
          <w:color w:val="auto"/>
        </w:rPr>
      </w:pPr>
      <w:r>
        <w:rPr>
          <w:rFonts w:ascii="Arial" w:cs="Arial" w:eastAsia="Arial" w:hAnsi="Arial"/>
          <w:sz w:val="20"/>
          <w:szCs w:val="20"/>
          <w:color w:val="auto"/>
        </w:rPr>
        <w:t>For segment reporting purposes, service cost is proportionately allocated to each segment, excluding the Unallocated and other segment, and is recorded within the selling, general and administrative expense and cost of sales captions on the Statements of Consolidated Comprehensive Income (Loss). All other components are recorded within the other net periodic benefit loss caption on the Statements of Consolidated Comprehensive Income (Loss), which netted to a loss of $2 million and $6 million for the three and nine months ended June 30, 2023, respectively, and a loss of $1 million and zero for the three and nine months ended June 30, 2022.</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L – LITIGATION, CLAIMS AND CONTINGENCIES</w:t>
      </w:r>
    </w:p>
    <w:p>
      <w:pPr>
        <w:spacing w:after="0" w:line="108"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Asbestos litigation</w:t>
      </w:r>
    </w:p>
    <w:p>
      <w:pPr>
        <w:spacing w:after="0" w:line="114" w:lineRule="exact"/>
        <w:rPr>
          <w:sz w:val="20"/>
          <w:szCs w:val="20"/>
          <w:color w:val="auto"/>
        </w:rPr>
      </w:pPr>
    </w:p>
    <w:p>
      <w:pPr>
        <w:jc w:val="both"/>
        <w:ind w:left="380"/>
        <w:spacing w:after="0" w:line="257" w:lineRule="auto"/>
        <w:rPr>
          <w:sz w:val="20"/>
          <w:szCs w:val="20"/>
          <w:color w:val="auto"/>
        </w:rPr>
      </w:pPr>
      <w:r>
        <w:rPr>
          <w:rFonts w:ascii="Arial" w:cs="Arial" w:eastAsia="Arial" w:hAnsi="Arial"/>
          <w:sz w:val="19"/>
          <w:szCs w:val="19"/>
          <w:color w:val="auto"/>
        </w:rPr>
        <w:t>Ashland is subject to liabilities from claims alleging personal injury caused by exposure to asbestos. Such claims result from indemnification obligations undertaken in 1990 in connection with the sale of Riley Stoker Corporation (Riley) and the acquisition of Hercules in November 2008. Although Riley, a former subsidiary, was neither a producer nor a manufacturer of asbestos, its industrial boilers contained some asbestos-containing components provided by other companies. Hercules, an indirect wholly-owned subsidiary of Ashland, has liabilities from claims alleging personal injury caused by exposure to asbestos. Such claims typically arise from alleged exposure to asbestos fibers from resin encapsulated pipe and tank products sold by one of Hercules’ former subsidiaries to a limited industrial market.</w:t>
      </w:r>
    </w:p>
    <w:p>
      <w:pPr>
        <w:spacing w:after="0" w:line="77" w:lineRule="exact"/>
        <w:rPr>
          <w:sz w:val="20"/>
          <w:szCs w:val="20"/>
          <w:color w:val="auto"/>
        </w:rPr>
      </w:pPr>
    </w:p>
    <w:p>
      <w:pPr>
        <w:jc w:val="both"/>
        <w:ind w:left="380"/>
        <w:spacing w:after="0" w:line="255" w:lineRule="auto"/>
        <w:rPr>
          <w:sz w:val="20"/>
          <w:szCs w:val="20"/>
          <w:color w:val="auto"/>
        </w:rPr>
      </w:pPr>
      <w:r>
        <w:rPr>
          <w:rFonts w:ascii="Arial" w:cs="Arial" w:eastAsia="Arial" w:hAnsi="Arial"/>
          <w:sz w:val="19"/>
          <w:szCs w:val="19"/>
          <w:color w:val="auto"/>
        </w:rPr>
        <w:t>To assist in developing and annually updating independent reserve estimates for future asbestos claims and related costs given various assumptions for Ashland and Hercules asbestos claims, Ashland retained third party actuarial experts Gnarus. The methodology used by Gnarus to project future asbestos costs is based largely on recent experience, including claim-filing and settlement rates, disease mix, open claims and litigation defense. The claim experience of Ashland and Hercules are separately compared to the results of previously conducted third party epidemiological studies estimating the number of people likely to develop asbestos-related diseases. Those studies were undertaken in connection with national analyses of the population expected to have been exposed to asbestos. Using that information, Gnarus estimates a range of the number of future claims that may be filed, as well as the related costs that may be incurred in resolving those claims. Changes in asbestos-related liabilities and receivables are recorded on an after-tax basis within the discontinued operations caption in the Statements of Consolidated Comprehensive Income (Loss).</w:t>
      </w:r>
    </w:p>
    <w:p>
      <w:pPr>
        <w:spacing w:after="0" w:line="8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441" w:right="719" w:bottom="1440" w:gutter="0" w:footer="0" w:header="0"/>
        </w:sectPr>
      </w:pPr>
    </w:p>
    <w:bookmarkStart w:id="16" w:name="page17"/>
    <w:bookmarkEnd w:id="16"/>
    <w:p>
      <w:pPr>
        <w:spacing w:after="0"/>
        <w:rPr>
          <w:sz w:val="20"/>
          <w:szCs w:val="20"/>
          <w:color w:val="auto"/>
        </w:rPr>
      </w:pPr>
      <w:r>
        <w:rPr>
          <w:rFonts w:ascii="Arial" w:cs="Arial" w:eastAsia="Arial" w:hAnsi="Arial"/>
          <w:sz w:val="20"/>
          <w:szCs w:val="20"/>
          <w:i w:val="1"/>
          <w:iCs w:val="1"/>
          <w:color w:val="auto"/>
        </w:rPr>
        <w:t>Ashland asbestos-related litigation</w:t>
      </w:r>
    </w:p>
    <w:p>
      <w:pPr>
        <w:spacing w:after="0" w:line="108"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The claims alleging personal injury caused by exposure to asbestos asserted against Ashland result primarily from indemnification obligations undertaken in 1990 in connection with the sale of Riley. The amount and timing of settlements and number of open claims can fluctuate from period to period. A summary of Ashland asbestos claims activity, excluding Hercules claims, follows.</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244"/>
        </w:trPr>
        <w:tc>
          <w:tcPr>
            <w:tcW w:w="4020" w:type="dxa"/>
            <w:vAlign w:val="bottom"/>
            <w:tcBorders>
              <w:top w:val="single" w:sz="8" w:color="auto"/>
            </w:tcBorders>
          </w:tcPr>
          <w:p>
            <w:pPr>
              <w:spacing w:after="0"/>
              <w:rPr>
                <w:sz w:val="21"/>
                <w:szCs w:val="21"/>
                <w:color w:val="auto"/>
              </w:rPr>
            </w:pPr>
          </w:p>
        </w:tc>
        <w:tc>
          <w:tcPr>
            <w:tcW w:w="2500" w:type="dxa"/>
            <w:vAlign w:val="bottom"/>
            <w:tcBorders>
              <w:top w:val="single" w:sz="8" w:color="auto"/>
            </w:tcBorders>
            <w:gridSpan w:val="4"/>
          </w:tcPr>
          <w:p>
            <w:pPr>
              <w:jc w:val="center"/>
              <w:ind w:right="50"/>
              <w:spacing w:after="0"/>
              <w:rPr>
                <w:sz w:val="20"/>
                <w:szCs w:val="20"/>
                <w:color w:val="auto"/>
              </w:rPr>
            </w:pPr>
            <w:r>
              <w:rPr>
                <w:rFonts w:ascii="Arial" w:cs="Arial" w:eastAsia="Arial" w:hAnsi="Arial"/>
                <w:sz w:val="18"/>
                <w:szCs w:val="18"/>
                <w:color w:val="auto"/>
                <w:w w:val="89"/>
              </w:rPr>
              <w:t>Nine months ended</w:t>
            </w:r>
          </w:p>
        </w:tc>
        <w:tc>
          <w:tcPr>
            <w:tcW w:w="12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r>
      <w:tr>
        <w:trPr>
          <w:trHeight w:val="249"/>
        </w:trPr>
        <w:tc>
          <w:tcPr>
            <w:tcW w:w="4020" w:type="dxa"/>
            <w:vAlign w:val="bottom"/>
          </w:tcPr>
          <w:p>
            <w:pPr>
              <w:spacing w:after="0"/>
              <w:rPr>
                <w:sz w:val="21"/>
                <w:szCs w:val="21"/>
                <w:color w:val="auto"/>
              </w:rPr>
            </w:pPr>
          </w:p>
        </w:tc>
        <w:tc>
          <w:tcPr>
            <w:tcW w:w="1560" w:type="dxa"/>
            <w:vAlign w:val="bottom"/>
            <w:tcBorders>
              <w:bottom w:val="single" w:sz="8" w:color="auto"/>
            </w:tcBorders>
            <w:gridSpan w:val="3"/>
          </w:tcPr>
          <w:p>
            <w:pPr>
              <w:jc w:val="center"/>
              <w:ind w:left="710"/>
              <w:spacing w:after="0"/>
              <w:rPr>
                <w:sz w:val="20"/>
                <w:szCs w:val="20"/>
                <w:color w:val="auto"/>
              </w:rPr>
            </w:pPr>
            <w:r>
              <w:rPr>
                <w:rFonts w:ascii="Arial" w:cs="Arial" w:eastAsia="Arial" w:hAnsi="Arial"/>
                <w:sz w:val="18"/>
                <w:szCs w:val="18"/>
                <w:color w:val="auto"/>
                <w:w w:val="87"/>
              </w:rPr>
              <w:t>June 30</w:t>
            </w:r>
          </w:p>
        </w:tc>
        <w:tc>
          <w:tcPr>
            <w:tcW w:w="9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80" w:type="dxa"/>
            <w:vAlign w:val="bottom"/>
            <w:tcBorders>
              <w:bottom w:val="single" w:sz="8" w:color="auto"/>
            </w:tcBorders>
            <w:gridSpan w:val="5"/>
          </w:tcPr>
          <w:p>
            <w:pPr>
              <w:ind w:left="880"/>
              <w:spacing w:after="0"/>
              <w:rPr>
                <w:sz w:val="20"/>
                <w:szCs w:val="20"/>
                <w:color w:val="auto"/>
              </w:rPr>
            </w:pPr>
            <w:r>
              <w:rPr>
                <w:rFonts w:ascii="Arial" w:cs="Arial" w:eastAsia="Arial" w:hAnsi="Arial"/>
                <w:sz w:val="18"/>
                <w:szCs w:val="18"/>
                <w:color w:val="auto"/>
                <w:w w:val="89"/>
              </w:rPr>
              <w:t>Years ended September 30</w:t>
            </w:r>
          </w:p>
        </w:tc>
        <w:tc>
          <w:tcPr>
            <w:tcW w:w="920" w:type="dxa"/>
            <w:vAlign w:val="bottom"/>
            <w:tcBorders>
              <w:bottom w:val="single" w:sz="8" w:color="auto"/>
            </w:tcBorders>
          </w:tcPr>
          <w:p>
            <w:pPr>
              <w:spacing w:after="0"/>
              <w:rPr>
                <w:sz w:val="21"/>
                <w:szCs w:val="21"/>
                <w:color w:val="auto"/>
              </w:rPr>
            </w:pPr>
          </w:p>
        </w:tc>
      </w:tr>
      <w:tr>
        <w:trPr>
          <w:trHeight w:val="237"/>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thousands)</w:t>
            </w:r>
          </w:p>
        </w:tc>
        <w:tc>
          <w:tcPr>
            <w:tcW w:w="12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2022</w:t>
            </w:r>
          </w:p>
        </w:tc>
        <w:tc>
          <w:tcPr>
            <w:tcW w:w="1320" w:type="dxa"/>
            <w:vAlign w:val="bottom"/>
            <w:tcBorders>
              <w:bottom w:val="single" w:sz="8" w:color="auto"/>
            </w:tcBorders>
            <w:gridSpan w:val="2"/>
          </w:tcPr>
          <w:p>
            <w:pPr>
              <w:jc w:val="right"/>
              <w:ind w:right="39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2020</w:t>
            </w:r>
          </w:p>
        </w:tc>
      </w:tr>
      <w:tr>
        <w:trPr>
          <w:trHeight w:val="243"/>
        </w:trPr>
        <w:tc>
          <w:tcPr>
            <w:tcW w:w="4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Open claims - beginning of year</w:t>
            </w:r>
          </w:p>
        </w:tc>
        <w:tc>
          <w:tcPr>
            <w:tcW w:w="12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46</w:t>
            </w:r>
          </w:p>
        </w:tc>
        <w:tc>
          <w:tcPr>
            <w:tcW w:w="13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46</w:t>
            </w:r>
          </w:p>
        </w:tc>
        <w:tc>
          <w:tcPr>
            <w:tcW w:w="13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53</w:t>
            </w:r>
          </w:p>
        </w:tc>
      </w:tr>
      <w:tr>
        <w:trPr>
          <w:trHeight w:val="237"/>
        </w:trPr>
        <w:tc>
          <w:tcPr>
            <w:tcW w:w="4020" w:type="dxa"/>
            <w:vAlign w:val="bottom"/>
          </w:tcPr>
          <w:p>
            <w:pPr>
              <w:ind w:left="20"/>
              <w:spacing w:after="0"/>
              <w:rPr>
                <w:sz w:val="20"/>
                <w:szCs w:val="20"/>
                <w:color w:val="auto"/>
              </w:rPr>
            </w:pPr>
            <w:r>
              <w:rPr>
                <w:rFonts w:ascii="Arial" w:cs="Arial" w:eastAsia="Arial" w:hAnsi="Arial"/>
                <w:sz w:val="18"/>
                <w:szCs w:val="18"/>
                <w:color w:val="auto"/>
              </w:rPr>
              <w:t>New claims filed</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1300" w:type="dxa"/>
            <w:vAlign w:val="bottom"/>
            <w:gridSpan w:val="2"/>
          </w:tcPr>
          <w:p>
            <w:pPr>
              <w:jc w:val="right"/>
              <w:ind w:right="50"/>
              <w:spacing w:after="0"/>
              <w:rPr>
                <w:sz w:val="20"/>
                <w:szCs w:val="20"/>
                <w:color w:val="auto"/>
              </w:rPr>
            </w:pPr>
            <w:r>
              <w:rPr>
                <w:rFonts w:ascii="Arial" w:cs="Arial" w:eastAsia="Arial" w:hAnsi="Arial"/>
                <w:sz w:val="18"/>
                <w:szCs w:val="18"/>
                <w:color w:val="auto"/>
              </w:rPr>
              <w:t>2</w:t>
            </w: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2</w:t>
            </w:r>
          </w:p>
        </w:tc>
      </w:tr>
      <w:tr>
        <w:trPr>
          <w:trHeight w:val="249"/>
        </w:trPr>
        <w:tc>
          <w:tcPr>
            <w:tcW w:w="4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Claims settled</w:t>
            </w:r>
          </w:p>
        </w:tc>
        <w:tc>
          <w:tcPr>
            <w:tcW w:w="1560" w:type="dxa"/>
            <w:vAlign w:val="bottom"/>
            <w:gridSpan w:val="3"/>
            <w:shd w:val="clear" w:color="auto" w:fill="CFF0FC"/>
          </w:tcPr>
          <w:p>
            <w:pPr>
              <w:jc w:val="right"/>
              <w:ind w:right="5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(1 )</w:t>
            </w:r>
          </w:p>
        </w:tc>
      </w:tr>
      <w:tr>
        <w:trPr>
          <w:trHeight w:val="243"/>
        </w:trPr>
        <w:tc>
          <w:tcPr>
            <w:tcW w:w="4020" w:type="dxa"/>
            <w:vAlign w:val="bottom"/>
          </w:tcPr>
          <w:p>
            <w:pPr>
              <w:ind w:left="20"/>
              <w:spacing w:after="0"/>
              <w:rPr>
                <w:sz w:val="20"/>
                <w:szCs w:val="20"/>
                <w:color w:val="auto"/>
              </w:rPr>
            </w:pPr>
            <w:r>
              <w:rPr>
                <w:rFonts w:ascii="Arial" w:cs="Arial" w:eastAsia="Arial" w:hAnsi="Arial"/>
                <w:sz w:val="18"/>
                <w:szCs w:val="18"/>
                <w:color w:val="auto"/>
              </w:rPr>
              <w:t>Claims dismissed</w:t>
            </w:r>
          </w:p>
        </w:tc>
        <w:tc>
          <w:tcPr>
            <w:tcW w:w="1200" w:type="dxa"/>
            <w:vAlign w:val="bottom"/>
          </w:tcPr>
          <w:p>
            <w:pPr>
              <w:jc w:val="right"/>
              <w:spacing w:after="0"/>
              <w:rPr>
                <w:sz w:val="20"/>
                <w:szCs w:val="20"/>
                <w:color w:val="auto"/>
              </w:rPr>
            </w:pPr>
            <w:r>
              <w:rPr>
                <w:rFonts w:ascii="Arial" w:cs="Arial" w:eastAsia="Arial" w:hAnsi="Arial"/>
                <w:sz w:val="18"/>
                <w:szCs w:val="18"/>
                <w:color w:val="auto"/>
              </w:rPr>
              <w:t>(3 )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(1 )</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(3 )</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(5 )</w:t>
            </w:r>
          </w:p>
        </w:tc>
      </w:tr>
      <w:tr>
        <w:trPr>
          <w:trHeight w:val="277"/>
        </w:trPr>
        <w:tc>
          <w:tcPr>
            <w:tcW w:w="4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Open claims - end of period</w:t>
            </w:r>
          </w:p>
        </w:tc>
        <w:tc>
          <w:tcPr>
            <w:tcW w:w="120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spacing w:after="0"/>
              <w:rPr>
                <w:sz w:val="24"/>
                <w:szCs w:val="24"/>
                <w:color w:val="auto"/>
              </w:rPr>
            </w:pPr>
          </w:p>
        </w:tc>
        <w:tc>
          <w:tcPr>
            <w:tcW w:w="9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44</w:t>
            </w:r>
          </w:p>
        </w:tc>
        <w:tc>
          <w:tcPr>
            <w:tcW w:w="14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spacing w:after="0"/>
              <w:rPr>
                <w:sz w:val="24"/>
                <w:szCs w:val="24"/>
                <w:color w:val="auto"/>
              </w:rPr>
            </w:pPr>
          </w:p>
        </w:tc>
        <w:tc>
          <w:tcPr>
            <w:tcW w:w="92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49</w:t>
            </w:r>
          </w:p>
        </w:tc>
      </w:tr>
      <w:tr>
        <w:trPr>
          <w:trHeight w:val="129"/>
        </w:trPr>
        <w:tc>
          <w:tcPr>
            <w:tcW w:w="40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3321050</wp:posOffset>
            </wp:positionH>
            <wp:positionV relativeFrom="paragraph">
              <wp:posOffset>-128270</wp:posOffset>
            </wp:positionV>
            <wp:extent cx="2571750" cy="1289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571750" cy="128905"/>
                    </a:xfrm>
                    <a:prstGeom prst="rect">
                      <a:avLst/>
                    </a:prstGeom>
                    <a:noFill/>
                  </pic:spPr>
                </pic:pic>
              </a:graphicData>
            </a:graphic>
          </wp:anchor>
        </w:drawing>
      </w:r>
    </w:p>
    <w:p>
      <w:pPr>
        <w:spacing w:after="0" w:line="8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Ashland asbestos-related liability</w:t>
      </w:r>
    </w:p>
    <w:p>
      <w:pPr>
        <w:spacing w:after="0" w:line="108"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From the range of estimates, Ashland records the amount it believes to be the best estimate of future payments for litigation defense and claim settlement costs. Ashland reviews this estimate and related assumptions quarterly and annually updates the results of a non-inflated, non-discounted approximate 40-year model developed with the assistance of Gnarus.</w:t>
      </w:r>
    </w:p>
    <w:p>
      <w:pPr>
        <w:spacing w:after="0" w:line="6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During the most recent update completed in June 2023, it was determined that the liability for Ashland asbestos-related claims should be increased by $9 million. Total reserves for asbestos claims were $285 million at June 30, 2023 compared to $305 million at September 30, 2022.</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color w:val="auto"/>
        </w:rPr>
        <w:t>A progression of activity in the asbestos reserve is presented in the following table.</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244"/>
        </w:trPr>
        <w:tc>
          <w:tcPr>
            <w:tcW w:w="414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2220" w:type="dxa"/>
            <w:vAlign w:val="bottom"/>
            <w:tcBorders>
              <w:top w:val="single" w:sz="8" w:color="auto"/>
            </w:tcBorders>
            <w:gridSpan w:val="4"/>
          </w:tcPr>
          <w:p>
            <w:pPr>
              <w:jc w:val="right"/>
              <w:ind w:right="490"/>
              <w:spacing w:after="0"/>
              <w:rPr>
                <w:sz w:val="20"/>
                <w:szCs w:val="20"/>
                <w:color w:val="auto"/>
              </w:rPr>
            </w:pPr>
            <w:r>
              <w:rPr>
                <w:rFonts w:ascii="Arial" w:cs="Arial" w:eastAsia="Arial" w:hAnsi="Arial"/>
                <w:sz w:val="18"/>
                <w:szCs w:val="18"/>
                <w:color w:val="auto"/>
              </w:rPr>
              <w:t>Nine months ended</w:t>
            </w:r>
          </w:p>
        </w:tc>
        <w:tc>
          <w:tcPr>
            <w:tcW w:w="16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r>
      <w:tr>
        <w:trPr>
          <w:trHeight w:val="249"/>
        </w:trPr>
        <w:tc>
          <w:tcPr>
            <w:tcW w:w="41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June 30</w:t>
            </w:r>
          </w:p>
        </w:tc>
        <w:tc>
          <w:tcPr>
            <w:tcW w:w="9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8"/>
                <w:szCs w:val="18"/>
                <w:color w:val="auto"/>
              </w:rPr>
              <w:t>Years ended September 30</w:t>
            </w:r>
          </w:p>
        </w:tc>
        <w:tc>
          <w:tcPr>
            <w:tcW w:w="880" w:type="dxa"/>
            <w:vAlign w:val="bottom"/>
            <w:tcBorders>
              <w:bottom w:val="single" w:sz="8" w:color="auto"/>
            </w:tcBorders>
          </w:tcPr>
          <w:p>
            <w:pPr>
              <w:spacing w:after="0"/>
              <w:rPr>
                <w:sz w:val="21"/>
                <w:szCs w:val="21"/>
                <w:color w:val="auto"/>
              </w:rPr>
            </w:pPr>
          </w:p>
        </w:tc>
      </w:tr>
      <w:tr>
        <w:trPr>
          <w:trHeight w:val="237"/>
        </w:trPr>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2023</w:t>
            </w:r>
          </w:p>
        </w:tc>
        <w:tc>
          <w:tcPr>
            <w:tcW w:w="1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2022</w:t>
            </w: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2022</w:t>
            </w: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2020</w:t>
            </w:r>
          </w:p>
        </w:tc>
      </w:tr>
      <w:tr>
        <w:trPr>
          <w:trHeight w:val="243"/>
        </w:trPr>
        <w:tc>
          <w:tcPr>
            <w:tcW w:w="4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Asbestos reserve - beginning of year</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305</w:t>
            </w:r>
          </w:p>
        </w:tc>
        <w:tc>
          <w:tcPr>
            <w:tcW w:w="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320</w:t>
            </w:r>
          </w:p>
        </w:tc>
        <w:tc>
          <w:tcPr>
            <w:tcW w:w="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320</w:t>
            </w:r>
          </w:p>
        </w:tc>
        <w:tc>
          <w:tcPr>
            <w:tcW w:w="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335</w:t>
            </w:r>
          </w:p>
        </w:tc>
        <w:tc>
          <w:tcPr>
            <w:tcW w:w="4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352</w:t>
            </w:r>
          </w:p>
        </w:tc>
      </w:tr>
      <w:tr>
        <w:trPr>
          <w:trHeight w:val="237"/>
        </w:trPr>
        <w:tc>
          <w:tcPr>
            <w:tcW w:w="4140" w:type="dxa"/>
            <w:vAlign w:val="bottom"/>
          </w:tcPr>
          <w:p>
            <w:pPr>
              <w:ind w:left="20"/>
              <w:spacing w:after="0"/>
              <w:rPr>
                <w:sz w:val="20"/>
                <w:szCs w:val="20"/>
                <w:color w:val="auto"/>
              </w:rPr>
            </w:pPr>
            <w:r>
              <w:rPr>
                <w:rFonts w:ascii="Arial" w:cs="Arial" w:eastAsia="Arial" w:hAnsi="Arial"/>
                <w:sz w:val="18"/>
                <w:szCs w:val="18"/>
                <w:color w:val="auto"/>
              </w:rPr>
              <w:t>Reserve adjustment</w:t>
            </w:r>
          </w:p>
        </w:tc>
        <w:tc>
          <w:tcPr>
            <w:tcW w:w="200" w:type="dxa"/>
            <w:vAlign w:val="bottom"/>
          </w:tcPr>
          <w:p>
            <w:pPr>
              <w:spacing w:after="0"/>
              <w:rPr>
                <w:sz w:val="20"/>
                <w:szCs w:val="20"/>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13</w:t>
            </w:r>
          </w:p>
        </w:tc>
      </w:tr>
      <w:tr>
        <w:trPr>
          <w:trHeight w:val="249"/>
        </w:trPr>
        <w:tc>
          <w:tcPr>
            <w:tcW w:w="4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Amounts paid</w:t>
            </w:r>
          </w:p>
        </w:tc>
        <w:tc>
          <w:tcPr>
            <w:tcW w:w="20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(29 )</w:t>
            </w:r>
          </w:p>
        </w:tc>
        <w:tc>
          <w:tcPr>
            <w:tcW w:w="1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(26 )</w:t>
            </w:r>
          </w:p>
        </w:tc>
        <w:tc>
          <w:tcPr>
            <w:tcW w:w="1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(31 )</w:t>
            </w:r>
          </w:p>
        </w:tc>
        <w:tc>
          <w:tcPr>
            <w:tcW w:w="1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(27 )</w:t>
            </w:r>
          </w:p>
        </w:tc>
        <w:tc>
          <w:tcPr>
            <w:tcW w:w="1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(30 )</w:t>
            </w:r>
          </w:p>
        </w:tc>
      </w:tr>
      <w:tr>
        <w:trPr>
          <w:trHeight w:val="237"/>
        </w:trPr>
        <w:tc>
          <w:tcPr>
            <w:tcW w:w="4140" w:type="dxa"/>
            <w:vAlign w:val="bottom"/>
          </w:tcPr>
          <w:p>
            <w:pPr>
              <w:ind w:left="20"/>
              <w:spacing w:after="0"/>
              <w:rPr>
                <w:sz w:val="20"/>
                <w:szCs w:val="20"/>
                <w:color w:val="auto"/>
              </w:rPr>
            </w:pPr>
            <w:r>
              <w:rPr>
                <w:rFonts w:ascii="Arial" w:cs="Arial" w:eastAsia="Arial" w:hAnsi="Arial"/>
                <w:sz w:val="18"/>
                <w:szCs w:val="18"/>
                <w:color w:val="auto"/>
              </w:rPr>
              <w:t xml:space="preserve">Asbestos reserve - end of period </w:t>
            </w:r>
            <w:r>
              <w:rPr>
                <w:rFonts w:ascii="Arial" w:cs="Arial" w:eastAsia="Arial" w:hAnsi="Arial"/>
                <w:sz w:val="14"/>
                <w:szCs w:val="14"/>
                <w:color w:val="auto"/>
              </w:rPr>
              <w:t>(a)</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285</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310</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305</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320</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335</w:t>
            </w:r>
          </w:p>
        </w:tc>
      </w:tr>
      <w:tr>
        <w:trPr>
          <w:trHeight w:val="20"/>
        </w:trPr>
        <w:tc>
          <w:tcPr>
            <w:tcW w:w="4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129"/>
        </w:trPr>
        <w:tc>
          <w:tcPr>
            <w:tcW w:w="41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3355340</wp:posOffset>
            </wp:positionH>
            <wp:positionV relativeFrom="paragraph">
              <wp:posOffset>-290830</wp:posOffset>
            </wp:positionV>
            <wp:extent cx="102870" cy="2914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02870" cy="291465"/>
                    </a:xfrm>
                    <a:prstGeom prst="rect">
                      <a:avLst/>
                    </a:prstGeom>
                    <a:noFill/>
                  </pic:spPr>
                </pic:pic>
              </a:graphicData>
            </a:graphic>
          </wp:anchor>
        </w:drawing>
        <w:drawing>
          <wp:anchor simplePos="0" relativeHeight="251657728" behindDoc="1" locked="0" layoutInCell="0" allowOverlap="1">
            <wp:simplePos x="0" y="0"/>
            <wp:positionH relativeFrom="column">
              <wp:posOffset>4178300</wp:posOffset>
            </wp:positionH>
            <wp:positionV relativeFrom="paragraph">
              <wp:posOffset>-290830</wp:posOffset>
            </wp:positionV>
            <wp:extent cx="102870" cy="2914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02870" cy="291465"/>
                    </a:xfrm>
                    <a:prstGeom prst="rect">
                      <a:avLst/>
                    </a:prstGeom>
                    <a:noFill/>
                  </pic:spPr>
                </pic:pic>
              </a:graphicData>
            </a:graphic>
          </wp:anchor>
        </w:drawing>
        <w:drawing>
          <wp:anchor simplePos="0" relativeHeight="251657728" behindDoc="1" locked="0" layoutInCell="0" allowOverlap="1">
            <wp:simplePos x="0" y="0"/>
            <wp:positionH relativeFrom="column">
              <wp:posOffset>5001260</wp:posOffset>
            </wp:positionH>
            <wp:positionV relativeFrom="paragraph">
              <wp:posOffset>-290830</wp:posOffset>
            </wp:positionV>
            <wp:extent cx="102870" cy="2914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02870" cy="29146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-290830</wp:posOffset>
            </wp:positionV>
            <wp:extent cx="102870" cy="2914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02870" cy="291465"/>
                    </a:xfrm>
                    <a:prstGeom prst="rect">
                      <a:avLst/>
                    </a:prstGeom>
                    <a:noFill/>
                  </pic:spPr>
                </pic:pic>
              </a:graphicData>
            </a:graphic>
          </wp:anchor>
        </w:drawing>
      </w:r>
    </w:p>
    <w:p>
      <w:pPr>
        <w:spacing w:after="0" w:line="69" w:lineRule="exact"/>
        <w:rPr>
          <w:sz w:val="20"/>
          <w:szCs w:val="20"/>
          <w:color w:val="auto"/>
        </w:rPr>
      </w:pPr>
    </w:p>
    <w:p>
      <w:pPr>
        <w:ind w:left="360" w:hanging="358"/>
        <w:spacing w:after="0" w:line="253" w:lineRule="auto"/>
        <w:tabs>
          <w:tab w:leader="none" w:pos="3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Included $28 million and $29 million classified in accrued expenses and other liabilities on the Condensed Consolidated Balance Sheets as of June 30, 2023 and September 30, 2022 respectively.</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Ashland asbestos-related receivables</w:t>
      </w:r>
    </w:p>
    <w:p>
      <w:pPr>
        <w:spacing w:after="0" w:line="10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Ashland has insurance coverage for certain litigation defense and claim settlement costs incurred in connection with its asbestos claims, and coverage-in-place agreements exist with the insurance companies that provide substantially all of the coverage that will be accessed.</w:t>
      </w:r>
    </w:p>
    <w:p>
      <w:pPr>
        <w:spacing w:after="0" w:line="78"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For the Ashland asbestos-related obligations, Ashland has estimated the value of probable insurance recoveries associated with its asbestos reserve based on management’s interpretations and estimates surrounding the available or applicable insurance coverage, including an assumption that all solvent insurance carriers remain solvent. Substantially all of the estimated receivables from insurance companies are expected to be due from domestic insurers, all of which are solvent.</w:t>
      </w:r>
    </w:p>
    <w:p>
      <w:pPr>
        <w:spacing w:after="0" w:line="6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At June 30, 2023, Ashland’s receivable for recoveries of litigation defense and claim settlement costs from insurers amounted to $97 million (excluding the Hercules receivable for asbestos claims discussed below) compared to $101 million at September 30, 2022. In June 2023, the annual update of the model used for purposes of valuing the asbestos reserve and its impact on valuation of future recoveries from insurers was completed. This model update resulted in a $3 million increase in the receivable for probable insurance recoveries.</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447" w:right="719" w:bottom="1440" w:gutter="0" w:footer="0" w:header="0"/>
        </w:sectPr>
      </w:pPr>
    </w:p>
    <w:bookmarkStart w:id="17" w:name="page18"/>
    <w:bookmarkEnd w:id="17"/>
    <w:p>
      <w:pPr>
        <w:spacing w:after="0"/>
        <w:rPr>
          <w:sz w:val="20"/>
          <w:szCs w:val="20"/>
          <w:color w:val="auto"/>
        </w:rPr>
      </w:pPr>
      <w:r>
        <w:rPr>
          <w:rFonts w:ascii="Arial" w:cs="Arial" w:eastAsia="Arial" w:hAnsi="Arial"/>
          <w:sz w:val="20"/>
          <w:szCs w:val="20"/>
          <w:color w:val="auto"/>
        </w:rPr>
        <w:t>A progression of activity in the Ashland insurance receivable is presented in the following table.</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244"/>
        </w:trPr>
        <w:tc>
          <w:tcPr>
            <w:tcW w:w="414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2220" w:type="dxa"/>
            <w:vAlign w:val="bottom"/>
            <w:tcBorders>
              <w:top w:val="single" w:sz="8" w:color="auto"/>
            </w:tcBorders>
            <w:gridSpan w:val="4"/>
          </w:tcPr>
          <w:p>
            <w:pPr>
              <w:jc w:val="right"/>
              <w:ind w:right="490"/>
              <w:spacing w:after="0"/>
              <w:rPr>
                <w:sz w:val="20"/>
                <w:szCs w:val="20"/>
                <w:color w:val="auto"/>
              </w:rPr>
            </w:pPr>
            <w:r>
              <w:rPr>
                <w:rFonts w:ascii="Arial" w:cs="Arial" w:eastAsia="Arial" w:hAnsi="Arial"/>
                <w:sz w:val="18"/>
                <w:szCs w:val="18"/>
                <w:color w:val="auto"/>
              </w:rPr>
              <w:t>Nine months ended</w:t>
            </w:r>
          </w:p>
        </w:tc>
        <w:tc>
          <w:tcPr>
            <w:tcW w:w="16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r>
      <w:tr>
        <w:trPr>
          <w:trHeight w:val="249"/>
        </w:trPr>
        <w:tc>
          <w:tcPr>
            <w:tcW w:w="41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June 30</w:t>
            </w:r>
          </w:p>
        </w:tc>
        <w:tc>
          <w:tcPr>
            <w:tcW w:w="9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8"/>
                <w:szCs w:val="18"/>
                <w:color w:val="auto"/>
              </w:rPr>
              <w:t>Years ended September 30</w:t>
            </w:r>
          </w:p>
        </w:tc>
        <w:tc>
          <w:tcPr>
            <w:tcW w:w="880" w:type="dxa"/>
            <w:vAlign w:val="bottom"/>
            <w:tcBorders>
              <w:bottom w:val="single" w:sz="8" w:color="auto"/>
            </w:tcBorders>
          </w:tcPr>
          <w:p>
            <w:pPr>
              <w:spacing w:after="0"/>
              <w:rPr>
                <w:sz w:val="21"/>
                <w:szCs w:val="21"/>
                <w:color w:val="auto"/>
              </w:rPr>
            </w:pPr>
          </w:p>
        </w:tc>
      </w:tr>
      <w:tr>
        <w:trPr>
          <w:trHeight w:val="237"/>
        </w:trPr>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2023</w:t>
            </w:r>
          </w:p>
        </w:tc>
        <w:tc>
          <w:tcPr>
            <w:tcW w:w="1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2022</w:t>
            </w: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2022</w:t>
            </w: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2020</w:t>
            </w:r>
          </w:p>
        </w:tc>
      </w:tr>
      <w:tr>
        <w:trPr>
          <w:trHeight w:val="237"/>
        </w:trPr>
        <w:tc>
          <w:tcPr>
            <w:tcW w:w="4140" w:type="dxa"/>
            <w:vAlign w:val="bottom"/>
          </w:tcPr>
          <w:p>
            <w:pPr>
              <w:ind w:left="20"/>
              <w:spacing w:after="0"/>
              <w:rPr>
                <w:sz w:val="20"/>
                <w:szCs w:val="20"/>
                <w:color w:val="auto"/>
              </w:rPr>
            </w:pPr>
            <w:r>
              <w:rPr>
                <w:rFonts w:ascii="Arial" w:cs="Arial" w:eastAsia="Arial" w:hAnsi="Arial"/>
                <w:sz w:val="18"/>
                <w:szCs w:val="18"/>
                <w:color w:val="auto"/>
              </w:rPr>
              <w:t>Insurance receivable - beginning of year</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101</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100</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100</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103</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123</w:t>
            </w:r>
          </w:p>
        </w:tc>
      </w:tr>
      <w:tr>
        <w:trPr>
          <w:trHeight w:val="249"/>
        </w:trPr>
        <w:tc>
          <w:tcPr>
            <w:tcW w:w="4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 xml:space="preserve">Receivable adjustment </w:t>
            </w:r>
            <w:r>
              <w:rPr>
                <w:rFonts w:ascii="Arial" w:cs="Arial" w:eastAsia="Arial" w:hAnsi="Arial"/>
                <w:sz w:val="14"/>
                <w:szCs w:val="14"/>
                <w:color w:val="auto"/>
              </w:rPr>
              <w:t>(a)</w:t>
            </w: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w:t>
            </w:r>
          </w:p>
        </w:tc>
      </w:tr>
      <w:tr>
        <w:trPr>
          <w:trHeight w:val="237"/>
        </w:trPr>
        <w:tc>
          <w:tcPr>
            <w:tcW w:w="4140" w:type="dxa"/>
            <w:vAlign w:val="bottom"/>
          </w:tcPr>
          <w:p>
            <w:pPr>
              <w:ind w:left="20"/>
              <w:spacing w:after="0"/>
              <w:rPr>
                <w:sz w:val="20"/>
                <w:szCs w:val="20"/>
                <w:color w:val="auto"/>
              </w:rPr>
            </w:pPr>
            <w:r>
              <w:rPr>
                <w:rFonts w:ascii="Arial" w:cs="Arial" w:eastAsia="Arial" w:hAnsi="Arial"/>
                <w:sz w:val="18"/>
                <w:szCs w:val="18"/>
                <w:color w:val="auto"/>
              </w:rPr>
              <w:t>Insurance settlement</w:t>
            </w:r>
          </w:p>
        </w:tc>
        <w:tc>
          <w:tcPr>
            <w:tcW w:w="200" w:type="dxa"/>
            <w:vAlign w:val="bottom"/>
          </w:tcPr>
          <w:p>
            <w:pPr>
              <w:spacing w:after="0"/>
              <w:rPr>
                <w:sz w:val="20"/>
                <w:szCs w:val="20"/>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(10 )</w:t>
            </w:r>
          </w:p>
        </w:tc>
      </w:tr>
      <w:tr>
        <w:trPr>
          <w:trHeight w:val="249"/>
        </w:trPr>
        <w:tc>
          <w:tcPr>
            <w:tcW w:w="4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Amounts collected</w:t>
            </w:r>
          </w:p>
        </w:tc>
        <w:tc>
          <w:tcPr>
            <w:tcW w:w="20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(7 )</w:t>
            </w:r>
          </w:p>
        </w:tc>
        <w:tc>
          <w:tcPr>
            <w:tcW w:w="1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(5 )</w:t>
            </w:r>
          </w:p>
        </w:tc>
        <w:tc>
          <w:tcPr>
            <w:tcW w:w="1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(6 )</w:t>
            </w:r>
          </w:p>
        </w:tc>
        <w:tc>
          <w:tcPr>
            <w:tcW w:w="1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(9 )</w:t>
            </w:r>
          </w:p>
        </w:tc>
        <w:tc>
          <w:tcPr>
            <w:tcW w:w="1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(11 )</w:t>
            </w:r>
          </w:p>
        </w:tc>
      </w:tr>
      <w:tr>
        <w:trPr>
          <w:trHeight w:val="237"/>
        </w:trPr>
        <w:tc>
          <w:tcPr>
            <w:tcW w:w="4140" w:type="dxa"/>
            <w:vAlign w:val="bottom"/>
          </w:tcPr>
          <w:p>
            <w:pPr>
              <w:ind w:left="20"/>
              <w:spacing w:after="0"/>
              <w:rPr>
                <w:sz w:val="20"/>
                <w:szCs w:val="20"/>
                <w:color w:val="auto"/>
              </w:rPr>
            </w:pPr>
            <w:r>
              <w:rPr>
                <w:rFonts w:ascii="Arial" w:cs="Arial" w:eastAsia="Arial" w:hAnsi="Arial"/>
                <w:sz w:val="18"/>
                <w:szCs w:val="18"/>
                <w:color w:val="auto"/>
              </w:rPr>
              <w:t xml:space="preserve">Insurance receivable - end of period </w:t>
            </w:r>
            <w:r>
              <w:rPr>
                <w:rFonts w:ascii="Arial" w:cs="Arial" w:eastAsia="Arial" w:hAnsi="Arial"/>
                <w:sz w:val="14"/>
                <w:szCs w:val="14"/>
                <w:color w:val="auto"/>
              </w:rPr>
              <w:t>(b)</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97</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102</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101</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100</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103</w:t>
            </w:r>
          </w:p>
        </w:tc>
      </w:tr>
      <w:tr>
        <w:trPr>
          <w:trHeight w:val="20"/>
        </w:trPr>
        <w:tc>
          <w:tcPr>
            <w:tcW w:w="4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129"/>
        </w:trPr>
        <w:tc>
          <w:tcPr>
            <w:tcW w:w="41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3355340</wp:posOffset>
            </wp:positionH>
            <wp:positionV relativeFrom="paragraph">
              <wp:posOffset>-290830</wp:posOffset>
            </wp:positionV>
            <wp:extent cx="102870" cy="2914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02870" cy="291465"/>
                    </a:xfrm>
                    <a:prstGeom prst="rect">
                      <a:avLst/>
                    </a:prstGeom>
                    <a:noFill/>
                  </pic:spPr>
                </pic:pic>
              </a:graphicData>
            </a:graphic>
          </wp:anchor>
        </w:drawing>
        <w:drawing>
          <wp:anchor simplePos="0" relativeHeight="251657728" behindDoc="1" locked="0" layoutInCell="0" allowOverlap="1">
            <wp:simplePos x="0" y="0"/>
            <wp:positionH relativeFrom="column">
              <wp:posOffset>4178300</wp:posOffset>
            </wp:positionH>
            <wp:positionV relativeFrom="paragraph">
              <wp:posOffset>-290830</wp:posOffset>
            </wp:positionV>
            <wp:extent cx="102870" cy="2914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02870" cy="291465"/>
                    </a:xfrm>
                    <a:prstGeom prst="rect">
                      <a:avLst/>
                    </a:prstGeom>
                    <a:noFill/>
                  </pic:spPr>
                </pic:pic>
              </a:graphicData>
            </a:graphic>
          </wp:anchor>
        </w:drawing>
        <w:drawing>
          <wp:anchor simplePos="0" relativeHeight="251657728" behindDoc="1" locked="0" layoutInCell="0" allowOverlap="1">
            <wp:simplePos x="0" y="0"/>
            <wp:positionH relativeFrom="column">
              <wp:posOffset>5001260</wp:posOffset>
            </wp:positionH>
            <wp:positionV relativeFrom="paragraph">
              <wp:posOffset>-290830</wp:posOffset>
            </wp:positionV>
            <wp:extent cx="102870" cy="2914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02870" cy="29146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-290830</wp:posOffset>
            </wp:positionV>
            <wp:extent cx="102870" cy="2914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02870" cy="291465"/>
                    </a:xfrm>
                    <a:prstGeom prst="rect">
                      <a:avLst/>
                    </a:prstGeom>
                    <a:noFill/>
                  </pic:spPr>
                </pic:pic>
              </a:graphicData>
            </a:graphic>
          </wp:anchor>
        </w:drawing>
      </w:r>
    </w:p>
    <w:p>
      <w:pPr>
        <w:spacing w:after="0" w:line="69" w:lineRule="exact"/>
        <w:rPr>
          <w:sz w:val="20"/>
          <w:szCs w:val="20"/>
          <w:color w:val="auto"/>
        </w:rPr>
      </w:pPr>
    </w:p>
    <w:p>
      <w:pPr>
        <w:ind w:left="360" w:hanging="358"/>
        <w:spacing w:after="0" w:line="251" w:lineRule="auto"/>
        <w:tabs>
          <w:tab w:leader="none" w:pos="3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2021 includes a $2 million reserve adjustment related to allowances for credit losses as a result of Ashland's adoption of the new credit measurement standard. The total allowance for credit losses were $1 million and $2 million as of June 30, 2023 and September 30, 2022, respectively.</w:t>
      </w:r>
    </w:p>
    <w:p>
      <w:pPr>
        <w:ind w:left="360" w:hanging="358"/>
        <w:spacing w:after="0" w:line="253" w:lineRule="auto"/>
        <w:tabs>
          <w:tab w:leader="none" w:pos="3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$11 million and $12 million classified in accounts receivable on the Condensed Consolidated Balance Sheets as of June 30, 2023 and September 30, 2022 respectively.</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Hercules asbestos-related litigation</w:t>
      </w:r>
    </w:p>
    <w:p>
      <w:pPr>
        <w:spacing w:after="0" w:line="10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Hercules has liabilities from claims alleging personal injury caused by exposure to asbestos. Such claims typically arise from alleged exposure to asbestos fibers from resin encapsulated pipe and tank products which were sold by one of Hercules’ former subsidiaries to a limited industrial market. The amount and timing of settlements and number of open claims can fluctuate from period to period. A summary of Hercules’ asbestos claims activity follows.</w:t>
      </w:r>
    </w:p>
    <w:p>
      <w:pPr>
        <w:spacing w:after="0" w:line="120" w:lineRule="exact"/>
        <w:rPr>
          <w:sz w:val="20"/>
          <w:szCs w:val="20"/>
          <w:color w:val="auto"/>
        </w:rPr>
      </w:pPr>
    </w:p>
    <w:tbl>
      <w:tblPr>
        <w:tblLayout w:type="fixed"/>
        <w:tblInd w:w="20" w:type="dxa"/>
        <w:tblCellMar>
          <w:top w:w="0" w:type="dxa"/>
          <w:left w:w="0" w:type="dxa"/>
          <w:bottom w:w="0" w:type="dxa"/>
          <w:right w:w="0" w:type="dxa"/>
        </w:tblCellMar>
      </w:tblPr>
      <w:tr>
        <w:trPr>
          <w:trHeight w:val="244"/>
        </w:trPr>
        <w:tc>
          <w:tcPr>
            <w:tcW w:w="4080" w:type="dxa"/>
            <w:vAlign w:val="bottom"/>
            <w:tcBorders>
              <w:top w:val="single" w:sz="8" w:color="auto"/>
            </w:tcBorders>
          </w:tcPr>
          <w:p>
            <w:pPr>
              <w:spacing w:after="0"/>
              <w:rPr>
                <w:sz w:val="21"/>
                <w:szCs w:val="21"/>
                <w:color w:val="auto"/>
              </w:rPr>
            </w:pPr>
          </w:p>
        </w:tc>
        <w:tc>
          <w:tcPr>
            <w:tcW w:w="2440" w:type="dxa"/>
            <w:vAlign w:val="bottom"/>
            <w:tcBorders>
              <w:top w:val="single" w:sz="8" w:color="auto"/>
            </w:tcBorders>
            <w:gridSpan w:val="4"/>
          </w:tcPr>
          <w:p>
            <w:pPr>
              <w:jc w:val="center"/>
              <w:ind w:right="30"/>
              <w:spacing w:after="0"/>
              <w:rPr>
                <w:sz w:val="20"/>
                <w:szCs w:val="20"/>
                <w:color w:val="auto"/>
              </w:rPr>
            </w:pPr>
            <w:r>
              <w:rPr>
                <w:rFonts w:ascii="Arial" w:cs="Arial" w:eastAsia="Arial" w:hAnsi="Arial"/>
                <w:sz w:val="18"/>
                <w:szCs w:val="18"/>
                <w:color w:val="auto"/>
                <w:w w:val="89"/>
              </w:rPr>
              <w:t>Nine months ended</w:t>
            </w:r>
          </w:p>
        </w:tc>
        <w:tc>
          <w:tcPr>
            <w:tcW w:w="18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r>
      <w:tr>
        <w:trPr>
          <w:trHeight w:val="249"/>
        </w:trPr>
        <w:tc>
          <w:tcPr>
            <w:tcW w:w="4080" w:type="dxa"/>
            <w:vAlign w:val="bottom"/>
          </w:tcPr>
          <w:p>
            <w:pPr>
              <w:spacing w:after="0"/>
              <w:rPr>
                <w:sz w:val="21"/>
                <w:szCs w:val="21"/>
                <w:color w:val="auto"/>
              </w:rPr>
            </w:pPr>
          </w:p>
        </w:tc>
        <w:tc>
          <w:tcPr>
            <w:tcW w:w="1540" w:type="dxa"/>
            <w:vAlign w:val="bottom"/>
            <w:tcBorders>
              <w:bottom w:val="single" w:sz="8" w:color="auto"/>
            </w:tcBorders>
            <w:gridSpan w:val="3"/>
          </w:tcPr>
          <w:p>
            <w:pPr>
              <w:jc w:val="center"/>
              <w:ind w:left="690"/>
              <w:spacing w:after="0"/>
              <w:rPr>
                <w:sz w:val="20"/>
                <w:szCs w:val="20"/>
                <w:color w:val="auto"/>
              </w:rPr>
            </w:pPr>
            <w:r>
              <w:rPr>
                <w:rFonts w:ascii="Arial" w:cs="Arial" w:eastAsia="Arial" w:hAnsi="Arial"/>
                <w:sz w:val="18"/>
                <w:szCs w:val="18"/>
                <w:color w:val="auto"/>
                <w:w w:val="87"/>
              </w:rPr>
              <w:t>June 30</w:t>
            </w:r>
          </w:p>
        </w:tc>
        <w:tc>
          <w:tcPr>
            <w:tcW w:w="90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2860" w:type="dxa"/>
            <w:vAlign w:val="bottom"/>
            <w:tcBorders>
              <w:bottom w:val="single" w:sz="8" w:color="auto"/>
            </w:tcBorders>
            <w:gridSpan w:val="5"/>
          </w:tcPr>
          <w:p>
            <w:pPr>
              <w:ind w:left="860"/>
              <w:spacing w:after="0"/>
              <w:rPr>
                <w:sz w:val="20"/>
                <w:szCs w:val="20"/>
                <w:color w:val="auto"/>
              </w:rPr>
            </w:pPr>
            <w:r>
              <w:rPr>
                <w:rFonts w:ascii="Arial" w:cs="Arial" w:eastAsia="Arial" w:hAnsi="Arial"/>
                <w:sz w:val="18"/>
                <w:szCs w:val="18"/>
                <w:color w:val="auto"/>
                <w:w w:val="89"/>
              </w:rPr>
              <w:t>Years ended September 30</w:t>
            </w:r>
          </w:p>
        </w:tc>
        <w:tc>
          <w:tcPr>
            <w:tcW w:w="880" w:type="dxa"/>
            <w:vAlign w:val="bottom"/>
            <w:tcBorders>
              <w:bottom w:val="single" w:sz="8" w:color="auto"/>
            </w:tcBorders>
          </w:tcPr>
          <w:p>
            <w:pPr>
              <w:spacing w:after="0"/>
              <w:rPr>
                <w:sz w:val="21"/>
                <w:szCs w:val="21"/>
                <w:color w:val="auto"/>
              </w:rPr>
            </w:pPr>
          </w:p>
        </w:tc>
      </w:tr>
      <w:tr>
        <w:trPr>
          <w:trHeight w:val="237"/>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thousands)</w:t>
            </w: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2023</w:t>
            </w:r>
          </w:p>
        </w:tc>
        <w:tc>
          <w:tcPr>
            <w:tcW w:w="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2022</w:t>
            </w: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2022</w:t>
            </w:r>
          </w:p>
        </w:tc>
        <w:tc>
          <w:tcPr>
            <w:tcW w:w="132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8"/>
                <w:szCs w:val="18"/>
                <w:color w:val="auto"/>
              </w:rPr>
              <w:t>2021</w:t>
            </w:r>
          </w:p>
        </w:tc>
        <w:tc>
          <w:tcPr>
            <w:tcW w:w="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2020</w:t>
            </w:r>
          </w:p>
        </w:tc>
      </w:tr>
      <w:tr>
        <w:trPr>
          <w:trHeight w:val="243"/>
        </w:trPr>
        <w:tc>
          <w:tcPr>
            <w:tcW w:w="4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Open claims - beginning of year</w:t>
            </w:r>
          </w:p>
        </w:tc>
        <w:tc>
          <w:tcPr>
            <w:tcW w:w="11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12</w:t>
            </w:r>
          </w:p>
        </w:tc>
        <w:tc>
          <w:tcPr>
            <w:tcW w:w="13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12</w:t>
            </w:r>
          </w:p>
        </w:tc>
        <w:tc>
          <w:tcPr>
            <w:tcW w:w="13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13</w:t>
            </w:r>
          </w:p>
        </w:tc>
      </w:tr>
      <w:tr>
        <w:trPr>
          <w:trHeight w:val="237"/>
        </w:trPr>
        <w:tc>
          <w:tcPr>
            <w:tcW w:w="4080" w:type="dxa"/>
            <w:vAlign w:val="bottom"/>
          </w:tcPr>
          <w:p>
            <w:pPr>
              <w:ind w:left="20"/>
              <w:spacing w:after="0"/>
              <w:rPr>
                <w:sz w:val="20"/>
                <w:szCs w:val="20"/>
                <w:color w:val="auto"/>
              </w:rPr>
            </w:pPr>
            <w:r>
              <w:rPr>
                <w:rFonts w:ascii="Arial" w:cs="Arial" w:eastAsia="Arial" w:hAnsi="Arial"/>
                <w:sz w:val="18"/>
                <w:szCs w:val="18"/>
                <w:color w:val="auto"/>
              </w:rPr>
              <w:t>New claims filed</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1300" w:type="dxa"/>
            <w:vAlign w:val="bottom"/>
            <w:gridSpan w:val="2"/>
          </w:tcPr>
          <w:p>
            <w:pPr>
              <w:jc w:val="right"/>
              <w:ind w:right="30"/>
              <w:spacing w:after="0"/>
              <w:rPr>
                <w:sz w:val="20"/>
                <w:szCs w:val="20"/>
                <w:color w:val="auto"/>
              </w:rPr>
            </w:pPr>
            <w:r>
              <w:rPr>
                <w:rFonts w:ascii="Arial" w:cs="Arial" w:eastAsia="Arial" w:hAnsi="Arial"/>
                <w:sz w:val="18"/>
                <w:szCs w:val="18"/>
                <w:color w:val="auto"/>
              </w:rPr>
              <w:t>1</w:t>
            </w: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w:t>
            </w:r>
          </w:p>
        </w:tc>
      </w:tr>
      <w:tr>
        <w:trPr>
          <w:trHeight w:val="249"/>
        </w:trPr>
        <w:tc>
          <w:tcPr>
            <w:tcW w:w="4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Claims dismissed</w:t>
            </w:r>
          </w:p>
        </w:tc>
        <w:tc>
          <w:tcPr>
            <w:tcW w:w="11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18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(2 )</w:t>
            </w:r>
          </w:p>
        </w:tc>
        <w:tc>
          <w:tcPr>
            <w:tcW w:w="18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1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(2 )</w:t>
            </w:r>
          </w:p>
        </w:tc>
      </w:tr>
      <w:tr>
        <w:trPr>
          <w:trHeight w:val="237"/>
        </w:trPr>
        <w:tc>
          <w:tcPr>
            <w:tcW w:w="4080" w:type="dxa"/>
            <w:vAlign w:val="bottom"/>
          </w:tcPr>
          <w:p>
            <w:pPr>
              <w:ind w:left="20"/>
              <w:spacing w:after="0"/>
              <w:rPr>
                <w:sz w:val="20"/>
                <w:szCs w:val="20"/>
                <w:color w:val="auto"/>
              </w:rPr>
            </w:pPr>
            <w:r>
              <w:rPr>
                <w:rFonts w:ascii="Arial" w:cs="Arial" w:eastAsia="Arial" w:hAnsi="Arial"/>
                <w:sz w:val="18"/>
                <w:szCs w:val="18"/>
                <w:color w:val="auto"/>
              </w:rPr>
              <w:t>Open claims - end of period</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12</w:t>
            </w:r>
          </w:p>
        </w:tc>
        <w:tc>
          <w:tcPr>
            <w:tcW w:w="1300" w:type="dxa"/>
            <w:vAlign w:val="bottom"/>
            <w:gridSpan w:val="2"/>
          </w:tcPr>
          <w:p>
            <w:pPr>
              <w:jc w:val="right"/>
              <w:ind w:right="30"/>
              <w:spacing w:after="0"/>
              <w:rPr>
                <w:sz w:val="20"/>
                <w:szCs w:val="20"/>
                <w:color w:val="auto"/>
              </w:rPr>
            </w:pPr>
            <w:r>
              <w:rPr>
                <w:rFonts w:ascii="Arial" w:cs="Arial" w:eastAsia="Arial" w:hAnsi="Arial"/>
                <w:sz w:val="18"/>
                <w:szCs w:val="18"/>
                <w:color w:val="auto"/>
              </w:rPr>
              <w:t>11</w:t>
            </w: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12</w:t>
            </w:r>
          </w:p>
        </w:tc>
      </w:tr>
      <w:tr>
        <w:trPr>
          <w:trHeight w:val="20"/>
        </w:trPr>
        <w:tc>
          <w:tcPr>
            <w:tcW w:w="40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129"/>
        </w:trPr>
        <w:tc>
          <w:tcPr>
            <w:tcW w:w="40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3329940</wp:posOffset>
            </wp:positionH>
            <wp:positionV relativeFrom="paragraph">
              <wp:posOffset>-290830</wp:posOffset>
            </wp:positionV>
            <wp:extent cx="111125" cy="2914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11125" cy="291465"/>
                    </a:xfrm>
                    <a:prstGeom prst="rect">
                      <a:avLst/>
                    </a:prstGeom>
                    <a:noFill/>
                  </pic:spPr>
                </pic:pic>
              </a:graphicData>
            </a:graphic>
          </wp:anchor>
        </w:drawing>
        <w:drawing>
          <wp:anchor simplePos="0" relativeHeight="251657728" behindDoc="1" locked="0" layoutInCell="0" allowOverlap="1">
            <wp:simplePos x="0" y="0"/>
            <wp:positionH relativeFrom="column">
              <wp:posOffset>4152900</wp:posOffset>
            </wp:positionH>
            <wp:positionV relativeFrom="paragraph">
              <wp:posOffset>-290830</wp:posOffset>
            </wp:positionV>
            <wp:extent cx="111760" cy="2914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11760" cy="291465"/>
                    </a:xfrm>
                    <a:prstGeom prst="rect">
                      <a:avLst/>
                    </a:prstGeom>
                    <a:noFill/>
                  </pic:spPr>
                </pic:pic>
              </a:graphicData>
            </a:graphic>
          </wp:anchor>
        </w:drawing>
        <w:drawing>
          <wp:anchor simplePos="0" relativeHeight="251657728" behindDoc="1" locked="0" layoutInCell="0" allowOverlap="1">
            <wp:simplePos x="0" y="0"/>
            <wp:positionH relativeFrom="column">
              <wp:posOffset>4984115</wp:posOffset>
            </wp:positionH>
            <wp:positionV relativeFrom="paragraph">
              <wp:posOffset>-290830</wp:posOffset>
            </wp:positionV>
            <wp:extent cx="111125" cy="2914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11125" cy="291465"/>
                    </a:xfrm>
                    <a:prstGeom prst="rect">
                      <a:avLst/>
                    </a:prstGeom>
                    <a:noFill/>
                  </pic:spPr>
                </pic:pic>
              </a:graphicData>
            </a:graphic>
          </wp:anchor>
        </w:drawing>
        <w:drawing>
          <wp:anchor simplePos="0" relativeHeight="251657728" behindDoc="1" locked="0" layoutInCell="0" allowOverlap="1">
            <wp:simplePos x="0" y="0"/>
            <wp:positionH relativeFrom="column">
              <wp:posOffset>5815965</wp:posOffset>
            </wp:positionH>
            <wp:positionV relativeFrom="paragraph">
              <wp:posOffset>-290830</wp:posOffset>
            </wp:positionV>
            <wp:extent cx="111125" cy="2914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11125" cy="291465"/>
                    </a:xfrm>
                    <a:prstGeom prst="rect">
                      <a:avLst/>
                    </a:prstGeom>
                    <a:noFill/>
                  </pic:spPr>
                </pic:pic>
              </a:graphicData>
            </a:graphic>
          </wp:anchor>
        </w:drawing>
      </w:r>
    </w:p>
    <w:p>
      <w:pPr>
        <w:spacing w:after="0" w:line="8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Hercules asbestos-related liability</w:t>
      </w:r>
    </w:p>
    <w:p>
      <w:pPr>
        <w:spacing w:after="0" w:line="108"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auto"/>
        </w:rPr>
        <w:t>From the range of estimates, Ashland records the amount it believes to be the best estimate of future payments for litigation defense and claim settlement costs. Ashland reviews this estimate, and related assumptions quarterly and annually updates the results of a non-inflated, non-discounted approximate 40-year model developed with the assistance of Gnarus. During the most recent update completed in June 2023, it was determined that the liability for Hercules asbestos-related claims should be decreased by $2 million. Total reserves for asbestos claims were $197 million at June 30, 2023 compared to $213 million at September 30, 2022.</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A progression of activity in the asbestos reserve is presented in the following table.</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244"/>
        </w:trPr>
        <w:tc>
          <w:tcPr>
            <w:tcW w:w="410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2220" w:type="dxa"/>
            <w:vAlign w:val="bottom"/>
            <w:tcBorders>
              <w:top w:val="single" w:sz="8" w:color="auto"/>
            </w:tcBorders>
            <w:gridSpan w:val="4"/>
          </w:tcPr>
          <w:p>
            <w:pPr>
              <w:jc w:val="right"/>
              <w:ind w:right="490"/>
              <w:spacing w:after="0"/>
              <w:rPr>
                <w:sz w:val="20"/>
                <w:szCs w:val="20"/>
                <w:color w:val="auto"/>
              </w:rPr>
            </w:pPr>
            <w:r>
              <w:rPr>
                <w:rFonts w:ascii="Arial" w:cs="Arial" w:eastAsia="Arial" w:hAnsi="Arial"/>
                <w:sz w:val="18"/>
                <w:szCs w:val="18"/>
                <w:color w:val="auto"/>
              </w:rPr>
              <w:t>Nine months ended</w:t>
            </w:r>
          </w:p>
        </w:tc>
        <w:tc>
          <w:tcPr>
            <w:tcW w:w="16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r>
      <w:tr>
        <w:trPr>
          <w:trHeight w:val="249"/>
        </w:trPr>
        <w:tc>
          <w:tcPr>
            <w:tcW w:w="4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June 30</w:t>
            </w:r>
          </w:p>
        </w:tc>
        <w:tc>
          <w:tcPr>
            <w:tcW w:w="9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64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8"/>
                <w:szCs w:val="18"/>
                <w:color w:val="auto"/>
              </w:rPr>
              <w:t>Years ended September 30</w:t>
            </w:r>
          </w:p>
        </w:tc>
        <w:tc>
          <w:tcPr>
            <w:tcW w:w="880" w:type="dxa"/>
            <w:vAlign w:val="bottom"/>
            <w:tcBorders>
              <w:bottom w:val="single" w:sz="8" w:color="auto"/>
            </w:tcBorders>
          </w:tcPr>
          <w:p>
            <w:pPr>
              <w:spacing w:after="0"/>
              <w:rPr>
                <w:sz w:val="21"/>
                <w:szCs w:val="21"/>
                <w:color w:val="auto"/>
              </w:rPr>
            </w:pPr>
          </w:p>
        </w:tc>
      </w:tr>
      <w:tr>
        <w:trPr>
          <w:trHeight w:val="237"/>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2023</w:t>
            </w:r>
          </w:p>
        </w:tc>
        <w:tc>
          <w:tcPr>
            <w:tcW w:w="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2022</w:t>
            </w: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2022</w:t>
            </w: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2021</w:t>
            </w:r>
          </w:p>
        </w:tc>
        <w:tc>
          <w:tcPr>
            <w:tcW w:w="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2020</w:t>
            </w:r>
          </w:p>
        </w:tc>
      </w:tr>
      <w:tr>
        <w:trPr>
          <w:trHeight w:val="243"/>
        </w:trPr>
        <w:tc>
          <w:tcPr>
            <w:tcW w:w="4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Asbestos reserve - beginning of year</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213</w:t>
            </w:r>
          </w:p>
        </w:tc>
        <w:tc>
          <w:tcPr>
            <w:tcW w:w="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217</w:t>
            </w:r>
          </w:p>
        </w:tc>
        <w:tc>
          <w:tcPr>
            <w:tcW w:w="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217</w:t>
            </w:r>
          </w:p>
        </w:tc>
        <w:tc>
          <w:tcPr>
            <w:tcW w:w="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229</w:t>
            </w: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252</w:t>
            </w:r>
          </w:p>
        </w:tc>
      </w:tr>
      <w:tr>
        <w:trPr>
          <w:trHeight w:val="237"/>
        </w:trPr>
        <w:tc>
          <w:tcPr>
            <w:tcW w:w="4100" w:type="dxa"/>
            <w:vAlign w:val="bottom"/>
          </w:tcPr>
          <w:p>
            <w:pPr>
              <w:ind w:left="20"/>
              <w:spacing w:after="0"/>
              <w:rPr>
                <w:sz w:val="20"/>
                <w:szCs w:val="20"/>
                <w:color w:val="auto"/>
              </w:rPr>
            </w:pPr>
            <w:r>
              <w:rPr>
                <w:rFonts w:ascii="Arial" w:cs="Arial" w:eastAsia="Arial" w:hAnsi="Arial"/>
                <w:sz w:val="18"/>
                <w:szCs w:val="18"/>
                <w:color w:val="auto"/>
              </w:rPr>
              <w:t>Reserve adjustments</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(2 )</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(3 )</w:t>
            </w:r>
          </w:p>
        </w:tc>
      </w:tr>
      <w:tr>
        <w:trPr>
          <w:trHeight w:val="249"/>
        </w:trPr>
        <w:tc>
          <w:tcPr>
            <w:tcW w:w="4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Amounts paid</w:t>
            </w: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(14 )</w:t>
            </w:r>
          </w:p>
        </w:tc>
        <w:tc>
          <w:tcPr>
            <w:tcW w:w="1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(12 )</w:t>
            </w:r>
          </w:p>
        </w:tc>
        <w:tc>
          <w:tcPr>
            <w:tcW w:w="1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(19 )</w:t>
            </w:r>
          </w:p>
        </w:tc>
        <w:tc>
          <w:tcPr>
            <w:tcW w:w="1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(20 )</w:t>
            </w:r>
          </w:p>
        </w:tc>
        <w:tc>
          <w:tcPr>
            <w:tcW w:w="1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(20 )</w:t>
            </w:r>
          </w:p>
        </w:tc>
      </w:tr>
      <w:tr>
        <w:trPr>
          <w:trHeight w:val="237"/>
        </w:trPr>
        <w:tc>
          <w:tcPr>
            <w:tcW w:w="4100" w:type="dxa"/>
            <w:vAlign w:val="bottom"/>
          </w:tcPr>
          <w:p>
            <w:pPr>
              <w:ind w:left="20"/>
              <w:spacing w:after="0"/>
              <w:rPr>
                <w:sz w:val="20"/>
                <w:szCs w:val="20"/>
                <w:color w:val="auto"/>
              </w:rPr>
            </w:pPr>
            <w:r>
              <w:rPr>
                <w:rFonts w:ascii="Arial" w:cs="Arial" w:eastAsia="Arial" w:hAnsi="Arial"/>
                <w:sz w:val="18"/>
                <w:szCs w:val="18"/>
                <w:color w:val="auto"/>
              </w:rPr>
              <w:t xml:space="preserve">Asbestos reserve - end of period </w:t>
            </w:r>
            <w:r>
              <w:rPr>
                <w:rFonts w:ascii="Arial" w:cs="Arial" w:eastAsia="Arial" w:hAnsi="Arial"/>
                <w:sz w:val="14"/>
                <w:szCs w:val="14"/>
                <w:color w:val="auto"/>
              </w:rPr>
              <w:t>(a)</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197</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220</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213</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217</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229</w:t>
            </w:r>
          </w:p>
        </w:tc>
      </w:tr>
      <w:tr>
        <w:trPr>
          <w:trHeight w:val="20"/>
        </w:trPr>
        <w:tc>
          <w:tcPr>
            <w:tcW w:w="4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129"/>
        </w:trPr>
        <w:tc>
          <w:tcPr>
            <w:tcW w:w="41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3338830</wp:posOffset>
            </wp:positionH>
            <wp:positionV relativeFrom="paragraph">
              <wp:posOffset>-290830</wp:posOffset>
            </wp:positionV>
            <wp:extent cx="111125" cy="2914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11125" cy="291465"/>
                    </a:xfrm>
                    <a:prstGeom prst="rect">
                      <a:avLst/>
                    </a:prstGeom>
                    <a:noFill/>
                  </pic:spPr>
                </pic:pic>
              </a:graphicData>
            </a:graphic>
          </wp:anchor>
        </w:drawing>
        <w:drawing>
          <wp:anchor simplePos="0" relativeHeight="251657728" behindDoc="1" locked="0" layoutInCell="0" allowOverlap="1">
            <wp:simplePos x="0" y="0"/>
            <wp:positionH relativeFrom="column">
              <wp:posOffset>4170045</wp:posOffset>
            </wp:positionH>
            <wp:positionV relativeFrom="paragraph">
              <wp:posOffset>-290830</wp:posOffset>
            </wp:positionV>
            <wp:extent cx="102870" cy="2914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02870" cy="291465"/>
                    </a:xfrm>
                    <a:prstGeom prst="rect">
                      <a:avLst/>
                    </a:prstGeom>
                    <a:noFill/>
                  </pic:spPr>
                </pic:pic>
              </a:graphicData>
            </a:graphic>
          </wp:anchor>
        </w:drawing>
        <w:drawing>
          <wp:anchor simplePos="0" relativeHeight="251657728" behindDoc="1" locked="0" layoutInCell="0" allowOverlap="1">
            <wp:simplePos x="0" y="0"/>
            <wp:positionH relativeFrom="column">
              <wp:posOffset>4993005</wp:posOffset>
            </wp:positionH>
            <wp:positionV relativeFrom="paragraph">
              <wp:posOffset>-290830</wp:posOffset>
            </wp:positionV>
            <wp:extent cx="102870" cy="2914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02870" cy="291465"/>
                    </a:xfrm>
                    <a:prstGeom prst="rect">
                      <a:avLst/>
                    </a:prstGeom>
                    <a:noFill/>
                  </pic:spPr>
                </pic:pic>
              </a:graphicData>
            </a:graphic>
          </wp:anchor>
        </w:drawing>
        <w:drawing>
          <wp:anchor simplePos="0" relativeHeight="251657728" behindDoc="1" locked="0" layoutInCell="0" allowOverlap="1">
            <wp:simplePos x="0" y="0"/>
            <wp:positionH relativeFrom="column">
              <wp:posOffset>5815965</wp:posOffset>
            </wp:positionH>
            <wp:positionV relativeFrom="paragraph">
              <wp:posOffset>-290830</wp:posOffset>
            </wp:positionV>
            <wp:extent cx="111125" cy="2914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11125" cy="291465"/>
                    </a:xfrm>
                    <a:prstGeom prst="rect">
                      <a:avLst/>
                    </a:prstGeom>
                    <a:noFill/>
                  </pic:spPr>
                </pic:pic>
              </a:graphicData>
            </a:graphic>
          </wp:anchor>
        </w:drawing>
      </w:r>
    </w:p>
    <w:p>
      <w:pPr>
        <w:spacing w:after="0" w:line="69" w:lineRule="exact"/>
        <w:rPr>
          <w:sz w:val="20"/>
          <w:szCs w:val="20"/>
          <w:color w:val="auto"/>
        </w:rPr>
      </w:pPr>
    </w:p>
    <w:p>
      <w:pPr>
        <w:ind w:left="360" w:hanging="358"/>
        <w:spacing w:after="0" w:line="253" w:lineRule="auto"/>
        <w:tabs>
          <w:tab w:leader="none" w:pos="3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Included $17 million and $18 million classified in accrued expenses and other liabilities on the Condensed Consolidated Balance Sheets as of June 30, 2023 and September 30, 2022, respectively.</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447" w:right="719" w:bottom="1440" w:gutter="0" w:footer="0" w:header="0"/>
        </w:sectPr>
      </w:pPr>
    </w:p>
    <w:bookmarkStart w:id="18" w:name="page19"/>
    <w:bookmarkEnd w:id="18"/>
    <w:p>
      <w:pPr>
        <w:spacing w:after="0"/>
        <w:rPr>
          <w:sz w:val="20"/>
          <w:szCs w:val="20"/>
          <w:color w:val="auto"/>
        </w:rPr>
      </w:pPr>
      <w:r>
        <w:rPr>
          <w:rFonts w:ascii="Arial" w:cs="Arial" w:eastAsia="Arial" w:hAnsi="Arial"/>
          <w:sz w:val="20"/>
          <w:szCs w:val="20"/>
          <w:i w:val="1"/>
          <w:iCs w:val="1"/>
          <w:color w:val="auto"/>
        </w:rPr>
        <w:t>Hercules asbestos-related receivables</w:t>
      </w:r>
    </w:p>
    <w:p>
      <w:pPr>
        <w:spacing w:after="0" w:line="10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For the Hercules asbestos-related obligations, certain reimbursement obligations pursuant to coverage-in-place agreements with insurance carriers exist. As a result, any increases in the asbestos reserve have been partially offset by probable insurance recoveries. Ashland has estimated the value of probable insurance recoveries associated with its asbestos reserve based on management’s interpretations and estimates surrounding the available or applicable insurance coverage, including an assumption that all solvent insurance carriers remain solvent. The estimated receivable consists exclusively of solvent domestic insurers.</w:t>
      </w:r>
    </w:p>
    <w:p>
      <w:pPr>
        <w:spacing w:after="0" w:line="57"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As of June 30, 2023, Ashland’s receivable for recoveries of litigation defense and claims costs from insurers with respect to Hercules amounted to $47 million compared to $52 million at September 30, 2022. In June 2023, the annual update of the model used for purposes of valuing the asbestos reserve and its impact on valuation of future recoveries from insurers was completed. This model update resulted in a decrease of $3 million in the receivable for probable insurance recoveries.</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color w:val="auto"/>
        </w:rPr>
        <w:t>A progression of activity in the Hercules insurance receivable is presented in the following table.</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244"/>
        </w:trPr>
        <w:tc>
          <w:tcPr>
            <w:tcW w:w="408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2220" w:type="dxa"/>
            <w:vAlign w:val="bottom"/>
            <w:tcBorders>
              <w:top w:val="single" w:sz="8" w:color="auto"/>
            </w:tcBorders>
            <w:gridSpan w:val="4"/>
          </w:tcPr>
          <w:p>
            <w:pPr>
              <w:jc w:val="right"/>
              <w:ind w:right="490"/>
              <w:spacing w:after="0"/>
              <w:rPr>
                <w:sz w:val="20"/>
                <w:szCs w:val="20"/>
                <w:color w:val="auto"/>
              </w:rPr>
            </w:pPr>
            <w:r>
              <w:rPr>
                <w:rFonts w:ascii="Arial" w:cs="Arial" w:eastAsia="Arial" w:hAnsi="Arial"/>
                <w:sz w:val="18"/>
                <w:szCs w:val="18"/>
                <w:color w:val="auto"/>
              </w:rPr>
              <w:t>Nine months ended</w:t>
            </w:r>
          </w:p>
        </w:tc>
        <w:tc>
          <w:tcPr>
            <w:tcW w:w="18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r>
      <w:tr>
        <w:trPr>
          <w:trHeight w:val="249"/>
        </w:trPr>
        <w:tc>
          <w:tcPr>
            <w:tcW w:w="40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June 30</w:t>
            </w:r>
          </w:p>
        </w:tc>
        <w:tc>
          <w:tcPr>
            <w:tcW w:w="90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64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8"/>
                <w:szCs w:val="18"/>
                <w:color w:val="auto"/>
              </w:rPr>
              <w:t>Years ended September 30</w:t>
            </w:r>
          </w:p>
        </w:tc>
        <w:tc>
          <w:tcPr>
            <w:tcW w:w="880" w:type="dxa"/>
            <w:vAlign w:val="bottom"/>
            <w:tcBorders>
              <w:bottom w:val="single" w:sz="8" w:color="auto"/>
            </w:tcBorders>
          </w:tcPr>
          <w:p>
            <w:pPr>
              <w:spacing w:after="0"/>
              <w:rPr>
                <w:sz w:val="21"/>
                <w:szCs w:val="21"/>
                <w:color w:val="auto"/>
              </w:rPr>
            </w:pPr>
          </w:p>
        </w:tc>
      </w:tr>
      <w:tr>
        <w:trPr>
          <w:trHeight w:val="237"/>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2023</w:t>
            </w:r>
          </w:p>
        </w:tc>
        <w:tc>
          <w:tcPr>
            <w:tcW w:w="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2022</w:t>
            </w:r>
          </w:p>
        </w:tc>
        <w:tc>
          <w:tcPr>
            <w:tcW w:w="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2022</w:t>
            </w:r>
          </w:p>
        </w:tc>
        <w:tc>
          <w:tcPr>
            <w:tcW w:w="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2021</w:t>
            </w:r>
          </w:p>
        </w:tc>
        <w:tc>
          <w:tcPr>
            <w:tcW w:w="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2020</w:t>
            </w:r>
          </w:p>
        </w:tc>
      </w:tr>
      <w:tr>
        <w:trPr>
          <w:trHeight w:val="243"/>
        </w:trPr>
        <w:tc>
          <w:tcPr>
            <w:tcW w:w="4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Insurance receivable - beginning of year</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52</w:t>
            </w:r>
          </w:p>
        </w:tc>
        <w:tc>
          <w:tcPr>
            <w:tcW w:w="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47</w:t>
            </w:r>
          </w:p>
        </w:tc>
        <w:tc>
          <w:tcPr>
            <w:tcW w:w="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47</w:t>
            </w:r>
          </w:p>
        </w:tc>
        <w:tc>
          <w:tcPr>
            <w:tcW w:w="4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47</w:t>
            </w: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49</w:t>
            </w:r>
          </w:p>
        </w:tc>
      </w:tr>
      <w:tr>
        <w:trPr>
          <w:trHeight w:val="237"/>
        </w:trPr>
        <w:tc>
          <w:tcPr>
            <w:tcW w:w="4080" w:type="dxa"/>
            <w:vAlign w:val="bottom"/>
          </w:tcPr>
          <w:p>
            <w:pPr>
              <w:ind w:left="20"/>
              <w:spacing w:after="0"/>
              <w:rPr>
                <w:sz w:val="20"/>
                <w:szCs w:val="20"/>
                <w:color w:val="auto"/>
              </w:rPr>
            </w:pPr>
            <w:r>
              <w:rPr>
                <w:rFonts w:ascii="Arial" w:cs="Arial" w:eastAsia="Arial" w:hAnsi="Arial"/>
                <w:sz w:val="18"/>
                <w:szCs w:val="18"/>
                <w:color w:val="auto"/>
              </w:rPr>
              <w:t xml:space="preserve">Receivable adjustment </w:t>
            </w:r>
            <w:r>
              <w:rPr>
                <w:rFonts w:ascii="Arial" w:cs="Arial" w:eastAsia="Arial" w:hAnsi="Arial"/>
                <w:sz w:val="14"/>
                <w:szCs w:val="14"/>
                <w:color w:val="auto"/>
              </w:rPr>
              <w:t>(a)</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(3 )</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(2 )</w:t>
            </w:r>
          </w:p>
        </w:tc>
      </w:tr>
      <w:tr>
        <w:trPr>
          <w:trHeight w:val="249"/>
        </w:trPr>
        <w:tc>
          <w:tcPr>
            <w:tcW w:w="4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Amounts collected</w:t>
            </w: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(2 )</w:t>
            </w:r>
          </w:p>
        </w:tc>
        <w:tc>
          <w:tcPr>
            <w:tcW w:w="1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1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(2 )</w:t>
            </w:r>
          </w:p>
        </w:tc>
        <w:tc>
          <w:tcPr>
            <w:tcW w:w="1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1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36"/>
        </w:trPr>
        <w:tc>
          <w:tcPr>
            <w:tcW w:w="4080" w:type="dxa"/>
            <w:vAlign w:val="bottom"/>
          </w:tcPr>
          <w:p>
            <w:pPr>
              <w:ind w:left="20"/>
              <w:spacing w:after="0"/>
              <w:rPr>
                <w:sz w:val="20"/>
                <w:szCs w:val="20"/>
                <w:color w:val="auto"/>
              </w:rPr>
            </w:pPr>
            <w:r>
              <w:rPr>
                <w:rFonts w:ascii="Arial" w:cs="Arial" w:eastAsia="Arial" w:hAnsi="Arial"/>
                <w:sz w:val="18"/>
                <w:szCs w:val="18"/>
                <w:color w:val="auto"/>
              </w:rPr>
              <w:t xml:space="preserve">Insurance receivable - end of period </w:t>
            </w:r>
            <w:r>
              <w:rPr>
                <w:rFonts w:ascii="Arial" w:cs="Arial" w:eastAsia="Arial" w:hAnsi="Arial"/>
                <w:sz w:val="14"/>
                <w:szCs w:val="14"/>
                <w:color w:val="auto"/>
              </w:rPr>
              <w:t>(b)</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47</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53</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52</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47</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47</w:t>
            </w:r>
          </w:p>
        </w:tc>
      </w:tr>
      <w:tr>
        <w:trPr>
          <w:trHeight w:val="20"/>
        </w:trPr>
        <w:tc>
          <w:tcPr>
            <w:tcW w:w="40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129"/>
        </w:trPr>
        <w:tc>
          <w:tcPr>
            <w:tcW w:w="40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3329940</wp:posOffset>
            </wp:positionH>
            <wp:positionV relativeFrom="paragraph">
              <wp:posOffset>-290830</wp:posOffset>
            </wp:positionV>
            <wp:extent cx="111125" cy="2914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11125" cy="291465"/>
                    </a:xfrm>
                    <a:prstGeom prst="rect">
                      <a:avLst/>
                    </a:prstGeom>
                    <a:noFill/>
                  </pic:spPr>
                </pic:pic>
              </a:graphicData>
            </a:graphic>
          </wp:anchor>
        </w:drawing>
        <w:drawing>
          <wp:anchor simplePos="0" relativeHeight="251657728" behindDoc="1" locked="0" layoutInCell="0" allowOverlap="1">
            <wp:simplePos x="0" y="0"/>
            <wp:positionH relativeFrom="column">
              <wp:posOffset>4152900</wp:posOffset>
            </wp:positionH>
            <wp:positionV relativeFrom="paragraph">
              <wp:posOffset>-290830</wp:posOffset>
            </wp:positionV>
            <wp:extent cx="111760" cy="2914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11760" cy="291465"/>
                    </a:xfrm>
                    <a:prstGeom prst="rect">
                      <a:avLst/>
                    </a:prstGeom>
                    <a:noFill/>
                  </pic:spPr>
                </pic:pic>
              </a:graphicData>
            </a:graphic>
          </wp:anchor>
        </w:drawing>
        <w:drawing>
          <wp:anchor simplePos="0" relativeHeight="251657728" behindDoc="1" locked="0" layoutInCell="0" allowOverlap="1">
            <wp:simplePos x="0" y="0"/>
            <wp:positionH relativeFrom="column">
              <wp:posOffset>4984115</wp:posOffset>
            </wp:positionH>
            <wp:positionV relativeFrom="paragraph">
              <wp:posOffset>-290830</wp:posOffset>
            </wp:positionV>
            <wp:extent cx="111125" cy="2914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11125" cy="291465"/>
                    </a:xfrm>
                    <a:prstGeom prst="rect">
                      <a:avLst/>
                    </a:prstGeom>
                    <a:noFill/>
                  </pic:spPr>
                </pic:pic>
              </a:graphicData>
            </a:graphic>
          </wp:anchor>
        </w:drawing>
        <w:drawing>
          <wp:anchor simplePos="0" relativeHeight="251657728" behindDoc="1" locked="0" layoutInCell="0" allowOverlap="1">
            <wp:simplePos x="0" y="0"/>
            <wp:positionH relativeFrom="column">
              <wp:posOffset>5815965</wp:posOffset>
            </wp:positionH>
            <wp:positionV relativeFrom="paragraph">
              <wp:posOffset>-290830</wp:posOffset>
            </wp:positionV>
            <wp:extent cx="111125" cy="2914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11125" cy="291465"/>
                    </a:xfrm>
                    <a:prstGeom prst="rect">
                      <a:avLst/>
                    </a:prstGeom>
                    <a:noFill/>
                  </pic:spPr>
                </pic:pic>
              </a:graphicData>
            </a:graphic>
          </wp:anchor>
        </w:drawing>
      </w:r>
    </w:p>
    <w:p>
      <w:pPr>
        <w:spacing w:after="0" w:line="69" w:lineRule="exact"/>
        <w:rPr>
          <w:sz w:val="20"/>
          <w:szCs w:val="20"/>
          <w:color w:val="auto"/>
        </w:rPr>
      </w:pPr>
    </w:p>
    <w:p>
      <w:pPr>
        <w:ind w:left="360" w:hanging="358"/>
        <w:spacing w:after="0" w:line="253" w:lineRule="auto"/>
        <w:tabs>
          <w:tab w:leader="none" w:pos="3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2021 includes a $1 million reserve adjustment related to allowances for credit losses as a result of Ashland's adoption of the new credit measurement standard. The total allowance for credit losses was $1 million as of June 30, 2023 and September 30, 2022.</w:t>
      </w:r>
    </w:p>
    <w:p>
      <w:pPr>
        <w:spacing w:after="0" w:line="65" w:lineRule="exact"/>
        <w:rPr>
          <w:rFonts w:ascii="Arial" w:cs="Arial" w:eastAsia="Arial" w:hAnsi="Arial"/>
          <w:sz w:val="14"/>
          <w:szCs w:val="14"/>
          <w:color w:val="auto"/>
        </w:rPr>
      </w:pPr>
    </w:p>
    <w:p>
      <w:pPr>
        <w:ind w:left="360" w:hanging="358"/>
        <w:spacing w:after="0"/>
        <w:tabs>
          <w:tab w:leader="none" w:pos="3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$4 million and $3 million classified in accounts receivable on the Condensed Consolidated Balance Sheets as of June 30, 2023 and September 30, 2022.</w:t>
      </w:r>
    </w:p>
    <w:p>
      <w:pPr>
        <w:spacing w:after="0" w:line="9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Asbestos litigation cost projection</w:t>
      </w:r>
    </w:p>
    <w:p>
      <w:pPr>
        <w:spacing w:after="0" w:line="10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Projecting future asbestos costs is subject to numerous variables that are difficult to predict. In addition to the uncertainties surrounding the number of claims that might be received, other variables include the type and severity of the disease alleged by each claimant and the related costs incurred in resolving those claims, mortality rates, dismissal rates, uncertainties surrounding the litigation process from jurisdiction to jurisdiction and from case to case. Furthermore, any predictions with respect to these variables are subject to even greater uncertainty as the projection period lengthens. In light of these inherent uncertainties, Ashland believes that the asbestos reserves for Ashland and Hercules represent the best estimate within a range of possible outcomes. As a part of the process to develop these estimates of future asbestos costs, a range of long-term cost models was developed. These models are based on national studies that predict the number of people likely to develop asbestos-related diseases and are heavily influenced by assumptions regarding long-term inflation rates for indemnity payments and legal defense costs, as well as other variables mentioned previously. Ashland has currently estimated in various models ranging from approximately 40 year periods that it is reasonably possible that total future litigation defense and claim settlement costs on an inflated and undiscounted basis could range as high as approximately $422 million for the Ashland asbestos-related litigation (current reserve of $285 million) and approximately $288 million for the Hercules asbestos-related litigation (current reserve of $197 million), depending on the combination of assumptions selected in the various models. While the timeframe used in Ashland’s models for projecting asbestos liabilities generally decreases over time based on the expected lifetime of the liabilities, these models have been consistently applied between all periods presented. If actual experience is worse than projected, relative to the number of claims filed, the severity of alleged disease associated with those claims or costs incurred to resolve those claims, or actuarial refinement or improvements to the assumptions used within these models are initiated, Ashland may need to further increase the estimates of the costs associated with asbestos claims and these increases could be material over time.</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Environmental remediation and asset retirement obligations</w:t>
      </w:r>
    </w:p>
    <w:p>
      <w:pPr>
        <w:spacing w:after="0" w:line="11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Ashland is subject to various federal, state and local environmental laws and regulations that require environmental assessment or remediation efforts (collectively environmental remediation) at multiple locations. At June 30, 2023,</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447" w:right="719" w:bottom="1440" w:gutter="0" w:footer="0" w:header="0"/>
        </w:sectPr>
      </w:pPr>
    </w:p>
    <w:bookmarkStart w:id="19" w:name="page20"/>
    <w:bookmarkEnd w:id="19"/>
    <w:p>
      <w:pPr>
        <w:jc w:val="both"/>
        <w:spacing w:after="0" w:line="250" w:lineRule="auto"/>
        <w:rPr>
          <w:sz w:val="20"/>
          <w:szCs w:val="20"/>
          <w:color w:val="auto"/>
        </w:rPr>
      </w:pPr>
      <w:r>
        <w:rPr>
          <w:rFonts w:ascii="Arial" w:cs="Arial" w:eastAsia="Arial" w:hAnsi="Arial"/>
          <w:sz w:val="20"/>
          <w:szCs w:val="20"/>
          <w:color w:val="auto"/>
        </w:rPr>
        <w:t>such locations included 57 sites where Ashland has been identified as a potentially responsible party under Superfund or similar state laws, 108 current and former operating facilities and about 1,225 service station properties, of which 14 are being actively remediated.</w:t>
      </w:r>
    </w:p>
    <w:p>
      <w:pPr>
        <w:spacing w:after="0" w:line="7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Ashland’s reserves for environmental remediation and related environmental litigation amounted to $204 million at June 30, 2023 compared to $211 million at September 30, 2022, of which $155 million at June 30, 2023 and $157 million at September 30, 2022 were classified in other noncurrent liabilities on the Condensed Consolidated Balance Sheets. The remaining reserves were classified in accrued expenses and other liabilities on the Condensed Consolidated Balance Sheets.</w:t>
      </w:r>
    </w:p>
    <w:p>
      <w:pPr>
        <w:spacing w:after="0" w:line="5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table provides a reconciliation of the changes in the environmental remediation reserves during the nine months ended June 30, 2023 and 2022.</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244"/>
        </w:trPr>
        <w:tc>
          <w:tcPr>
            <w:tcW w:w="658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226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Nine months ended</w:t>
            </w:r>
          </w:p>
        </w:tc>
        <w:tc>
          <w:tcPr>
            <w:tcW w:w="1220" w:type="dxa"/>
            <w:vAlign w:val="bottom"/>
            <w:tcBorders>
              <w:top w:val="single" w:sz="8" w:color="auto"/>
            </w:tcBorders>
          </w:tcPr>
          <w:p>
            <w:pPr>
              <w:spacing w:after="0"/>
              <w:rPr>
                <w:sz w:val="21"/>
                <w:szCs w:val="21"/>
                <w:color w:val="auto"/>
              </w:rPr>
            </w:pPr>
          </w:p>
        </w:tc>
      </w:tr>
      <w:tr>
        <w:trPr>
          <w:trHeight w:val="249"/>
        </w:trPr>
        <w:tc>
          <w:tcPr>
            <w:tcW w:w="65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8"/>
                <w:szCs w:val="18"/>
                <w:color w:val="auto"/>
              </w:rPr>
              <w:t>June 30</w:t>
            </w:r>
          </w:p>
        </w:tc>
        <w:tc>
          <w:tcPr>
            <w:tcW w:w="1220" w:type="dxa"/>
            <w:vAlign w:val="bottom"/>
            <w:tcBorders>
              <w:bottom w:val="single" w:sz="8" w:color="auto"/>
            </w:tcBorders>
          </w:tcPr>
          <w:p>
            <w:pPr>
              <w:spacing w:after="0"/>
              <w:rPr>
                <w:sz w:val="21"/>
                <w:szCs w:val="21"/>
                <w:color w:val="auto"/>
              </w:rPr>
            </w:pPr>
          </w:p>
        </w:tc>
      </w:tr>
      <w:tr>
        <w:trPr>
          <w:trHeight w:val="237"/>
        </w:trPr>
        <w:tc>
          <w:tcPr>
            <w:tcW w:w="6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3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2023</w:t>
            </w:r>
          </w:p>
        </w:tc>
        <w:tc>
          <w:tcPr>
            <w:tcW w:w="2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2022</w:t>
            </w:r>
          </w:p>
        </w:tc>
      </w:tr>
      <w:tr>
        <w:trPr>
          <w:trHeight w:val="243"/>
        </w:trPr>
        <w:tc>
          <w:tcPr>
            <w:tcW w:w="6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Reserve - beginning of period</w:t>
            </w: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211</w:t>
            </w:r>
          </w:p>
        </w:tc>
        <w:tc>
          <w:tcPr>
            <w:tcW w:w="840" w:type="dxa"/>
            <w:vAlign w:val="bottom"/>
            <w:gridSpan w:val="2"/>
            <w:shd w:val="clear" w:color="auto" w:fill="CFF0FC"/>
          </w:tcPr>
          <w:p>
            <w:pPr>
              <w:jc w:val="right"/>
              <w:ind w:right="4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207</w:t>
            </w:r>
          </w:p>
        </w:tc>
      </w:tr>
      <w:tr>
        <w:trPr>
          <w:trHeight w:val="237"/>
        </w:trPr>
        <w:tc>
          <w:tcPr>
            <w:tcW w:w="6580" w:type="dxa"/>
            <w:vAlign w:val="bottom"/>
          </w:tcPr>
          <w:p>
            <w:pPr>
              <w:ind w:left="200"/>
              <w:spacing w:after="0"/>
              <w:rPr>
                <w:sz w:val="20"/>
                <w:szCs w:val="20"/>
                <w:color w:val="auto"/>
              </w:rPr>
            </w:pPr>
            <w:r>
              <w:rPr>
                <w:rFonts w:ascii="Arial" w:cs="Arial" w:eastAsia="Arial" w:hAnsi="Arial"/>
                <w:sz w:val="18"/>
                <w:szCs w:val="18"/>
                <w:color w:val="auto"/>
              </w:rPr>
              <w:t>Disbursements</w:t>
            </w:r>
          </w:p>
        </w:tc>
        <w:tc>
          <w:tcPr>
            <w:tcW w:w="3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(40 )</w:t>
            </w: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(42 )</w:t>
            </w:r>
          </w:p>
        </w:tc>
      </w:tr>
      <w:tr>
        <w:trPr>
          <w:trHeight w:val="249"/>
        </w:trPr>
        <w:tc>
          <w:tcPr>
            <w:tcW w:w="65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Revised obligation estimates and accretion</w:t>
            </w:r>
          </w:p>
        </w:tc>
        <w:tc>
          <w:tcPr>
            <w:tcW w:w="38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33</w:t>
            </w:r>
          </w:p>
        </w:tc>
        <w:tc>
          <w:tcPr>
            <w:tcW w:w="28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61</w:t>
            </w:r>
          </w:p>
        </w:tc>
      </w:tr>
      <w:tr>
        <w:trPr>
          <w:trHeight w:val="237"/>
        </w:trPr>
        <w:tc>
          <w:tcPr>
            <w:tcW w:w="6580" w:type="dxa"/>
            <w:vAlign w:val="bottom"/>
          </w:tcPr>
          <w:p>
            <w:pPr>
              <w:ind w:left="20"/>
              <w:spacing w:after="0"/>
              <w:rPr>
                <w:sz w:val="20"/>
                <w:szCs w:val="20"/>
                <w:color w:val="auto"/>
              </w:rPr>
            </w:pPr>
            <w:r>
              <w:rPr>
                <w:rFonts w:ascii="Arial" w:cs="Arial" w:eastAsia="Arial" w:hAnsi="Arial"/>
                <w:sz w:val="18"/>
                <w:szCs w:val="18"/>
                <w:color w:val="auto"/>
              </w:rPr>
              <w:t>Reserve - end of period</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204</w:t>
            </w:r>
          </w:p>
        </w:tc>
        <w:tc>
          <w:tcPr>
            <w:tcW w:w="8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226</w:t>
            </w:r>
          </w:p>
        </w:tc>
      </w:tr>
      <w:tr>
        <w:trPr>
          <w:trHeight w:val="20"/>
        </w:trPr>
        <w:tc>
          <w:tcPr>
            <w:tcW w:w="65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129"/>
        </w:trPr>
        <w:tc>
          <w:tcPr>
            <w:tcW w:w="65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5335905</wp:posOffset>
            </wp:positionH>
            <wp:positionV relativeFrom="paragraph">
              <wp:posOffset>-290830</wp:posOffset>
            </wp:positionV>
            <wp:extent cx="171450" cy="2914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71450" cy="291465"/>
                    </a:xfrm>
                    <a:prstGeom prst="rect">
                      <a:avLst/>
                    </a:prstGeom>
                    <a:noFill/>
                  </pic:spPr>
                </pic:pic>
              </a:graphicData>
            </a:graphic>
          </wp:anchor>
        </w:drawing>
      </w:r>
    </w:p>
    <w:p>
      <w:pPr>
        <w:spacing w:after="0" w:line="85"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The total reserves for environmental remediation reflect Ashland’s estimates of the most likely costs that will be incurred over an extended period to remediate identified conditions for which the costs are reasonably estimable, without regard to any third-party recoveries. Engineering studies, historical experience and other factors are used to identify and evaluate remediation alternatives and their related costs in determining the estimated reserves for environmental remediation. Ashland continues to discount certain environmental sites and regularly adjusts its reserves as environmental remediation continues. Ashland has estimated the value of its probable insurance recoveries associated with its environmental reserve based on management’s interpretations and estimates surrounding the available or applicable insurance coverage. At June 30, 2023 and September 30, 2022, Ashland’s recorded receivable for these probable insurance recoveries was $21 million, of which $17 million at June 30, 2023 and September 30, 2022 were classified in other noncurrent assets on the Condensed Consolidated Balance Sheets.</w:t>
      </w:r>
    </w:p>
    <w:p>
      <w:pPr>
        <w:spacing w:after="0" w:line="6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Components of environmental remediation expense included within the selling, general and administrative expense caption of the Statements of Consolidated Comprehensive Income (Loss) are presented in the following table for the three and nine ended June 30, 2023 and 2022.</w:t>
      </w:r>
    </w:p>
    <w:p>
      <w:pPr>
        <w:spacing w:after="0" w:line="102" w:lineRule="exact"/>
        <w:rPr>
          <w:sz w:val="20"/>
          <w:szCs w:val="20"/>
          <w:color w:val="auto"/>
        </w:rPr>
      </w:pPr>
    </w:p>
    <w:tbl>
      <w:tblPr>
        <w:tblLayout w:type="fixed"/>
        <w:tblInd w:w="20" w:type="dxa"/>
        <w:tblCellMar>
          <w:top w:w="0" w:type="dxa"/>
          <w:left w:w="0" w:type="dxa"/>
          <w:bottom w:w="0" w:type="dxa"/>
          <w:right w:w="0" w:type="dxa"/>
        </w:tblCellMar>
      </w:tblPr>
      <w:tr>
        <w:trPr>
          <w:trHeight w:val="244"/>
        </w:trPr>
        <w:tc>
          <w:tcPr>
            <w:tcW w:w="468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2520" w:type="dxa"/>
            <w:vAlign w:val="bottom"/>
            <w:tcBorders>
              <w:top w:val="single" w:sz="8" w:color="auto"/>
            </w:tcBorders>
            <w:gridSpan w:val="4"/>
          </w:tcPr>
          <w:p>
            <w:pPr>
              <w:jc w:val="right"/>
              <w:ind w:right="630"/>
              <w:spacing w:after="0"/>
              <w:rPr>
                <w:sz w:val="20"/>
                <w:szCs w:val="20"/>
                <w:color w:val="auto"/>
              </w:rPr>
            </w:pPr>
            <w:r>
              <w:rPr>
                <w:rFonts w:ascii="Arial" w:cs="Arial" w:eastAsia="Arial" w:hAnsi="Arial"/>
                <w:sz w:val="18"/>
                <w:szCs w:val="18"/>
                <w:color w:val="auto"/>
              </w:rPr>
              <w:t>Three months ended</w:t>
            </w:r>
          </w:p>
        </w:tc>
        <w:tc>
          <w:tcPr>
            <w:tcW w:w="20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2520" w:type="dxa"/>
            <w:vAlign w:val="bottom"/>
            <w:tcBorders>
              <w:top w:val="single" w:sz="8" w:color="auto"/>
            </w:tcBorders>
            <w:gridSpan w:val="4"/>
          </w:tcPr>
          <w:p>
            <w:pPr>
              <w:jc w:val="right"/>
              <w:ind w:right="650"/>
              <w:spacing w:after="0"/>
              <w:rPr>
                <w:sz w:val="20"/>
                <w:szCs w:val="20"/>
                <w:color w:val="auto"/>
              </w:rPr>
            </w:pPr>
            <w:r>
              <w:rPr>
                <w:rFonts w:ascii="Arial" w:cs="Arial" w:eastAsia="Arial" w:hAnsi="Arial"/>
                <w:sz w:val="18"/>
                <w:szCs w:val="18"/>
                <w:color w:val="auto"/>
              </w:rPr>
              <w:t>Nine months ended</w:t>
            </w:r>
          </w:p>
        </w:tc>
      </w:tr>
      <w:tr>
        <w:trPr>
          <w:trHeight w:val="249"/>
        </w:trPr>
        <w:tc>
          <w:tcPr>
            <w:tcW w:w="46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color w:val="auto"/>
              </w:rPr>
              <w:t>June 30</w:t>
            </w:r>
          </w:p>
        </w:tc>
        <w:tc>
          <w:tcPr>
            <w:tcW w:w="102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color w:val="auto"/>
              </w:rPr>
              <w:t>June 30</w:t>
            </w:r>
          </w:p>
        </w:tc>
        <w:tc>
          <w:tcPr>
            <w:tcW w:w="1020" w:type="dxa"/>
            <w:vAlign w:val="bottom"/>
            <w:tcBorders>
              <w:bottom w:val="single" w:sz="8" w:color="auto"/>
            </w:tcBorders>
          </w:tcPr>
          <w:p>
            <w:pPr>
              <w:spacing w:after="0"/>
              <w:rPr>
                <w:sz w:val="21"/>
                <w:szCs w:val="21"/>
                <w:color w:val="auto"/>
              </w:rPr>
            </w:pPr>
          </w:p>
        </w:tc>
      </w:tr>
      <w:tr>
        <w:trPr>
          <w:trHeight w:val="237"/>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2023</w:t>
            </w:r>
          </w:p>
        </w:tc>
        <w:tc>
          <w:tcPr>
            <w:tcW w:w="2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2022</w:t>
            </w:r>
          </w:p>
        </w:tc>
        <w:tc>
          <w:tcPr>
            <w:tcW w:w="2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2023</w:t>
            </w: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2022</w:t>
            </w:r>
          </w:p>
        </w:tc>
      </w:tr>
      <w:tr>
        <w:trPr>
          <w:trHeight w:val="243"/>
        </w:trPr>
        <w:tc>
          <w:tcPr>
            <w:tcW w:w="4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Environmental expense</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22</w:t>
            </w:r>
          </w:p>
        </w:tc>
        <w:tc>
          <w:tcPr>
            <w:tcW w:w="4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45</w:t>
            </w:r>
          </w:p>
        </w:tc>
        <w:tc>
          <w:tcPr>
            <w:tcW w:w="4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w:t>
            </w:r>
          </w:p>
        </w:tc>
        <w:tc>
          <w:tcPr>
            <w:tcW w:w="4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60</w:t>
            </w:r>
          </w:p>
        </w:tc>
      </w:tr>
      <w:tr>
        <w:trPr>
          <w:trHeight w:val="237"/>
        </w:trPr>
        <w:tc>
          <w:tcPr>
            <w:tcW w:w="4680" w:type="dxa"/>
            <w:vAlign w:val="bottom"/>
          </w:tcPr>
          <w:p>
            <w:pPr>
              <w:ind w:left="20"/>
              <w:spacing w:after="0"/>
              <w:rPr>
                <w:sz w:val="20"/>
                <w:szCs w:val="20"/>
                <w:color w:val="auto"/>
              </w:rPr>
            </w:pPr>
            <w:r>
              <w:rPr>
                <w:rFonts w:ascii="Arial" w:cs="Arial" w:eastAsia="Arial" w:hAnsi="Arial"/>
                <w:sz w:val="18"/>
                <w:szCs w:val="18"/>
                <w:color w:val="auto"/>
              </w:rPr>
              <w:t>Accretion</w:t>
            </w:r>
          </w:p>
        </w:tc>
        <w:tc>
          <w:tcPr>
            <w:tcW w:w="26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w:t>
            </w:r>
          </w:p>
        </w:tc>
      </w:tr>
      <w:tr>
        <w:trPr>
          <w:trHeight w:val="249"/>
        </w:trPr>
        <w:tc>
          <w:tcPr>
            <w:tcW w:w="4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Legal expense</w:t>
            </w:r>
          </w:p>
        </w:tc>
        <w:tc>
          <w:tcPr>
            <w:tcW w:w="26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w:t>
            </w:r>
          </w:p>
        </w:tc>
      </w:tr>
      <w:tr>
        <w:trPr>
          <w:trHeight w:val="230"/>
        </w:trPr>
        <w:tc>
          <w:tcPr>
            <w:tcW w:w="4680" w:type="dxa"/>
            <w:vAlign w:val="bottom"/>
          </w:tcPr>
          <w:p>
            <w:pPr>
              <w:ind w:left="200"/>
              <w:spacing w:after="0"/>
              <w:rPr>
                <w:sz w:val="20"/>
                <w:szCs w:val="20"/>
                <w:color w:val="auto"/>
              </w:rPr>
            </w:pPr>
            <w:r>
              <w:rPr>
                <w:rFonts w:ascii="Arial" w:cs="Arial" w:eastAsia="Arial" w:hAnsi="Arial"/>
                <w:sz w:val="18"/>
                <w:szCs w:val="18"/>
                <w:color w:val="auto"/>
              </w:rPr>
              <w:t>Total expense</w:t>
            </w:r>
          </w:p>
        </w:tc>
        <w:tc>
          <w:tcPr>
            <w:tcW w:w="26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64</w:t>
            </w:r>
          </w:p>
        </w:tc>
      </w:tr>
      <w:tr>
        <w:trPr>
          <w:trHeight w:val="249"/>
        </w:trPr>
        <w:tc>
          <w:tcPr>
            <w:tcW w:w="46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Insurance receivable</w:t>
            </w: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(2 )</w:t>
            </w:r>
          </w:p>
        </w:tc>
        <w:tc>
          <w:tcPr>
            <w:tcW w:w="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(2 )</w:t>
            </w:r>
          </w:p>
        </w:tc>
        <w:tc>
          <w:tcPr>
            <w:tcW w:w="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(2 )</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(5 )</w:t>
            </w:r>
          </w:p>
        </w:tc>
      </w:tr>
      <w:tr>
        <w:trPr>
          <w:trHeight w:val="276"/>
        </w:trPr>
        <w:tc>
          <w:tcPr>
            <w:tcW w:w="4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 xml:space="preserve">Total expense, net of receivable activity </w:t>
            </w:r>
            <w:r>
              <w:rPr>
                <w:rFonts w:ascii="Arial" w:cs="Arial" w:eastAsia="Arial" w:hAnsi="Arial"/>
                <w:sz w:val="14"/>
                <w:szCs w:val="14"/>
                <w:color w:val="auto"/>
              </w:rPr>
              <w:t>(a)</w:t>
            </w: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21</w:t>
            </w:r>
          </w:p>
        </w:tc>
        <w:tc>
          <w:tcPr>
            <w:tcW w:w="2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45</w:t>
            </w:r>
          </w:p>
        </w:tc>
        <w:tc>
          <w:tcPr>
            <w:tcW w:w="2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34</w:t>
            </w:r>
          </w:p>
        </w:tc>
        <w:tc>
          <w:tcPr>
            <w:tcW w:w="2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59</w:t>
            </w:r>
          </w:p>
        </w:tc>
      </w:tr>
      <w:tr>
        <w:trPr>
          <w:trHeight w:val="129"/>
        </w:trPr>
        <w:tc>
          <w:tcPr>
            <w:tcW w:w="46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3810000</wp:posOffset>
            </wp:positionH>
            <wp:positionV relativeFrom="paragraph">
              <wp:posOffset>-762000</wp:posOffset>
            </wp:positionV>
            <wp:extent cx="128905" cy="1625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8905" cy="162560"/>
                    </a:xfrm>
                    <a:prstGeom prst="rect">
                      <a:avLst/>
                    </a:prstGeom>
                    <a:noFill/>
                  </pic:spPr>
                </pic:pic>
              </a:graphicData>
            </a:graphic>
          </wp:anchor>
        </w:drawing>
        <w:drawing>
          <wp:anchor simplePos="0" relativeHeight="251657728" behindDoc="1" locked="0" layoutInCell="0" allowOverlap="1">
            <wp:simplePos x="0" y="0"/>
            <wp:positionH relativeFrom="column">
              <wp:posOffset>4752975</wp:posOffset>
            </wp:positionH>
            <wp:positionV relativeFrom="paragraph">
              <wp:posOffset>-762000</wp:posOffset>
            </wp:positionV>
            <wp:extent cx="128905" cy="1625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8905" cy="162560"/>
                    </a:xfrm>
                    <a:prstGeom prst="rect">
                      <a:avLst/>
                    </a:prstGeom>
                    <a:noFill/>
                  </pic:spPr>
                </pic:pic>
              </a:graphicData>
            </a:graphic>
          </wp:anchor>
        </w:drawing>
        <w:drawing>
          <wp:anchor simplePos="0" relativeHeight="251657728" behindDoc="1" locked="0" layoutInCell="0" allowOverlap="1">
            <wp:simplePos x="0" y="0"/>
            <wp:positionH relativeFrom="column">
              <wp:posOffset>5695950</wp:posOffset>
            </wp:positionH>
            <wp:positionV relativeFrom="paragraph">
              <wp:posOffset>-762000</wp:posOffset>
            </wp:positionV>
            <wp:extent cx="128905" cy="1625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8905" cy="162560"/>
                    </a:xfrm>
                    <a:prstGeom prst="rect">
                      <a:avLst/>
                    </a:prstGeom>
                    <a:noFill/>
                  </pic:spPr>
                </pic:pic>
              </a:graphicData>
            </a:graphic>
          </wp:anchor>
        </w:drawing>
        <w:drawing>
          <wp:anchor simplePos="0" relativeHeight="251657728" behindDoc="1" locked="0" layoutInCell="0" allowOverlap="1">
            <wp:simplePos x="0" y="0"/>
            <wp:positionH relativeFrom="column">
              <wp:posOffset>3810000</wp:posOffset>
            </wp:positionH>
            <wp:positionV relativeFrom="paragraph">
              <wp:posOffset>-128270</wp:posOffset>
            </wp:positionV>
            <wp:extent cx="2014220" cy="1289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014220" cy="128905"/>
                    </a:xfrm>
                    <a:prstGeom prst="rect">
                      <a:avLst/>
                    </a:prstGeom>
                    <a:noFill/>
                  </pic:spPr>
                </pic:pic>
              </a:graphicData>
            </a:graphic>
          </wp:anchor>
        </w:drawing>
      </w:r>
    </w:p>
    <w:p>
      <w:pPr>
        <w:spacing w:after="0" w:line="69" w:lineRule="exact"/>
        <w:rPr>
          <w:sz w:val="20"/>
          <w:szCs w:val="20"/>
          <w:color w:val="auto"/>
        </w:rPr>
      </w:pPr>
    </w:p>
    <w:p>
      <w:pPr>
        <w:jc w:val="both"/>
        <w:ind w:left="360" w:hanging="358"/>
        <w:spacing w:after="0" w:line="264" w:lineRule="auto"/>
        <w:tabs>
          <w:tab w:leader="none" w:pos="360" w:val="left"/>
        </w:tabs>
        <w:numPr>
          <w:ilvl w:val="0"/>
          <w:numId w:val="16"/>
        </w:numPr>
        <w:rPr>
          <w:rFonts w:ascii="Arial" w:cs="Arial" w:eastAsia="Arial" w:hAnsi="Arial"/>
          <w:sz w:val="13"/>
          <w:szCs w:val="13"/>
          <w:color w:val="auto"/>
        </w:rPr>
      </w:pPr>
      <w:r>
        <w:rPr>
          <w:rFonts w:ascii="Arial" w:cs="Arial" w:eastAsia="Arial" w:hAnsi="Arial"/>
          <w:sz w:val="13"/>
          <w:szCs w:val="13"/>
          <w:color w:val="auto"/>
        </w:rPr>
        <w:t>Net expense of $5 million and $6 million for the three and nine months ended June 30, 2023, respectively, and $9 million and $11 million for the three and nine months ended June 30, 2022, respectively, relates to divested businesses which qualified for treatment as discontinued operations for which certain environmental liabilities were retained by Ashland. These amounts are classified within the income (loss) from discontinued operations caption of the Statements of Consolidated Comprehensive Income (Loss).</w:t>
      </w:r>
    </w:p>
    <w:p>
      <w:pPr>
        <w:spacing w:after="0" w:line="6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Environmental remediation reserves are subject to uncertainties that affect Ashland’s ability to estimate its share of the costs. Such uncertainties involve the nature and extent of contamination at each site and the extent of required cleanup efforts under existing environmental regulations. Although it is not possible to predict with certainty the ultimate costs of environmental remediation, Ashland currently estimates that the upper end of the reasonably possible range of future costs for identified sites could be as high as approximately $465 million. The largest reserve for any site is 13% of the remediation reserve as of June 30, 2023.</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447" w:right="719" w:bottom="1440" w:gutter="0" w:footer="0" w:header="0"/>
        </w:sectPr>
      </w:pPr>
    </w:p>
    <w:bookmarkStart w:id="20" w:name="page21"/>
    <w:bookmarkEnd w:id="20"/>
    <w:p>
      <w:pPr>
        <w:ind w:left="380"/>
        <w:spacing w:after="0"/>
        <w:rPr>
          <w:sz w:val="20"/>
          <w:szCs w:val="20"/>
          <w:color w:val="auto"/>
        </w:rPr>
      </w:pPr>
      <w:r>
        <w:rPr>
          <w:rFonts w:ascii="Arial" w:cs="Arial" w:eastAsia="Arial" w:hAnsi="Arial"/>
          <w:sz w:val="20"/>
          <w:szCs w:val="20"/>
          <w:b w:val="1"/>
          <w:bCs w:val="1"/>
          <w:color w:val="auto"/>
        </w:rPr>
        <w:t>Brazil tax credits</w:t>
      </w:r>
    </w:p>
    <w:p>
      <w:pPr>
        <w:spacing w:after="0" w:line="114" w:lineRule="exact"/>
        <w:rPr>
          <w:sz w:val="20"/>
          <w:szCs w:val="20"/>
          <w:color w:val="auto"/>
        </w:rPr>
      </w:pPr>
    </w:p>
    <w:p>
      <w:pPr>
        <w:jc w:val="both"/>
        <w:ind w:left="380" w:right="380"/>
        <w:spacing w:after="0" w:line="263" w:lineRule="auto"/>
        <w:rPr>
          <w:sz w:val="20"/>
          <w:szCs w:val="20"/>
          <w:color w:val="auto"/>
        </w:rPr>
      </w:pPr>
      <w:r>
        <w:rPr>
          <w:rFonts w:ascii="Arial" w:cs="Arial" w:eastAsia="Arial" w:hAnsi="Arial"/>
          <w:sz w:val="19"/>
          <w:szCs w:val="19"/>
          <w:color w:val="auto"/>
        </w:rPr>
        <w:t>In March 2017, the Federal Supreme Court of Brazil (Brazil Supreme Court) ruled in a leading case that a Brazilian value-added tax (ICMS) should not be included in the base used to calculate a taxpayer’s federal contribution on total revenue known as PIS/COFINS (2017 Decision). As a result, two of Ashland’s Brazilian subsidiaries filed lawsuits challenging the inclusion of ICMS in Ashland’s calculation of PIS/COFINs, seeking recovery of excess taxes paid plus interest.</w:t>
      </w:r>
    </w:p>
    <w:p>
      <w:pPr>
        <w:spacing w:after="0" w:line="68" w:lineRule="exact"/>
        <w:rPr>
          <w:sz w:val="20"/>
          <w:szCs w:val="20"/>
          <w:color w:val="auto"/>
        </w:rPr>
      </w:pPr>
    </w:p>
    <w:p>
      <w:pPr>
        <w:jc w:val="both"/>
        <w:ind w:left="380" w:right="380"/>
        <w:spacing w:after="0" w:line="263" w:lineRule="auto"/>
        <w:rPr>
          <w:sz w:val="20"/>
          <w:szCs w:val="20"/>
          <w:color w:val="auto"/>
        </w:rPr>
      </w:pPr>
      <w:r>
        <w:rPr>
          <w:rFonts w:ascii="Arial" w:cs="Arial" w:eastAsia="Arial" w:hAnsi="Arial"/>
          <w:sz w:val="19"/>
          <w:szCs w:val="19"/>
          <w:color w:val="auto"/>
        </w:rPr>
        <w:t>In response to the 2017 Decision, the Brazilian tax authority filed an appeal of the 2017 Decision seeking clarification of the amount of ICMS tax to exclude from the calculation of PIS/COFINS. In May 2021, the Brazil Supreme Court ruled that the ICMS tax be excluded from the calculation of PIS/COFINS. In May 2023, Law 14592/23 was passed in Brazil, converting the 2017 Decision provisional measure effective for PIS/COFINS legislation excluding ICMS from the calculation basis.</w:t>
      </w:r>
    </w:p>
    <w:p>
      <w:pPr>
        <w:spacing w:after="0" w:line="68" w:lineRule="exact"/>
        <w:rPr>
          <w:sz w:val="20"/>
          <w:szCs w:val="20"/>
          <w:color w:val="auto"/>
        </w:rPr>
      </w:pPr>
    </w:p>
    <w:p>
      <w:pPr>
        <w:jc w:val="both"/>
        <w:ind w:left="380" w:right="380"/>
        <w:spacing w:after="0" w:line="278" w:lineRule="auto"/>
        <w:rPr>
          <w:sz w:val="20"/>
          <w:szCs w:val="20"/>
          <w:color w:val="auto"/>
        </w:rPr>
      </w:pPr>
      <w:r>
        <w:rPr>
          <w:rFonts w:ascii="Arial" w:cs="Arial" w:eastAsia="Arial" w:hAnsi="Arial"/>
          <w:sz w:val="18"/>
          <w:szCs w:val="18"/>
          <w:color w:val="auto"/>
        </w:rPr>
        <w:t>As of June 2023, Ashland had received all favorable court rulings for previously filed suits, completed its analysis of certain prior year overpayments related to ICMS and received acknowledgment from the Brazilian tax authority that allows Ashland to begin the process to recover the taxes. As a result, Ashland recorded a pre-tax gain of $12 million for the three and nine months ended June 30, 2023 for certain excess PIS/COFINS paid from 2012 to February 2023 plus interest. The gain was recognized within the selling, general and administrative expense caption of the Statement of Consolidated Comprehensive Income (Loss).</w:t>
      </w:r>
    </w:p>
    <w:p>
      <w:pPr>
        <w:spacing w:after="0" w:line="51"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Other legal proceedings and claims</w:t>
      </w:r>
    </w:p>
    <w:p>
      <w:pPr>
        <w:spacing w:after="0" w:line="114" w:lineRule="exact"/>
        <w:rPr>
          <w:sz w:val="20"/>
          <w:szCs w:val="20"/>
          <w:color w:val="auto"/>
        </w:rPr>
      </w:pPr>
    </w:p>
    <w:p>
      <w:pPr>
        <w:jc w:val="both"/>
        <w:ind w:left="380" w:right="380"/>
        <w:spacing w:after="0" w:line="257" w:lineRule="auto"/>
        <w:rPr>
          <w:sz w:val="20"/>
          <w:szCs w:val="20"/>
          <w:color w:val="auto"/>
        </w:rPr>
      </w:pPr>
      <w:r>
        <w:rPr>
          <w:rFonts w:ascii="Arial" w:cs="Arial" w:eastAsia="Arial" w:hAnsi="Arial"/>
          <w:sz w:val="19"/>
          <w:szCs w:val="19"/>
          <w:color w:val="auto"/>
        </w:rPr>
        <w:t>In addition to the matters described above, there are other various claims, lawsuits and administrative proceedings pending or threatened against Ashland and its current and former subsidiaries. Such actions are with respect to commercial matters, product liability, toxic tort liability, and other environmental matters, which seek remedies or damages, some of which are for substantial amounts. While Ashland cannot predict with certainty the outcome of such actions, it believes that adequate reserves have been recorded and losses already recognized with respect to such actions were immaterial as of June 30, 2023. There is a reasonable possibility that a loss exceeding amounts already recognized may be incurred related to these actions; however, Ashland believes that such potential losses were immaterial as of June 30, 2023.</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M – EARNINGS PER SHARE</w:t>
      </w:r>
    </w:p>
    <w:p>
      <w:pPr>
        <w:spacing w:after="0" w:line="114" w:lineRule="exact"/>
        <w:rPr>
          <w:sz w:val="20"/>
          <w:szCs w:val="20"/>
          <w:color w:val="auto"/>
        </w:rPr>
      </w:pPr>
    </w:p>
    <w:p>
      <w:pPr>
        <w:jc w:val="both"/>
        <w:ind w:left="380" w:right="380"/>
        <w:spacing w:after="0" w:line="243" w:lineRule="auto"/>
        <w:rPr>
          <w:sz w:val="20"/>
          <w:szCs w:val="20"/>
          <w:color w:val="auto"/>
        </w:rPr>
      </w:pPr>
      <w:r>
        <w:rPr>
          <w:rFonts w:ascii="Arial" w:cs="Arial" w:eastAsia="Arial" w:hAnsi="Arial"/>
          <w:sz w:val="20"/>
          <w:szCs w:val="20"/>
          <w:color w:val="auto"/>
        </w:rPr>
        <w:t>The following is the computation of basic and diluted earnings per share (EPS) from continuing operations attributable to Ashland. Stock appreciation rights (SARs), stock options and warrants available to purchase shares outstanding for each reporting period whose exercise price was greater than the average market price of Ashland Common Stock for each applicable period were not included in the computation of income from continuing operations per diluted share because the effect of these instruments would be antidilutive. The total number of these shares outstanding was approximately 1 million at June 30, 2023 and 2022, respectively. The majority of these shares are for warrants with a strike price of $128.66. Earnings per share is reported under the treasury stock method.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00" w:type="dxa"/>
            <w:vAlign w:val="bottom"/>
          </w:tcPr>
          <w:p>
            <w:pPr>
              <w:spacing w:after="0"/>
              <w:rPr>
                <w:sz w:val="21"/>
                <w:szCs w:val="21"/>
                <w:color w:val="auto"/>
              </w:rPr>
            </w:pPr>
          </w:p>
        </w:tc>
        <w:tc>
          <w:tcPr>
            <w:tcW w:w="44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2240" w:type="dxa"/>
            <w:vAlign w:val="bottom"/>
            <w:tcBorders>
              <w:top w:val="single" w:sz="8" w:color="auto"/>
            </w:tcBorders>
            <w:gridSpan w:val="4"/>
          </w:tcPr>
          <w:p>
            <w:pPr>
              <w:jc w:val="center"/>
              <w:ind w:right="290"/>
              <w:spacing w:after="0"/>
              <w:rPr>
                <w:sz w:val="20"/>
                <w:szCs w:val="20"/>
                <w:color w:val="auto"/>
              </w:rPr>
            </w:pPr>
            <w:r>
              <w:rPr>
                <w:rFonts w:ascii="Arial" w:cs="Arial" w:eastAsia="Arial" w:hAnsi="Arial"/>
                <w:sz w:val="18"/>
                <w:szCs w:val="18"/>
                <w:color w:val="auto"/>
                <w:w w:val="87"/>
              </w:rPr>
              <w:t>Three months ended</w:t>
            </w:r>
          </w:p>
        </w:tc>
        <w:tc>
          <w:tcPr>
            <w:tcW w:w="16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2040" w:type="dxa"/>
            <w:vAlign w:val="bottom"/>
            <w:tcBorders>
              <w:top w:val="single" w:sz="8" w:color="auto"/>
            </w:tcBorders>
            <w:gridSpan w:val="4"/>
          </w:tcPr>
          <w:p>
            <w:pPr>
              <w:jc w:val="right"/>
              <w:ind w:right="390"/>
              <w:spacing w:after="0"/>
              <w:rPr>
                <w:sz w:val="20"/>
                <w:szCs w:val="20"/>
                <w:color w:val="auto"/>
              </w:rPr>
            </w:pPr>
            <w:r>
              <w:rPr>
                <w:rFonts w:ascii="Arial" w:cs="Arial" w:eastAsia="Arial" w:hAnsi="Arial"/>
                <w:sz w:val="18"/>
                <w:szCs w:val="18"/>
                <w:color w:val="auto"/>
                <w:w w:val="98"/>
              </w:rPr>
              <w:t>Nine months ended</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40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center"/>
              <w:ind w:left="550"/>
              <w:spacing w:after="0"/>
              <w:rPr>
                <w:sz w:val="20"/>
                <w:szCs w:val="20"/>
                <w:color w:val="auto"/>
              </w:rPr>
            </w:pPr>
            <w:r>
              <w:rPr>
                <w:rFonts w:ascii="Arial" w:cs="Arial" w:eastAsia="Arial" w:hAnsi="Arial"/>
                <w:sz w:val="18"/>
                <w:szCs w:val="18"/>
                <w:color w:val="auto"/>
                <w:w w:val="87"/>
              </w:rPr>
              <w:t>June 30</w:t>
            </w: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June 30</w:t>
            </w:r>
          </w:p>
        </w:tc>
        <w:tc>
          <w:tcPr>
            <w:tcW w:w="820" w:type="dxa"/>
            <w:vAlign w:val="bottom"/>
            <w:tcBorders>
              <w:bottom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0" w:type="dxa"/>
            <w:vAlign w:val="bottom"/>
          </w:tcPr>
          <w:p>
            <w:pPr>
              <w:spacing w:after="0"/>
              <w:rPr>
                <w:sz w:val="20"/>
                <w:szCs w:val="20"/>
                <w:color w:val="auto"/>
              </w:rPr>
            </w:pPr>
          </w:p>
        </w:tc>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 except per share data)</w:t>
            </w:r>
          </w:p>
        </w:tc>
        <w:tc>
          <w:tcPr>
            <w:tcW w:w="11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2023</w:t>
            </w:r>
          </w:p>
        </w:tc>
        <w:tc>
          <w:tcPr>
            <w:tcW w:w="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2022</w:t>
            </w:r>
          </w:p>
        </w:tc>
        <w:tc>
          <w:tcPr>
            <w:tcW w:w="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2023</w:t>
            </w: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2022</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44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Numerator</w:t>
            </w:r>
          </w:p>
        </w:tc>
        <w:tc>
          <w:tcPr>
            <w:tcW w:w="1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00" w:type="dxa"/>
            <w:vAlign w:val="bottom"/>
          </w:tcPr>
          <w:p>
            <w:pPr>
              <w:spacing w:after="0"/>
              <w:rPr>
                <w:sz w:val="18"/>
                <w:szCs w:val="18"/>
                <w:color w:val="auto"/>
              </w:rPr>
            </w:pPr>
          </w:p>
        </w:tc>
        <w:tc>
          <w:tcPr>
            <w:tcW w:w="4400" w:type="dxa"/>
            <w:vAlign w:val="bottom"/>
          </w:tcPr>
          <w:p>
            <w:pPr>
              <w:ind w:left="20"/>
              <w:spacing w:after="0"/>
              <w:rPr>
                <w:sz w:val="20"/>
                <w:szCs w:val="20"/>
                <w:color w:val="auto"/>
              </w:rPr>
            </w:pPr>
            <w:r>
              <w:rPr>
                <w:rFonts w:ascii="Arial" w:cs="Arial" w:eastAsia="Arial" w:hAnsi="Arial"/>
                <w:sz w:val="18"/>
                <w:szCs w:val="18"/>
                <w:color w:val="auto"/>
              </w:rPr>
              <w:t>Numerator for basic and diluted EPS -</w:t>
            </w:r>
          </w:p>
        </w:tc>
        <w:tc>
          <w:tcPr>
            <w:tcW w:w="14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ind w:right="50"/>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18"/>
                <w:szCs w:val="18"/>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ind w:right="50"/>
              <w:spacing w:after="0"/>
              <w:rPr>
                <w:sz w:val="20"/>
                <w:szCs w:val="20"/>
                <w:color w:val="auto"/>
              </w:rPr>
            </w:pPr>
            <w:r>
              <w:rPr>
                <w:rFonts w:ascii="Arial" w:cs="Arial" w:eastAsia="Arial" w:hAnsi="Arial"/>
                <w:sz w:val="18"/>
                <w:szCs w:val="18"/>
                <w:color w:val="auto"/>
              </w:rPr>
              <w:t>51</w:t>
            </w:r>
          </w:p>
        </w:tc>
        <w:tc>
          <w:tcPr>
            <w:tcW w:w="3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ind w:right="50"/>
              <w:spacing w:after="0"/>
              <w:rPr>
                <w:sz w:val="20"/>
                <w:szCs w:val="20"/>
                <w:color w:val="auto"/>
              </w:rPr>
            </w:pPr>
            <w:r>
              <w:rPr>
                <w:rFonts w:ascii="Arial" w:cs="Arial" w:eastAsia="Arial" w:hAnsi="Arial"/>
                <w:sz w:val="18"/>
                <w:szCs w:val="18"/>
                <w:color w:val="auto"/>
              </w:rPr>
              <w:t>176</w:t>
            </w:r>
          </w:p>
        </w:tc>
        <w:tc>
          <w:tcPr>
            <w:tcW w:w="3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ind w:right="50"/>
              <w:spacing w:after="0"/>
              <w:rPr>
                <w:sz w:val="20"/>
                <w:szCs w:val="20"/>
                <w:color w:val="auto"/>
              </w:rPr>
            </w:pPr>
            <w:r>
              <w:rPr>
                <w:rFonts w:ascii="Arial" w:cs="Arial" w:eastAsia="Arial" w:hAnsi="Arial"/>
                <w:sz w:val="18"/>
                <w:szCs w:val="18"/>
                <w:color w:val="auto"/>
              </w:rPr>
              <w:t>121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4400" w:type="dxa"/>
            <w:vAlign w:val="bottom"/>
          </w:tcPr>
          <w:p>
            <w:pPr>
              <w:ind w:left="140"/>
              <w:spacing w:after="0" w:line="203" w:lineRule="exact"/>
              <w:rPr>
                <w:sz w:val="20"/>
                <w:szCs w:val="20"/>
                <w:color w:val="auto"/>
              </w:rPr>
            </w:pPr>
            <w:r>
              <w:rPr>
                <w:rFonts w:ascii="Arial" w:cs="Arial" w:eastAsia="Arial" w:hAnsi="Arial"/>
                <w:sz w:val="18"/>
                <w:szCs w:val="18"/>
                <w:color w:val="auto"/>
              </w:rPr>
              <w:t>Income from continuing operations</w:t>
            </w:r>
          </w:p>
        </w:tc>
        <w:tc>
          <w:tcPr>
            <w:tcW w:w="1400" w:type="dxa"/>
            <w:vAlign w:val="bottom"/>
            <w:gridSpan w:val="2"/>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380" w:type="dxa"/>
            <w:vAlign w:val="bottom"/>
            <w:gridSpan w:val="2"/>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0" w:type="dxa"/>
            <w:vAlign w:val="bottom"/>
          </w:tcPr>
          <w:p>
            <w:pPr>
              <w:spacing w:after="0"/>
              <w:rPr>
                <w:sz w:val="19"/>
                <w:szCs w:val="19"/>
                <w:color w:val="auto"/>
              </w:rPr>
            </w:pPr>
          </w:p>
        </w:tc>
        <w:tc>
          <w:tcPr>
            <w:tcW w:w="44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Denominator</w:t>
            </w: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00" w:type="dxa"/>
            <w:vAlign w:val="bottom"/>
          </w:tcPr>
          <w:p>
            <w:pPr>
              <w:spacing w:after="0"/>
              <w:rPr>
                <w:sz w:val="18"/>
                <w:szCs w:val="18"/>
                <w:color w:val="auto"/>
              </w:rPr>
            </w:pPr>
          </w:p>
        </w:tc>
        <w:tc>
          <w:tcPr>
            <w:tcW w:w="4400" w:type="dxa"/>
            <w:vAlign w:val="bottom"/>
          </w:tcPr>
          <w:p>
            <w:pPr>
              <w:ind w:left="20"/>
              <w:spacing w:after="0"/>
              <w:rPr>
                <w:sz w:val="20"/>
                <w:szCs w:val="20"/>
                <w:color w:val="auto"/>
              </w:rPr>
            </w:pPr>
            <w:r>
              <w:rPr>
                <w:rFonts w:ascii="Arial" w:cs="Arial" w:eastAsia="Arial" w:hAnsi="Arial"/>
                <w:sz w:val="18"/>
                <w:szCs w:val="18"/>
                <w:color w:val="auto"/>
              </w:rPr>
              <w:t>Denominator for basic EPS - Weighted-</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0" w:type="dxa"/>
            <w:vAlign w:val="bottom"/>
          </w:tcPr>
          <w:p>
            <w:pPr>
              <w:spacing w:after="0"/>
              <w:rPr>
                <w:sz w:val="20"/>
                <w:szCs w:val="20"/>
                <w:color w:val="auto"/>
              </w:rPr>
            </w:pPr>
          </w:p>
        </w:tc>
        <w:tc>
          <w:tcPr>
            <w:tcW w:w="4400" w:type="dxa"/>
            <w:vAlign w:val="bottom"/>
          </w:tcPr>
          <w:p>
            <w:pPr>
              <w:ind w:left="140"/>
              <w:spacing w:after="0"/>
              <w:rPr>
                <w:sz w:val="20"/>
                <w:szCs w:val="20"/>
                <w:color w:val="auto"/>
              </w:rPr>
            </w:pPr>
            <w:r>
              <w:rPr>
                <w:rFonts w:ascii="Arial" w:cs="Arial" w:eastAsia="Arial" w:hAnsi="Arial"/>
                <w:sz w:val="18"/>
                <w:szCs w:val="18"/>
                <w:color w:val="auto"/>
              </w:rPr>
              <w:t>average common shares outstanding</w:t>
            </w: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56</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00" w:type="dxa"/>
            <w:vAlign w:val="bottom"/>
          </w:tcPr>
          <w:p>
            <w:pPr>
              <w:spacing w:after="0"/>
              <w:rPr>
                <w:sz w:val="21"/>
                <w:szCs w:val="21"/>
                <w:color w:val="auto"/>
              </w:rPr>
            </w:pPr>
          </w:p>
        </w:tc>
        <w:tc>
          <w:tcPr>
            <w:tcW w:w="4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Share based awards convertible to common shares</w:t>
            </w:r>
          </w:p>
        </w:tc>
        <w:tc>
          <w:tcPr>
            <w:tcW w:w="1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4400" w:type="dxa"/>
            <w:vAlign w:val="bottom"/>
          </w:tcPr>
          <w:p>
            <w:pPr>
              <w:ind w:left="20"/>
              <w:spacing w:after="0"/>
              <w:rPr>
                <w:sz w:val="20"/>
                <w:szCs w:val="20"/>
                <w:color w:val="auto"/>
              </w:rPr>
            </w:pPr>
            <w:r>
              <w:rPr>
                <w:rFonts w:ascii="Arial" w:cs="Arial" w:eastAsia="Arial" w:hAnsi="Arial"/>
                <w:sz w:val="18"/>
                <w:szCs w:val="18"/>
                <w:color w:val="auto"/>
              </w:rPr>
              <w:t>Denominator for diluted EPS - Adjusted weighted-</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vMerge w:val="restart"/>
          </w:tcPr>
          <w:p>
            <w:pPr>
              <w:jc w:val="right"/>
              <w:ind w:right="50"/>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vMerge w:val="restart"/>
          </w:tcPr>
          <w:p>
            <w:pPr>
              <w:jc w:val="right"/>
              <w:ind w:right="50"/>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vMerge w:val="restart"/>
          </w:tcPr>
          <w:p>
            <w:pPr>
              <w:jc w:val="right"/>
              <w:ind w:right="50"/>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restart"/>
          </w:tcPr>
          <w:p>
            <w:pPr>
              <w:jc w:val="right"/>
              <w:ind w:right="50"/>
              <w:spacing w:after="0"/>
              <w:rPr>
                <w:sz w:val="20"/>
                <w:szCs w:val="20"/>
                <w:color w:val="auto"/>
              </w:rPr>
            </w:pPr>
            <w:r>
              <w:rPr>
                <w:rFonts w:ascii="Arial" w:cs="Arial" w:eastAsia="Arial" w:hAnsi="Arial"/>
                <w:sz w:val="18"/>
                <w:szCs w:val="18"/>
                <w:color w:val="auto"/>
              </w:rPr>
              <w:t>57</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4400" w:type="dxa"/>
            <w:vAlign w:val="bottom"/>
          </w:tcPr>
          <w:p>
            <w:pPr>
              <w:ind w:left="140"/>
              <w:spacing w:after="0" w:line="203" w:lineRule="exact"/>
              <w:rPr>
                <w:sz w:val="20"/>
                <w:szCs w:val="20"/>
                <w:color w:val="auto"/>
              </w:rPr>
            </w:pPr>
            <w:r>
              <w:rPr>
                <w:rFonts w:ascii="Arial" w:cs="Arial" w:eastAsia="Arial" w:hAnsi="Arial"/>
                <w:sz w:val="18"/>
                <w:szCs w:val="18"/>
                <w:color w:val="auto"/>
              </w:rPr>
              <w:t>average shares and assumed conversions</w:t>
            </w:r>
          </w:p>
        </w:tc>
        <w:tc>
          <w:tcPr>
            <w:tcW w:w="1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0" w:type="dxa"/>
            <w:vAlign w:val="bottom"/>
          </w:tcPr>
          <w:p>
            <w:pPr>
              <w:spacing w:after="0"/>
              <w:rPr>
                <w:sz w:val="19"/>
                <w:szCs w:val="19"/>
                <w:color w:val="auto"/>
              </w:rPr>
            </w:pPr>
          </w:p>
        </w:tc>
        <w:tc>
          <w:tcPr>
            <w:tcW w:w="44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EPS from continuing operations</w:t>
            </w: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0" w:type="dxa"/>
            <w:vAlign w:val="bottom"/>
          </w:tcPr>
          <w:p>
            <w:pPr>
              <w:spacing w:after="0"/>
              <w:rPr>
                <w:sz w:val="20"/>
                <w:szCs w:val="20"/>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Basic</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0.81</w:t>
            </w:r>
          </w:p>
        </w:tc>
        <w:tc>
          <w:tcPr>
            <w:tcW w:w="16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0.94</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3.29</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2.16</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00" w:type="dxa"/>
            <w:vAlign w:val="bottom"/>
          </w:tcPr>
          <w:p>
            <w:pPr>
              <w:spacing w:after="0"/>
              <w:rPr>
                <w:sz w:val="21"/>
                <w:szCs w:val="21"/>
                <w:color w:val="auto"/>
              </w:rPr>
            </w:pPr>
          </w:p>
        </w:tc>
        <w:tc>
          <w:tcPr>
            <w:tcW w:w="44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Diluted</w:t>
            </w:r>
          </w:p>
        </w:tc>
        <w:tc>
          <w:tcPr>
            <w:tcW w:w="1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0.79</w:t>
            </w: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0.93</w:t>
            </w: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3.24</w:t>
            </w: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2.12</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44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4"/>
        </w:trPr>
        <w:tc>
          <w:tcPr>
            <w:tcW w:w="40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00" w:type="dxa"/>
            <w:vAlign w:val="bottom"/>
            <w:tcBorders>
              <w:bottom w:val="single" w:sz="8" w:color="9A9A9A"/>
            </w:tcBorders>
          </w:tcPr>
          <w:p>
            <w:pPr>
              <w:spacing w:after="0"/>
              <w:rPr>
                <w:sz w:val="8"/>
                <w:szCs w:val="8"/>
                <w:color w:val="auto"/>
              </w:rPr>
            </w:pPr>
          </w:p>
        </w:tc>
        <w:tc>
          <w:tcPr>
            <w:tcW w:w="440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-1285240</wp:posOffset>
            </wp:positionV>
            <wp:extent cx="102870" cy="3003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02870" cy="3003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-1285240</wp:posOffset>
            </wp:positionV>
            <wp:extent cx="102870" cy="3003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02870" cy="3003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-1285240</wp:posOffset>
            </wp:positionV>
            <wp:extent cx="102870" cy="3003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02870" cy="3003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1" w:name="page22"/>
    <w:bookmarkEnd w:id="21"/>
    <w:p>
      <w:pPr>
        <w:spacing w:after="0"/>
        <w:rPr>
          <w:sz w:val="20"/>
          <w:szCs w:val="20"/>
          <w:color w:val="auto"/>
        </w:rPr>
      </w:pPr>
      <w:r>
        <w:rPr>
          <w:rFonts w:ascii="Arial" w:cs="Arial" w:eastAsia="Arial" w:hAnsi="Arial"/>
          <w:sz w:val="20"/>
          <w:szCs w:val="20"/>
          <w:b w:val="1"/>
          <w:bCs w:val="1"/>
          <w:color w:val="auto"/>
        </w:rPr>
        <w:t>NOTE N – EQUITY ITEMS</w:t>
      </w:r>
    </w:p>
    <w:p>
      <w:pPr>
        <w:spacing w:after="0" w:line="108"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2023 Stock repurchase program</w:t>
      </w:r>
    </w:p>
    <w:p>
      <w:pPr>
        <w:spacing w:after="0" w:line="114" w:lineRule="exact"/>
        <w:rPr>
          <w:sz w:val="20"/>
          <w:szCs w:val="20"/>
          <w:color w:val="auto"/>
        </w:rPr>
      </w:pPr>
    </w:p>
    <w:p>
      <w:pPr>
        <w:jc w:val="both"/>
        <w:ind w:left="380"/>
        <w:spacing w:after="0" w:line="250" w:lineRule="auto"/>
        <w:rPr>
          <w:sz w:val="20"/>
          <w:szCs w:val="20"/>
          <w:color w:val="auto"/>
        </w:rPr>
      </w:pPr>
      <w:r>
        <w:rPr>
          <w:rFonts w:ascii="Arial" w:cs="Arial" w:eastAsia="Arial" w:hAnsi="Arial"/>
          <w:sz w:val="20"/>
          <w:szCs w:val="20"/>
          <w:color w:val="auto"/>
        </w:rPr>
        <w:t>On June 28, 2023, Ashland's board of directors authorized a new evergreen $1 billion common share repurchase program (2023 stock repurchase program). The new authorization terminates and replaces the company's 2022 stock repurchase program, which had $200 million outstanding at the date of termination.</w:t>
      </w:r>
    </w:p>
    <w:p>
      <w:pPr>
        <w:spacing w:after="0" w:line="72"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Stock repurchase program agreements</w:t>
      </w:r>
    </w:p>
    <w:p>
      <w:pPr>
        <w:spacing w:after="0" w:line="114" w:lineRule="exact"/>
        <w:rPr>
          <w:sz w:val="20"/>
          <w:szCs w:val="20"/>
          <w:color w:val="auto"/>
        </w:rPr>
      </w:pPr>
    </w:p>
    <w:p>
      <w:pPr>
        <w:jc w:val="both"/>
        <w:ind w:left="380"/>
        <w:spacing w:after="0" w:line="250" w:lineRule="auto"/>
        <w:rPr>
          <w:sz w:val="20"/>
          <w:szCs w:val="20"/>
          <w:color w:val="auto"/>
        </w:rPr>
      </w:pPr>
      <w:r>
        <w:rPr>
          <w:rFonts w:ascii="Arial" w:cs="Arial" w:eastAsia="Arial" w:hAnsi="Arial"/>
          <w:sz w:val="20"/>
          <w:szCs w:val="20"/>
          <w:color w:val="auto"/>
        </w:rPr>
        <w:t>During May 2023, under the 2022 stock repurchase program, Ashland initiated a Rule 10b5-1 trading plan agreement to repurchase up to $100 million of its outstanding shares. The program was completed during June 2023, when Ashland paid a total of $100 million and received a delivery of 1.1 million shares of common stock.</w:t>
      </w:r>
    </w:p>
    <w:p>
      <w:pPr>
        <w:spacing w:after="0" w:line="78" w:lineRule="exact"/>
        <w:rPr>
          <w:sz w:val="20"/>
          <w:szCs w:val="20"/>
          <w:color w:val="auto"/>
        </w:rPr>
      </w:pPr>
    </w:p>
    <w:p>
      <w:pPr>
        <w:jc w:val="both"/>
        <w:ind w:left="380"/>
        <w:spacing w:after="0" w:line="250" w:lineRule="auto"/>
        <w:rPr>
          <w:sz w:val="20"/>
          <w:szCs w:val="20"/>
          <w:color w:val="auto"/>
        </w:rPr>
      </w:pPr>
      <w:r>
        <w:rPr>
          <w:rFonts w:ascii="Arial" w:cs="Arial" w:eastAsia="Arial" w:hAnsi="Arial"/>
          <w:sz w:val="20"/>
          <w:szCs w:val="20"/>
          <w:color w:val="auto"/>
        </w:rPr>
        <w:t>During March 2023, under the 2022 stock repurchase program, Ashland initiated a Rule 10b5-1 trading plan agreement to repurchase up to $100 million of its outstanding shares. The program was completed during April 2023, when Ashland paid a total of $100 million and received a delivery of 1.0 million shares of common stock.</w:t>
      </w:r>
    </w:p>
    <w:p>
      <w:pPr>
        <w:spacing w:after="0" w:line="78" w:lineRule="exact"/>
        <w:rPr>
          <w:sz w:val="20"/>
          <w:szCs w:val="20"/>
          <w:color w:val="auto"/>
        </w:rPr>
      </w:pPr>
    </w:p>
    <w:p>
      <w:pPr>
        <w:jc w:val="both"/>
        <w:ind w:left="380"/>
        <w:spacing w:after="0" w:line="250" w:lineRule="auto"/>
        <w:rPr>
          <w:sz w:val="20"/>
          <w:szCs w:val="20"/>
          <w:color w:val="auto"/>
        </w:rPr>
      </w:pPr>
      <w:r>
        <w:rPr>
          <w:rFonts w:ascii="Arial" w:cs="Arial" w:eastAsia="Arial" w:hAnsi="Arial"/>
          <w:sz w:val="20"/>
          <w:szCs w:val="20"/>
          <w:color w:val="auto"/>
        </w:rPr>
        <w:t>During February 2023, under the 2022 stock repurchase program, Ashland initiated a Rule 10b5-1 trading plan agreement to repurchase up to $ 100 million of its outstanding shares. The program was completed during February 2023, when Ashland paid a total of $100 million and received a delivery of 1.0 million shares of common stock.</w:t>
      </w:r>
    </w:p>
    <w:p>
      <w:pPr>
        <w:spacing w:after="0" w:line="78" w:lineRule="exact"/>
        <w:rPr>
          <w:sz w:val="20"/>
          <w:szCs w:val="20"/>
          <w:color w:val="auto"/>
        </w:rPr>
      </w:pPr>
    </w:p>
    <w:p>
      <w:pPr>
        <w:jc w:val="both"/>
        <w:ind w:left="380"/>
        <w:spacing w:after="0" w:line="269" w:lineRule="auto"/>
        <w:rPr>
          <w:sz w:val="20"/>
          <w:szCs w:val="20"/>
          <w:color w:val="auto"/>
        </w:rPr>
      </w:pPr>
      <w:r>
        <w:rPr>
          <w:rFonts w:ascii="Arial" w:cs="Arial" w:eastAsia="Arial" w:hAnsi="Arial"/>
          <w:sz w:val="19"/>
          <w:szCs w:val="19"/>
          <w:color w:val="auto"/>
        </w:rPr>
        <w:t>On March 1, 2022, under the 2018 stock repurchase program, Ashland entered into an agreement to repurchase an aggregate amount of $200 million of Ashland common stock using open-market purchases under rule 10b-18. On April 8, 2022, Ashland completed repurchases under this agreement repurchasing a total of 2.15 million shares for a total amount of $200 million.</w:t>
      </w:r>
    </w:p>
    <w:p>
      <w:pPr>
        <w:spacing w:after="0" w:line="56"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Stockholder dividends</w:t>
      </w:r>
    </w:p>
    <w:p>
      <w:pPr>
        <w:spacing w:after="0" w:line="114" w:lineRule="exact"/>
        <w:rPr>
          <w:sz w:val="20"/>
          <w:szCs w:val="20"/>
          <w:color w:val="auto"/>
        </w:rPr>
      </w:pPr>
    </w:p>
    <w:p>
      <w:pPr>
        <w:jc w:val="both"/>
        <w:ind w:left="380"/>
        <w:spacing w:after="0" w:line="246" w:lineRule="auto"/>
        <w:rPr>
          <w:sz w:val="20"/>
          <w:szCs w:val="20"/>
          <w:color w:val="auto"/>
        </w:rPr>
      </w:pPr>
      <w:r>
        <w:rPr>
          <w:rFonts w:ascii="Arial" w:cs="Arial" w:eastAsia="Arial" w:hAnsi="Arial"/>
          <w:sz w:val="20"/>
          <w:szCs w:val="20"/>
          <w:color w:val="auto"/>
        </w:rPr>
        <w:t>On May 11, 2023, Ashland's Board declared a quarterly cash dividend of $0.385 per share on the company's common stock representing a 15 percent increase from the previous quarter. The dividend was paid in the third quarter of fiscal 2023. Dividends of $0.335 per share were paid in the first and second quarters of fiscal 2023 and the third quarter of fiscal 2022 and $0.30 per share were paid in the first and second quarters of fiscal 2022.</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Accumulated other comprehensive income (loss)</w:t>
      </w:r>
    </w:p>
    <w:p>
      <w:pPr>
        <w:spacing w:after="0" w:line="114" w:lineRule="exact"/>
        <w:rPr>
          <w:sz w:val="20"/>
          <w:szCs w:val="20"/>
          <w:color w:val="auto"/>
        </w:rPr>
      </w:pPr>
    </w:p>
    <w:p>
      <w:pPr>
        <w:jc w:val="both"/>
        <w:ind w:left="380"/>
        <w:spacing w:after="0" w:line="260" w:lineRule="auto"/>
        <w:rPr>
          <w:sz w:val="20"/>
          <w:szCs w:val="20"/>
          <w:color w:val="auto"/>
        </w:rPr>
      </w:pPr>
      <w:r>
        <w:rPr>
          <w:rFonts w:ascii="Arial" w:cs="Arial" w:eastAsia="Arial" w:hAnsi="Arial"/>
          <w:sz w:val="20"/>
          <w:szCs w:val="20"/>
          <w:color w:val="auto"/>
        </w:rPr>
        <w:t>Components of other comprehensive income (loss) recorded in the Statements of Consolidated Comprehensive Income (Loss) are presented below, before tax and net of tax effects.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00" w:type="dxa"/>
            <w:vAlign w:val="bottom"/>
          </w:tcPr>
          <w:p>
            <w:pPr>
              <w:spacing w:after="0"/>
              <w:rPr>
                <w:sz w:val="21"/>
                <w:szCs w:val="21"/>
                <w:color w:val="auto"/>
              </w:rPr>
            </w:pPr>
          </w:p>
        </w:tc>
        <w:tc>
          <w:tcPr>
            <w:tcW w:w="4160" w:type="dxa"/>
            <w:vAlign w:val="bottom"/>
            <w:tcBorders>
              <w:top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center"/>
              <w:ind w:right="190"/>
              <w:spacing w:after="0"/>
              <w:rPr>
                <w:sz w:val="20"/>
                <w:szCs w:val="20"/>
                <w:color w:val="auto"/>
              </w:rPr>
            </w:pPr>
            <w:r>
              <w:rPr>
                <w:rFonts w:ascii="Arial" w:cs="Arial" w:eastAsia="Arial" w:hAnsi="Arial"/>
                <w:sz w:val="18"/>
                <w:szCs w:val="18"/>
                <w:color w:val="auto"/>
                <w:w w:val="89"/>
              </w:rPr>
              <w:t>2023</w:t>
            </w:r>
          </w:p>
        </w:tc>
        <w:tc>
          <w:tcPr>
            <w:tcW w:w="14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center"/>
              <w:ind w:right="170"/>
              <w:spacing w:after="0"/>
              <w:rPr>
                <w:sz w:val="20"/>
                <w:szCs w:val="20"/>
                <w:color w:val="auto"/>
              </w:rPr>
            </w:pPr>
            <w:r>
              <w:rPr>
                <w:rFonts w:ascii="Arial" w:cs="Arial" w:eastAsia="Arial" w:hAnsi="Arial"/>
                <w:sz w:val="18"/>
                <w:szCs w:val="18"/>
                <w:color w:val="auto"/>
                <w:w w:val="89"/>
              </w:rPr>
              <w:t>2022</w:t>
            </w:r>
          </w:p>
        </w:tc>
        <w:tc>
          <w:tcPr>
            <w:tcW w:w="14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spacing w:after="0"/>
              <w:rPr>
                <w:sz w:val="21"/>
                <w:szCs w:val="21"/>
                <w:color w:val="auto"/>
              </w:rPr>
            </w:pPr>
          </w:p>
        </w:tc>
        <w:tc>
          <w:tcPr>
            <w:tcW w:w="400" w:type="dxa"/>
            <w:vAlign w:val="bottom"/>
          </w:tcPr>
          <w:p>
            <w:pPr>
              <w:spacing w:after="0"/>
              <w:rPr>
                <w:sz w:val="21"/>
                <w:szCs w:val="21"/>
                <w:color w:val="auto"/>
              </w:rPr>
            </w:pPr>
          </w:p>
        </w:tc>
      </w:tr>
      <w:tr>
        <w:trPr>
          <w:trHeight w:val="215"/>
        </w:trPr>
        <w:tc>
          <w:tcPr>
            <w:tcW w:w="40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center"/>
              <w:ind w:right="230"/>
              <w:spacing w:after="0"/>
              <w:rPr>
                <w:sz w:val="20"/>
                <w:szCs w:val="20"/>
                <w:color w:val="auto"/>
              </w:rPr>
            </w:pPr>
            <w:r>
              <w:rPr>
                <w:rFonts w:ascii="Arial" w:cs="Arial" w:eastAsia="Arial" w:hAnsi="Arial"/>
                <w:sz w:val="18"/>
                <w:szCs w:val="18"/>
                <w:color w:val="auto"/>
                <w:w w:val="93"/>
              </w:rPr>
              <w:t>Tax</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center"/>
              <w:ind w:right="230"/>
              <w:spacing w:after="0"/>
              <w:rPr>
                <w:sz w:val="20"/>
                <w:szCs w:val="20"/>
                <w:color w:val="auto"/>
              </w:rPr>
            </w:pPr>
            <w:r>
              <w:rPr>
                <w:rFonts w:ascii="Arial" w:cs="Arial" w:eastAsia="Arial" w:hAnsi="Arial"/>
                <w:sz w:val="18"/>
                <w:szCs w:val="18"/>
                <w:color w:val="auto"/>
                <w:w w:val="86"/>
              </w:rPr>
              <w:t>Tax</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190"/>
              <w:spacing w:after="0"/>
              <w:rPr>
                <w:sz w:val="20"/>
                <w:szCs w:val="20"/>
                <w:color w:val="auto"/>
              </w:rPr>
            </w:pPr>
            <w:r>
              <w:rPr>
                <w:rFonts w:ascii="Arial" w:cs="Arial" w:eastAsia="Arial" w:hAnsi="Arial"/>
                <w:sz w:val="18"/>
                <w:szCs w:val="18"/>
                <w:color w:val="auto"/>
                <w:w w:val="90"/>
              </w:rPr>
              <w:t>Before</w:t>
            </w:r>
          </w:p>
        </w:tc>
        <w:tc>
          <w:tcPr>
            <w:tcW w:w="140" w:type="dxa"/>
            <w:vAlign w:val="bottom"/>
          </w:tcPr>
          <w:p>
            <w:pPr>
              <w:spacing w:after="0"/>
              <w:rPr>
                <w:sz w:val="18"/>
                <w:szCs w:val="18"/>
                <w:color w:val="auto"/>
              </w:rPr>
            </w:pPr>
          </w:p>
        </w:tc>
        <w:tc>
          <w:tcPr>
            <w:tcW w:w="1000" w:type="dxa"/>
            <w:vAlign w:val="bottom"/>
            <w:gridSpan w:val="2"/>
          </w:tcPr>
          <w:p>
            <w:pPr>
              <w:jc w:val="center"/>
              <w:ind w:right="50"/>
              <w:spacing w:after="0"/>
              <w:rPr>
                <w:sz w:val="20"/>
                <w:szCs w:val="20"/>
                <w:color w:val="auto"/>
              </w:rPr>
            </w:pPr>
            <w:r>
              <w:rPr>
                <w:rFonts w:ascii="Arial" w:cs="Arial" w:eastAsia="Arial" w:hAnsi="Arial"/>
                <w:sz w:val="18"/>
                <w:szCs w:val="18"/>
                <w:color w:val="auto"/>
                <w:w w:val="87"/>
              </w:rPr>
              <w:t>(expense)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color w:val="auto"/>
                <w:w w:val="91"/>
              </w:rPr>
              <w:t>Net of</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color w:val="auto"/>
                <w:w w:val="90"/>
              </w:rPr>
              <w:t>Before</w:t>
            </w:r>
          </w:p>
        </w:tc>
        <w:tc>
          <w:tcPr>
            <w:tcW w:w="140" w:type="dxa"/>
            <w:vAlign w:val="bottom"/>
          </w:tcPr>
          <w:p>
            <w:pPr>
              <w:spacing w:after="0"/>
              <w:rPr>
                <w:sz w:val="18"/>
                <w:szCs w:val="18"/>
                <w:color w:val="auto"/>
              </w:rPr>
            </w:pPr>
          </w:p>
        </w:tc>
        <w:tc>
          <w:tcPr>
            <w:tcW w:w="1000" w:type="dxa"/>
            <w:vAlign w:val="bottom"/>
            <w:gridSpan w:val="2"/>
          </w:tcPr>
          <w:p>
            <w:pPr>
              <w:jc w:val="center"/>
              <w:ind w:right="90"/>
              <w:spacing w:after="0"/>
              <w:rPr>
                <w:sz w:val="20"/>
                <w:szCs w:val="20"/>
                <w:color w:val="auto"/>
              </w:rPr>
            </w:pPr>
            <w:r>
              <w:rPr>
                <w:rFonts w:ascii="Arial" w:cs="Arial" w:eastAsia="Arial" w:hAnsi="Arial"/>
                <w:sz w:val="18"/>
                <w:szCs w:val="18"/>
                <w:color w:val="auto"/>
                <w:w w:val="87"/>
              </w:rPr>
              <w:t>(expense)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color w:val="auto"/>
                <w:w w:val="91"/>
              </w:rPr>
              <w:t>Net of</w:t>
            </w:r>
          </w:p>
        </w:tc>
        <w:tc>
          <w:tcPr>
            <w:tcW w:w="400" w:type="dxa"/>
            <w:vAlign w:val="bottom"/>
          </w:tcPr>
          <w:p>
            <w:pPr>
              <w:spacing w:after="0"/>
              <w:rPr>
                <w:sz w:val="18"/>
                <w:szCs w:val="18"/>
                <w:color w:val="auto"/>
              </w:rPr>
            </w:pPr>
          </w:p>
        </w:tc>
      </w:tr>
      <w:tr>
        <w:trPr>
          <w:trHeight w:val="237"/>
        </w:trPr>
        <w:tc>
          <w:tcPr>
            <w:tcW w:w="400" w:type="dxa"/>
            <w:vAlign w:val="bottom"/>
          </w:tcPr>
          <w:p>
            <w:pPr>
              <w:spacing w:after="0"/>
              <w:rPr>
                <w:sz w:val="20"/>
                <w:szCs w:val="20"/>
                <w:color w:val="auto"/>
              </w:rPr>
            </w:pPr>
          </w:p>
        </w:tc>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tax</w:t>
            </w: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2"/>
              </w:rPr>
              <w:t>benefit</w:t>
            </w: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tax</w:t>
            </w: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tax</w:t>
            </w: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92"/>
              </w:rPr>
              <w:t>benefit</w:t>
            </w: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tax</w:t>
            </w:r>
          </w:p>
        </w:tc>
        <w:tc>
          <w:tcPr>
            <w:tcW w:w="400" w:type="dxa"/>
            <w:vAlign w:val="bottom"/>
          </w:tcPr>
          <w:p>
            <w:pPr>
              <w:spacing w:after="0"/>
              <w:rPr>
                <w:sz w:val="20"/>
                <w:szCs w:val="20"/>
                <w:color w:val="auto"/>
              </w:rPr>
            </w:pPr>
          </w:p>
        </w:tc>
      </w:tr>
      <w:tr>
        <w:trPr>
          <w:trHeight w:val="243"/>
        </w:trPr>
        <w:tc>
          <w:tcPr>
            <w:tcW w:w="400" w:type="dxa"/>
            <w:vAlign w:val="bottom"/>
          </w:tcPr>
          <w:p>
            <w:pPr>
              <w:spacing w:after="0"/>
              <w:rPr>
                <w:sz w:val="21"/>
                <w:szCs w:val="21"/>
                <w:color w:val="auto"/>
              </w:rPr>
            </w:pPr>
          </w:p>
        </w:tc>
        <w:tc>
          <w:tcPr>
            <w:tcW w:w="41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Three months ended June 30</w:t>
            </w:r>
          </w:p>
        </w:tc>
        <w:tc>
          <w:tcPr>
            <w:tcW w:w="10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400" w:type="dxa"/>
            <w:vAlign w:val="bottom"/>
          </w:tcPr>
          <w:p>
            <w:pPr>
              <w:spacing w:after="0"/>
              <w:rPr>
                <w:sz w:val="21"/>
                <w:szCs w:val="21"/>
                <w:color w:val="auto"/>
              </w:rPr>
            </w:pPr>
          </w:p>
        </w:tc>
      </w:tr>
      <w:tr>
        <w:trPr>
          <w:trHeight w:val="237"/>
        </w:trPr>
        <w:tc>
          <w:tcPr>
            <w:tcW w:w="400" w:type="dxa"/>
            <w:vAlign w:val="bottom"/>
          </w:tcPr>
          <w:p>
            <w:pPr>
              <w:spacing w:after="0"/>
              <w:rPr>
                <w:sz w:val="20"/>
                <w:szCs w:val="20"/>
                <w:color w:val="auto"/>
              </w:rPr>
            </w:pPr>
          </w:p>
        </w:tc>
        <w:tc>
          <w:tcPr>
            <w:tcW w:w="416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49"/>
        </w:trPr>
        <w:tc>
          <w:tcPr>
            <w:tcW w:w="400" w:type="dxa"/>
            <w:vAlign w:val="bottom"/>
          </w:tcPr>
          <w:p>
            <w:pPr>
              <w:spacing w:after="0"/>
              <w:rPr>
                <w:sz w:val="21"/>
                <w:szCs w:val="21"/>
                <w:color w:val="auto"/>
              </w:rPr>
            </w:pPr>
          </w:p>
        </w:tc>
        <w:tc>
          <w:tcPr>
            <w:tcW w:w="41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Unrealized translation gain (loss)</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(4 )</w:t>
            </w:r>
          </w:p>
        </w:tc>
        <w:tc>
          <w:tcPr>
            <w:tcW w:w="30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(4 )</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(86 )</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(86 )</w:t>
            </w:r>
          </w:p>
        </w:tc>
        <w:tc>
          <w:tcPr>
            <w:tcW w:w="400" w:type="dxa"/>
            <w:vAlign w:val="bottom"/>
          </w:tcPr>
          <w:p>
            <w:pPr>
              <w:spacing w:after="0"/>
              <w:rPr>
                <w:sz w:val="21"/>
                <w:szCs w:val="21"/>
                <w:color w:val="auto"/>
              </w:rPr>
            </w:pPr>
          </w:p>
        </w:tc>
      </w:tr>
      <w:tr>
        <w:trPr>
          <w:trHeight w:val="243"/>
        </w:trPr>
        <w:tc>
          <w:tcPr>
            <w:tcW w:w="400" w:type="dxa"/>
            <w:vAlign w:val="bottom"/>
          </w:tcPr>
          <w:p>
            <w:pPr>
              <w:spacing w:after="0"/>
              <w:rPr>
                <w:sz w:val="21"/>
                <w:szCs w:val="21"/>
                <w:color w:val="auto"/>
              </w:rPr>
            </w:pPr>
          </w:p>
        </w:tc>
        <w:tc>
          <w:tcPr>
            <w:tcW w:w="4160" w:type="dxa"/>
            <w:vAlign w:val="bottom"/>
          </w:tcPr>
          <w:p>
            <w:pPr>
              <w:ind w:left="200"/>
              <w:spacing w:after="0"/>
              <w:rPr>
                <w:sz w:val="20"/>
                <w:szCs w:val="20"/>
                <w:color w:val="auto"/>
              </w:rPr>
            </w:pPr>
            <w:r>
              <w:rPr>
                <w:rFonts w:ascii="Arial" w:cs="Arial" w:eastAsia="Arial" w:hAnsi="Arial"/>
                <w:sz w:val="18"/>
                <w:szCs w:val="18"/>
                <w:color w:val="auto"/>
              </w:rPr>
              <w:t>Unrealized gain (loss) on commodity hedges</w:t>
            </w: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(4 )</w:t>
            </w:r>
          </w:p>
        </w:tc>
        <w:tc>
          <w:tcPr>
            <w:tcW w:w="1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(3 )</w:t>
            </w:r>
          </w:p>
        </w:tc>
        <w:tc>
          <w:tcPr>
            <w:tcW w:w="400" w:type="dxa"/>
            <w:vAlign w:val="bottom"/>
          </w:tcPr>
          <w:p>
            <w:pPr>
              <w:spacing w:after="0"/>
              <w:rPr>
                <w:sz w:val="21"/>
                <w:szCs w:val="21"/>
                <w:color w:val="auto"/>
              </w:rPr>
            </w:pPr>
          </w:p>
        </w:tc>
      </w:tr>
      <w:tr>
        <w:trPr>
          <w:trHeight w:val="276"/>
        </w:trPr>
        <w:tc>
          <w:tcPr>
            <w:tcW w:w="400" w:type="dxa"/>
            <w:vAlign w:val="bottom"/>
          </w:tcPr>
          <w:p>
            <w:pPr>
              <w:spacing w:after="0"/>
              <w:rPr>
                <w:sz w:val="24"/>
                <w:szCs w:val="24"/>
                <w:color w:val="auto"/>
              </w:rPr>
            </w:pPr>
          </w:p>
        </w:tc>
        <w:tc>
          <w:tcPr>
            <w:tcW w:w="4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other comprehensive income (loss)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(3 )</w:t>
            </w:r>
          </w:p>
        </w:tc>
        <w:tc>
          <w:tcPr>
            <w:tcW w:w="1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(3 )</w:t>
            </w:r>
          </w:p>
        </w:tc>
        <w:tc>
          <w:tcPr>
            <w:tcW w:w="1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(90 )</w:t>
            </w:r>
          </w:p>
        </w:tc>
        <w:tc>
          <w:tcPr>
            <w:tcW w:w="1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(89 )</w:t>
            </w:r>
          </w:p>
        </w:tc>
        <w:tc>
          <w:tcPr>
            <w:tcW w:w="400" w:type="dxa"/>
            <w:vAlign w:val="bottom"/>
          </w:tcPr>
          <w:p>
            <w:pPr>
              <w:spacing w:after="0"/>
              <w:rPr>
                <w:sz w:val="24"/>
                <w:szCs w:val="24"/>
                <w:color w:val="auto"/>
              </w:rPr>
            </w:pPr>
          </w:p>
        </w:tc>
      </w:tr>
      <w:tr>
        <w:trPr>
          <w:trHeight w:val="224"/>
        </w:trPr>
        <w:tc>
          <w:tcPr>
            <w:tcW w:w="40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43"/>
        </w:trPr>
        <w:tc>
          <w:tcPr>
            <w:tcW w:w="400" w:type="dxa"/>
            <w:vAlign w:val="bottom"/>
          </w:tcPr>
          <w:p>
            <w:pPr>
              <w:spacing w:after="0"/>
              <w:rPr>
                <w:sz w:val="21"/>
                <w:szCs w:val="21"/>
                <w:color w:val="auto"/>
              </w:rPr>
            </w:pPr>
          </w:p>
        </w:tc>
        <w:tc>
          <w:tcPr>
            <w:tcW w:w="41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Nine months ended June 30</w:t>
            </w:r>
          </w:p>
        </w:tc>
        <w:tc>
          <w:tcPr>
            <w:tcW w:w="10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400" w:type="dxa"/>
            <w:vAlign w:val="bottom"/>
          </w:tcPr>
          <w:p>
            <w:pPr>
              <w:spacing w:after="0"/>
              <w:rPr>
                <w:sz w:val="21"/>
                <w:szCs w:val="21"/>
                <w:color w:val="auto"/>
              </w:rPr>
            </w:pPr>
          </w:p>
        </w:tc>
      </w:tr>
      <w:tr>
        <w:trPr>
          <w:trHeight w:val="237"/>
        </w:trPr>
        <w:tc>
          <w:tcPr>
            <w:tcW w:w="400" w:type="dxa"/>
            <w:vAlign w:val="bottom"/>
          </w:tcPr>
          <w:p>
            <w:pPr>
              <w:spacing w:after="0"/>
              <w:rPr>
                <w:sz w:val="20"/>
                <w:szCs w:val="20"/>
                <w:color w:val="auto"/>
              </w:rPr>
            </w:pPr>
          </w:p>
        </w:tc>
        <w:tc>
          <w:tcPr>
            <w:tcW w:w="416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49"/>
        </w:trPr>
        <w:tc>
          <w:tcPr>
            <w:tcW w:w="400" w:type="dxa"/>
            <w:vAlign w:val="bottom"/>
          </w:tcPr>
          <w:p>
            <w:pPr>
              <w:spacing w:after="0"/>
              <w:rPr>
                <w:sz w:val="21"/>
                <w:szCs w:val="21"/>
                <w:color w:val="auto"/>
              </w:rPr>
            </w:pPr>
          </w:p>
        </w:tc>
        <w:tc>
          <w:tcPr>
            <w:tcW w:w="41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Unrealized translation gain (loss)</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106</w:t>
            </w:r>
          </w:p>
        </w:tc>
        <w:tc>
          <w:tcPr>
            <w:tcW w:w="30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105</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(108 )</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(107 )</w:t>
            </w:r>
          </w:p>
        </w:tc>
        <w:tc>
          <w:tcPr>
            <w:tcW w:w="400" w:type="dxa"/>
            <w:vAlign w:val="bottom"/>
          </w:tcPr>
          <w:p>
            <w:pPr>
              <w:spacing w:after="0"/>
              <w:rPr>
                <w:sz w:val="21"/>
                <w:szCs w:val="21"/>
                <w:color w:val="auto"/>
              </w:rPr>
            </w:pPr>
          </w:p>
        </w:tc>
      </w:tr>
      <w:tr>
        <w:trPr>
          <w:trHeight w:val="243"/>
        </w:trPr>
        <w:tc>
          <w:tcPr>
            <w:tcW w:w="400" w:type="dxa"/>
            <w:vAlign w:val="bottom"/>
          </w:tcPr>
          <w:p>
            <w:pPr>
              <w:spacing w:after="0"/>
              <w:rPr>
                <w:sz w:val="21"/>
                <w:szCs w:val="21"/>
                <w:color w:val="auto"/>
              </w:rPr>
            </w:pPr>
          </w:p>
        </w:tc>
        <w:tc>
          <w:tcPr>
            <w:tcW w:w="4160" w:type="dxa"/>
            <w:vAlign w:val="bottom"/>
          </w:tcPr>
          <w:p>
            <w:pPr>
              <w:ind w:left="200"/>
              <w:spacing w:after="0"/>
              <w:rPr>
                <w:sz w:val="20"/>
                <w:szCs w:val="20"/>
                <w:color w:val="auto"/>
              </w:rPr>
            </w:pPr>
            <w:r>
              <w:rPr>
                <w:rFonts w:ascii="Arial" w:cs="Arial" w:eastAsia="Arial" w:hAnsi="Arial"/>
                <w:sz w:val="18"/>
                <w:szCs w:val="18"/>
                <w:color w:val="auto"/>
              </w:rPr>
              <w:t>Unrealized gain (loss) on commodity hedges</w:t>
            </w: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(8 )</w:t>
            </w: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(6 )</w:t>
            </w:r>
          </w:p>
        </w:tc>
        <w:tc>
          <w:tcPr>
            <w:tcW w:w="1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(3 )</w:t>
            </w:r>
          </w:p>
        </w:tc>
        <w:tc>
          <w:tcPr>
            <w:tcW w:w="1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(2 )</w:t>
            </w:r>
          </w:p>
        </w:tc>
        <w:tc>
          <w:tcPr>
            <w:tcW w:w="400" w:type="dxa"/>
            <w:vAlign w:val="bottom"/>
          </w:tcPr>
          <w:p>
            <w:pPr>
              <w:spacing w:after="0"/>
              <w:rPr>
                <w:sz w:val="21"/>
                <w:szCs w:val="21"/>
                <w:color w:val="auto"/>
              </w:rPr>
            </w:pPr>
          </w:p>
        </w:tc>
      </w:tr>
      <w:tr>
        <w:trPr>
          <w:trHeight w:val="276"/>
        </w:trPr>
        <w:tc>
          <w:tcPr>
            <w:tcW w:w="400" w:type="dxa"/>
            <w:vAlign w:val="bottom"/>
          </w:tcPr>
          <w:p>
            <w:pPr>
              <w:spacing w:after="0"/>
              <w:rPr>
                <w:sz w:val="24"/>
                <w:szCs w:val="24"/>
                <w:color w:val="auto"/>
              </w:rPr>
            </w:pPr>
          </w:p>
        </w:tc>
        <w:tc>
          <w:tcPr>
            <w:tcW w:w="4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other comprehensive income (loss)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98</w:t>
            </w:r>
          </w:p>
        </w:tc>
        <w:tc>
          <w:tcPr>
            <w:tcW w:w="1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99</w:t>
            </w:r>
          </w:p>
        </w:tc>
        <w:tc>
          <w:tcPr>
            <w:tcW w:w="1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(111 )</w:t>
            </w:r>
          </w:p>
        </w:tc>
        <w:tc>
          <w:tcPr>
            <w:tcW w:w="1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(109 )</w:t>
            </w:r>
          </w:p>
        </w:tc>
        <w:tc>
          <w:tcPr>
            <w:tcW w:w="400" w:type="dxa"/>
            <w:vAlign w:val="bottom"/>
          </w:tcPr>
          <w:p>
            <w:pPr>
              <w:spacing w:after="0"/>
              <w:rPr>
                <w:sz w:val="24"/>
                <w:szCs w:val="24"/>
                <w:color w:val="auto"/>
              </w:rPr>
            </w:pPr>
          </w:p>
        </w:tc>
      </w:tr>
      <w:tr>
        <w:trPr>
          <w:trHeight w:val="129"/>
        </w:trPr>
        <w:tc>
          <w:tcPr>
            <w:tcW w:w="400" w:type="dxa"/>
            <w:vAlign w:val="bottom"/>
          </w:tcPr>
          <w:p>
            <w:pPr>
              <w:spacing w:after="0"/>
              <w:rPr>
                <w:sz w:val="11"/>
                <w:szCs w:val="11"/>
                <w:color w:val="auto"/>
              </w:rPr>
            </w:pPr>
          </w:p>
        </w:tc>
        <w:tc>
          <w:tcPr>
            <w:tcW w:w="4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gridSpan w:val="2"/>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r>
      <w:tr>
        <w:trPr>
          <w:trHeight w:val="534"/>
        </w:trPr>
        <w:tc>
          <w:tcPr>
            <w:tcW w:w="40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gridSpan w:val="2"/>
          </w:tcPr>
          <w:p>
            <w:pPr>
              <w:jc w:val="center"/>
              <w:spacing w:after="0"/>
              <w:rPr>
                <w:sz w:val="20"/>
                <w:szCs w:val="20"/>
                <w:color w:val="auto"/>
              </w:rPr>
            </w:pPr>
            <w:r>
              <w:rPr>
                <w:rFonts w:ascii="Arial" w:cs="Arial" w:eastAsia="Arial" w:hAnsi="Arial"/>
                <w:sz w:val="18"/>
                <w:szCs w:val="18"/>
                <w:color w:val="auto"/>
                <w:w w:val="89"/>
              </w:rPr>
              <w:t>22</w:t>
            </w: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01"/>
        </w:trPr>
        <w:tc>
          <w:tcPr>
            <w:tcW w:w="400" w:type="dxa"/>
            <w:vAlign w:val="bottom"/>
            <w:tcBorders>
              <w:bottom w:val="single" w:sz="8" w:color="9A9A9A"/>
            </w:tcBorders>
          </w:tcPr>
          <w:p>
            <w:pPr>
              <w:spacing w:after="0"/>
              <w:rPr>
                <w:sz w:val="8"/>
                <w:szCs w:val="8"/>
                <w:color w:val="auto"/>
              </w:rPr>
            </w:pPr>
          </w:p>
        </w:tc>
        <w:tc>
          <w:tcPr>
            <w:tcW w:w="41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3459480</wp:posOffset>
            </wp:positionH>
            <wp:positionV relativeFrom="paragraph">
              <wp:posOffset>-1508125</wp:posOffset>
            </wp:positionV>
            <wp:extent cx="2846070" cy="1803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846070" cy="18034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-548005</wp:posOffset>
            </wp:positionV>
            <wp:extent cx="2846070" cy="1289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846070" cy="1289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22" w:name="page23"/>
    <w:bookmarkEnd w:id="22"/>
    <w:p>
      <w:pPr>
        <w:ind w:left="380"/>
        <w:spacing w:after="0"/>
        <w:rPr>
          <w:sz w:val="20"/>
          <w:szCs w:val="20"/>
          <w:color w:val="auto"/>
        </w:rPr>
      </w:pPr>
      <w:r>
        <w:rPr>
          <w:rFonts w:ascii="Arial" w:cs="Arial" w:eastAsia="Arial" w:hAnsi="Arial"/>
          <w:sz w:val="20"/>
          <w:szCs w:val="20"/>
          <w:b w:val="1"/>
          <w:bCs w:val="1"/>
          <w:color w:val="auto"/>
        </w:rPr>
        <w:t>Summary of stockholders’ equity</w:t>
      </w:r>
    </w:p>
    <w:p>
      <w:pPr>
        <w:spacing w:after="0" w:line="114" w:lineRule="exact"/>
        <w:rPr>
          <w:sz w:val="20"/>
          <w:szCs w:val="20"/>
          <w:color w:val="auto"/>
        </w:rPr>
      </w:pPr>
    </w:p>
    <w:p>
      <w:pPr>
        <w:ind w:left="380"/>
        <w:spacing w:after="0"/>
        <w:rPr>
          <w:sz w:val="20"/>
          <w:szCs w:val="20"/>
          <w:color w:val="auto"/>
        </w:rPr>
      </w:pPr>
      <w:r>
        <w:rPr>
          <w:rFonts w:ascii="Arial" w:cs="Arial" w:eastAsia="Arial" w:hAnsi="Arial"/>
          <w:sz w:val="20"/>
          <w:szCs w:val="20"/>
          <w:color w:val="auto"/>
        </w:rPr>
        <w:t>A reconciliation of changes in stockholders’ equity are as follows:</w:t>
      </w:r>
    </w:p>
    <w:p>
      <w:pPr>
        <w:spacing w:after="0" w:line="131" w:lineRule="exact"/>
        <w:rPr>
          <w:sz w:val="20"/>
          <w:szCs w:val="20"/>
          <w:color w:val="auto"/>
        </w:rPr>
      </w:pPr>
    </w:p>
    <w:tbl>
      <w:tblPr>
        <w:tblLayout w:type="fixed"/>
        <w:tblInd w:w="400" w:type="dxa"/>
        <w:tblCellMar>
          <w:top w:w="0" w:type="dxa"/>
          <w:left w:w="0" w:type="dxa"/>
          <w:bottom w:w="0" w:type="dxa"/>
          <w:right w:w="0" w:type="dxa"/>
        </w:tblCellMar>
      </w:tblPr>
      <w:tr>
        <w:trPr>
          <w:trHeight w:val="244"/>
        </w:trPr>
        <w:tc>
          <w:tcPr>
            <w:tcW w:w="500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2340" w:type="dxa"/>
            <w:vAlign w:val="bottom"/>
            <w:tcBorders>
              <w:top w:val="single" w:sz="8" w:color="auto"/>
            </w:tcBorders>
            <w:gridSpan w:val="4"/>
          </w:tcPr>
          <w:p>
            <w:pPr>
              <w:jc w:val="right"/>
              <w:ind w:right="530"/>
              <w:spacing w:after="0"/>
              <w:rPr>
                <w:sz w:val="20"/>
                <w:szCs w:val="20"/>
                <w:color w:val="auto"/>
              </w:rPr>
            </w:pPr>
            <w:r>
              <w:rPr>
                <w:rFonts w:ascii="Arial" w:cs="Arial" w:eastAsia="Arial" w:hAnsi="Arial"/>
                <w:sz w:val="18"/>
                <w:szCs w:val="18"/>
                <w:color w:val="auto"/>
              </w:rPr>
              <w:t>Three months ended</w:t>
            </w:r>
          </w:p>
        </w:tc>
        <w:tc>
          <w:tcPr>
            <w:tcW w:w="14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2480" w:type="dxa"/>
            <w:vAlign w:val="bottom"/>
            <w:tcBorders>
              <w:top w:val="single" w:sz="8" w:color="auto"/>
            </w:tcBorders>
            <w:gridSpan w:val="4"/>
          </w:tcPr>
          <w:p>
            <w:pPr>
              <w:jc w:val="right"/>
              <w:ind w:right="630"/>
              <w:spacing w:after="0"/>
              <w:rPr>
                <w:sz w:val="20"/>
                <w:szCs w:val="20"/>
                <w:color w:val="auto"/>
              </w:rPr>
            </w:pPr>
            <w:r>
              <w:rPr>
                <w:rFonts w:ascii="Arial" w:cs="Arial" w:eastAsia="Arial" w:hAnsi="Arial"/>
                <w:sz w:val="18"/>
                <w:szCs w:val="18"/>
                <w:color w:val="auto"/>
              </w:rPr>
              <w:t>Nine months ended</w:t>
            </w:r>
          </w:p>
        </w:tc>
      </w:tr>
      <w:tr>
        <w:trPr>
          <w:trHeight w:val="249"/>
        </w:trPr>
        <w:tc>
          <w:tcPr>
            <w:tcW w:w="50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June 30</w:t>
            </w:r>
          </w:p>
        </w:tc>
        <w:tc>
          <w:tcPr>
            <w:tcW w:w="96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June 30</w:t>
            </w:r>
          </w:p>
        </w:tc>
        <w:tc>
          <w:tcPr>
            <w:tcW w:w="1020" w:type="dxa"/>
            <w:vAlign w:val="bottom"/>
            <w:tcBorders>
              <w:bottom w:val="single" w:sz="8" w:color="auto"/>
            </w:tcBorders>
          </w:tcPr>
          <w:p>
            <w:pPr>
              <w:spacing w:after="0"/>
              <w:rPr>
                <w:sz w:val="21"/>
                <w:szCs w:val="21"/>
                <w:color w:val="auto"/>
              </w:rPr>
            </w:pPr>
          </w:p>
        </w:tc>
      </w:tr>
      <w:tr>
        <w:trPr>
          <w:trHeight w:val="237"/>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2023</w:t>
            </w:r>
          </w:p>
        </w:tc>
        <w:tc>
          <w:tcPr>
            <w:tcW w:w="1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c>
          <w:tcPr>
            <w:tcW w:w="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2023</w:t>
            </w:r>
          </w:p>
        </w:tc>
        <w:tc>
          <w:tcPr>
            <w:tcW w:w="1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2022</w:t>
            </w:r>
          </w:p>
        </w:tc>
      </w:tr>
      <w:tr>
        <w:trPr>
          <w:trHeight w:val="243"/>
        </w:trPr>
        <w:tc>
          <w:tcPr>
            <w:tcW w:w="50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Common stock and paid in capital</w:t>
            </w:r>
          </w:p>
        </w:tc>
        <w:tc>
          <w:tcPr>
            <w:tcW w:w="2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r>
      <w:tr>
        <w:trPr>
          <w:trHeight w:val="237"/>
        </w:trPr>
        <w:tc>
          <w:tcPr>
            <w:tcW w:w="5000" w:type="dxa"/>
            <w:vAlign w:val="bottom"/>
          </w:tcPr>
          <w:p>
            <w:pPr>
              <w:ind w:left="20"/>
              <w:spacing w:after="0"/>
              <w:rPr>
                <w:sz w:val="20"/>
                <w:szCs w:val="20"/>
                <w:color w:val="auto"/>
              </w:rPr>
            </w:pPr>
            <w:r>
              <w:rPr>
                <w:rFonts w:ascii="Arial" w:cs="Arial" w:eastAsia="Arial" w:hAnsi="Arial"/>
                <w:sz w:val="18"/>
                <w:szCs w:val="18"/>
                <w:color w:val="auto"/>
              </w:rPr>
              <w:t>Balance, beginning of period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177</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136</w:t>
            </w:r>
          </w:p>
        </w:tc>
        <w:tc>
          <w:tcPr>
            <w:tcW w:w="4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328</w:t>
            </w:r>
          </w:p>
        </w:tc>
      </w:tr>
      <w:tr>
        <w:trPr>
          <w:trHeight w:val="249"/>
        </w:trPr>
        <w:tc>
          <w:tcPr>
            <w:tcW w:w="5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 xml:space="preserve">Compensation expense and common shares issued </w:t>
            </w:r>
            <w:r>
              <w:rPr>
                <w:rFonts w:ascii="Arial" w:cs="Arial" w:eastAsia="Arial" w:hAnsi="Arial"/>
                <w:sz w:val="14"/>
                <w:szCs w:val="14"/>
                <w:color w:val="auto"/>
              </w:rPr>
              <w:t>(a)</w:t>
            </w:r>
          </w:p>
        </w:tc>
        <w:tc>
          <w:tcPr>
            <w:tcW w:w="24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w:t>
            </w:r>
          </w:p>
        </w:tc>
      </w:tr>
      <w:tr>
        <w:trPr>
          <w:trHeight w:val="243"/>
        </w:trPr>
        <w:tc>
          <w:tcPr>
            <w:tcW w:w="5000" w:type="dxa"/>
            <w:vAlign w:val="bottom"/>
          </w:tcPr>
          <w:p>
            <w:pPr>
              <w:ind w:left="20"/>
              <w:spacing w:after="0"/>
              <w:rPr>
                <w:sz w:val="20"/>
                <w:szCs w:val="20"/>
                <w:color w:val="auto"/>
              </w:rPr>
            </w:pPr>
            <w:r>
              <w:rPr>
                <w:rFonts w:ascii="Arial" w:cs="Arial" w:eastAsia="Arial" w:hAnsi="Arial"/>
                <w:sz w:val="18"/>
                <w:szCs w:val="18"/>
                <w:color w:val="auto"/>
              </w:rPr>
              <w:t xml:space="preserve">Common shares purchased under repurchase program </w:t>
            </w:r>
            <w:r>
              <w:rPr>
                <w:rFonts w:ascii="Arial" w:cs="Arial" w:eastAsia="Arial" w:hAnsi="Arial"/>
                <w:sz w:val="14"/>
                <w:szCs w:val="14"/>
                <w:color w:val="auto"/>
              </w:rPr>
              <w:t>(b) (c)</w:t>
            </w: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(5 )</w:t>
            </w:r>
          </w:p>
        </w:tc>
        <w:tc>
          <w:tcPr>
            <w:tcW w:w="1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(45 )</w:t>
            </w:r>
          </w:p>
        </w:tc>
        <w:tc>
          <w:tcPr>
            <w:tcW w:w="1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(143 )</w:t>
            </w:r>
          </w:p>
        </w:tc>
        <w:tc>
          <w:tcPr>
            <w:tcW w:w="1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(200 )</w:t>
            </w:r>
          </w:p>
        </w:tc>
      </w:tr>
      <w:tr>
        <w:trPr>
          <w:trHeight w:val="236"/>
        </w:trPr>
        <w:tc>
          <w:tcPr>
            <w:tcW w:w="50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Balance, end of period</w:t>
            </w:r>
          </w:p>
        </w:tc>
        <w:tc>
          <w:tcPr>
            <w:tcW w:w="24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133</w:t>
            </w:r>
          </w:p>
        </w:tc>
        <w:tc>
          <w:tcPr>
            <w:tcW w:w="1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133</w:t>
            </w:r>
          </w:p>
        </w:tc>
      </w:tr>
      <w:tr>
        <w:trPr>
          <w:trHeight w:val="232"/>
        </w:trPr>
        <w:tc>
          <w:tcPr>
            <w:tcW w:w="5000" w:type="dxa"/>
            <w:vAlign w:val="bottom"/>
          </w:tcPr>
          <w:p>
            <w:pPr>
              <w:ind w:left="20"/>
              <w:spacing w:after="0"/>
              <w:rPr>
                <w:sz w:val="20"/>
                <w:szCs w:val="20"/>
                <w:color w:val="auto"/>
              </w:rPr>
            </w:pPr>
            <w:r>
              <w:rPr>
                <w:rFonts w:ascii="Arial" w:cs="Arial" w:eastAsia="Arial" w:hAnsi="Arial"/>
                <w:sz w:val="18"/>
                <w:szCs w:val="18"/>
                <w:b w:val="1"/>
                <w:bCs w:val="1"/>
                <w:color w:val="auto"/>
              </w:rPr>
              <w:t>Retained earnings</w:t>
            </w: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47"/>
        </w:trPr>
        <w:tc>
          <w:tcPr>
            <w:tcW w:w="5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beginning of period</w:t>
            </w:r>
          </w:p>
        </w:tc>
        <w:tc>
          <w:tcPr>
            <w:tcW w:w="24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3,734</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3,596</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3,653</w:t>
            </w: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2,796</w:t>
            </w:r>
          </w:p>
        </w:tc>
      </w:tr>
      <w:tr>
        <w:trPr>
          <w:trHeight w:val="237"/>
        </w:trPr>
        <w:tc>
          <w:tcPr>
            <w:tcW w:w="50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20"/>
                <w:szCs w:val="20"/>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182</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870</w:t>
            </w:r>
          </w:p>
        </w:tc>
      </w:tr>
      <w:tr>
        <w:trPr>
          <w:trHeight w:val="249"/>
        </w:trPr>
        <w:tc>
          <w:tcPr>
            <w:tcW w:w="5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Regular dividends</w:t>
            </w:r>
          </w:p>
        </w:tc>
        <w:tc>
          <w:tcPr>
            <w:tcW w:w="2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(20 )</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(18 )</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(56 )</w:t>
            </w: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(52 )</w:t>
            </w:r>
          </w:p>
        </w:tc>
      </w:tr>
      <w:tr>
        <w:trPr>
          <w:trHeight w:val="243"/>
        </w:trPr>
        <w:tc>
          <w:tcPr>
            <w:tcW w:w="5000" w:type="dxa"/>
            <w:vAlign w:val="bottom"/>
          </w:tcPr>
          <w:p>
            <w:pPr>
              <w:ind w:left="20"/>
              <w:spacing w:after="0"/>
              <w:rPr>
                <w:sz w:val="20"/>
                <w:szCs w:val="20"/>
                <w:color w:val="auto"/>
              </w:rPr>
            </w:pPr>
            <w:r>
              <w:rPr>
                <w:rFonts w:ascii="Arial" w:cs="Arial" w:eastAsia="Arial" w:hAnsi="Arial"/>
                <w:sz w:val="18"/>
                <w:szCs w:val="18"/>
                <w:color w:val="auto"/>
              </w:rPr>
              <w:t xml:space="preserve">Common shares purchased under repurchase program </w:t>
            </w:r>
            <w:r>
              <w:rPr>
                <w:rFonts w:ascii="Arial" w:cs="Arial" w:eastAsia="Arial" w:hAnsi="Arial"/>
                <w:sz w:val="14"/>
                <w:szCs w:val="14"/>
                <w:color w:val="auto"/>
              </w:rPr>
              <w:t>(b)</w:t>
            </w: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(145 )</w:t>
            </w:r>
          </w:p>
        </w:tc>
        <w:tc>
          <w:tcPr>
            <w:tcW w:w="1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(160 )</w:t>
            </w:r>
          </w:p>
        </w:tc>
        <w:tc>
          <w:tcPr>
            <w:tcW w:w="1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r>
      <w:tr>
        <w:trPr>
          <w:trHeight w:val="236"/>
        </w:trPr>
        <w:tc>
          <w:tcPr>
            <w:tcW w:w="50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Balance, end of period</w:t>
            </w:r>
          </w:p>
        </w:tc>
        <w:tc>
          <w:tcPr>
            <w:tcW w:w="24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3,619</w:t>
            </w:r>
          </w:p>
        </w:tc>
        <w:tc>
          <w:tcPr>
            <w:tcW w:w="1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3,614</w:t>
            </w:r>
          </w:p>
        </w:tc>
        <w:tc>
          <w:tcPr>
            <w:tcW w:w="1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3,619</w:t>
            </w:r>
          </w:p>
        </w:tc>
        <w:tc>
          <w:tcPr>
            <w:tcW w:w="1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3,614</w:t>
            </w:r>
          </w:p>
        </w:tc>
      </w:tr>
      <w:tr>
        <w:trPr>
          <w:trHeight w:val="232"/>
        </w:trPr>
        <w:tc>
          <w:tcPr>
            <w:tcW w:w="5000" w:type="dxa"/>
            <w:vAlign w:val="bottom"/>
          </w:tcPr>
          <w:p>
            <w:pPr>
              <w:ind w:left="20"/>
              <w:spacing w:after="0"/>
              <w:rPr>
                <w:sz w:val="20"/>
                <w:szCs w:val="20"/>
                <w:color w:val="auto"/>
              </w:rPr>
            </w:pPr>
            <w:r>
              <w:rPr>
                <w:rFonts w:ascii="Arial" w:cs="Arial" w:eastAsia="Arial" w:hAnsi="Arial"/>
                <w:sz w:val="18"/>
                <w:szCs w:val="18"/>
                <w:b w:val="1"/>
                <w:bCs w:val="1"/>
                <w:color w:val="auto"/>
              </w:rPr>
              <w:t>Accumulated other comprehensive income (loss)</w:t>
            </w: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47"/>
        </w:trPr>
        <w:tc>
          <w:tcPr>
            <w:tcW w:w="5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beginning of period</w:t>
            </w:r>
          </w:p>
        </w:tc>
        <w:tc>
          <w:tcPr>
            <w:tcW w:w="2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(467 )</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(392 )</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(569 )</w:t>
            </w: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(372 )</w:t>
            </w:r>
          </w:p>
        </w:tc>
      </w:tr>
      <w:tr>
        <w:trPr>
          <w:trHeight w:val="237"/>
        </w:trPr>
        <w:tc>
          <w:tcPr>
            <w:tcW w:w="5000" w:type="dxa"/>
            <w:vAlign w:val="bottom"/>
          </w:tcPr>
          <w:p>
            <w:pPr>
              <w:ind w:left="20"/>
              <w:spacing w:after="0"/>
              <w:rPr>
                <w:sz w:val="20"/>
                <w:szCs w:val="20"/>
                <w:color w:val="auto"/>
              </w:rPr>
            </w:pPr>
            <w:r>
              <w:rPr>
                <w:rFonts w:ascii="Arial" w:cs="Arial" w:eastAsia="Arial" w:hAnsi="Arial"/>
                <w:sz w:val="18"/>
                <w:szCs w:val="18"/>
                <w:color w:val="auto"/>
              </w:rPr>
              <w:t>Unrealized translation gain (loss)</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(4 )</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(86 )</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105</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(107 )</w:t>
            </w:r>
          </w:p>
        </w:tc>
      </w:tr>
      <w:tr>
        <w:trPr>
          <w:trHeight w:val="249"/>
        </w:trPr>
        <w:tc>
          <w:tcPr>
            <w:tcW w:w="5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Unrealized gain (loss) on commodity hedges</w:t>
            </w:r>
          </w:p>
        </w:tc>
        <w:tc>
          <w:tcPr>
            <w:tcW w:w="24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(3 )</w:t>
            </w: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(6 )</w:t>
            </w:r>
          </w:p>
        </w:tc>
        <w:tc>
          <w:tcPr>
            <w:tcW w:w="1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(2 )</w:t>
            </w:r>
          </w:p>
        </w:tc>
      </w:tr>
      <w:tr>
        <w:trPr>
          <w:trHeight w:val="237"/>
        </w:trPr>
        <w:tc>
          <w:tcPr>
            <w:tcW w:w="5000" w:type="dxa"/>
            <w:vAlign w:val="bottom"/>
          </w:tcPr>
          <w:p>
            <w:pPr>
              <w:ind w:left="200"/>
              <w:spacing w:after="0"/>
              <w:rPr>
                <w:sz w:val="20"/>
                <w:szCs w:val="20"/>
                <w:color w:val="auto"/>
              </w:rPr>
            </w:pPr>
            <w:r>
              <w:rPr>
                <w:rFonts w:ascii="Arial" w:cs="Arial" w:eastAsia="Arial" w:hAnsi="Arial"/>
                <w:sz w:val="18"/>
                <w:szCs w:val="18"/>
                <w:color w:val="auto"/>
              </w:rPr>
              <w:t>Balance, end of period</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(470 )</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(481 )</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(470 )</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(481 )</w:t>
            </w:r>
          </w:p>
        </w:tc>
      </w:tr>
      <w:tr>
        <w:trPr>
          <w:trHeight w:val="277"/>
        </w:trPr>
        <w:tc>
          <w:tcPr>
            <w:tcW w:w="5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3,149</w:t>
            </w:r>
          </w:p>
        </w:tc>
        <w:tc>
          <w:tcPr>
            <w:tcW w:w="1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3,266</w:t>
            </w:r>
          </w:p>
        </w:tc>
        <w:tc>
          <w:tcPr>
            <w:tcW w:w="1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3,149</w:t>
            </w:r>
          </w:p>
        </w:tc>
        <w:tc>
          <w:tcPr>
            <w:tcW w:w="1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3,266</w:t>
            </w:r>
          </w:p>
        </w:tc>
      </w:tr>
      <w:tr>
        <w:trPr>
          <w:trHeight w:val="211"/>
        </w:trPr>
        <w:tc>
          <w:tcPr>
            <w:tcW w:w="5000" w:type="dxa"/>
            <w:vAlign w:val="bottom"/>
          </w:tcPr>
          <w:p>
            <w:pPr>
              <w:ind w:left="20"/>
              <w:spacing w:after="0"/>
              <w:rPr>
                <w:sz w:val="20"/>
                <w:szCs w:val="20"/>
                <w:color w:val="auto"/>
              </w:rPr>
            </w:pPr>
            <w:r>
              <w:rPr>
                <w:rFonts w:ascii="Arial" w:cs="Arial" w:eastAsia="Arial" w:hAnsi="Arial"/>
                <w:sz w:val="18"/>
                <w:szCs w:val="18"/>
                <w:color w:val="auto"/>
              </w:rPr>
              <w:t>Cash dividends declared per common share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0.385</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0.335</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1.055</w:t>
            </w:r>
          </w:p>
        </w:tc>
        <w:tc>
          <w:tcPr>
            <w:tcW w:w="4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0.935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-2065655</wp:posOffset>
            </wp:positionV>
            <wp:extent cx="85725" cy="1631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-2065655</wp:posOffset>
            </wp:positionV>
            <wp:extent cx="93980" cy="1631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93980" cy="16319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-2065655</wp:posOffset>
            </wp:positionV>
            <wp:extent cx="93980" cy="1631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93980" cy="16319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-1122680</wp:posOffset>
            </wp:positionV>
            <wp:extent cx="85725" cy="1631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-1122680</wp:posOffset>
            </wp:positionV>
            <wp:extent cx="93980" cy="1631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93980" cy="16319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-1122680</wp:posOffset>
            </wp:positionV>
            <wp:extent cx="93980" cy="1631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93980" cy="16319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-497205</wp:posOffset>
            </wp:positionV>
            <wp:extent cx="85725" cy="1714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-497205</wp:posOffset>
            </wp:positionV>
            <wp:extent cx="93980" cy="1714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-497205</wp:posOffset>
            </wp:positionV>
            <wp:extent cx="93980" cy="1714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253365</wp:posOffset>
            </wp:positionH>
            <wp:positionV relativeFrom="paragraph">
              <wp:posOffset>-171450</wp:posOffset>
            </wp:positionV>
            <wp:extent cx="6635115" cy="2825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635115" cy="282575"/>
                    </a:xfrm>
                    <a:prstGeom prst="rect">
                      <a:avLst/>
                    </a:prstGeom>
                    <a:noFill/>
                  </pic:spPr>
                </pic:pic>
              </a:graphicData>
            </a:graphic>
          </wp:anchor>
        </w:drawing>
      </w:r>
    </w:p>
    <w:p>
      <w:pPr>
        <w:spacing w:after="0" w:line="244" w:lineRule="exact"/>
        <w:rPr>
          <w:sz w:val="20"/>
          <w:szCs w:val="20"/>
          <w:color w:val="auto"/>
        </w:rPr>
      </w:pPr>
    </w:p>
    <w:p>
      <w:pPr>
        <w:ind w:left="740" w:hanging="358"/>
        <w:spacing w:after="0" w:line="253" w:lineRule="auto"/>
        <w:tabs>
          <w:tab w:leader="none" w:pos="7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Common shares issued were 35,420 shares and 55,006 shares for the three months ended June 30, 2023 and 2022, respectively, and 179,934 shares and 163,656 shares for the nine months ended June 30, 2023 and 2022, respectively.</w:t>
      </w:r>
    </w:p>
    <w:p>
      <w:pPr>
        <w:spacing w:after="0" w:line="65" w:lineRule="exact"/>
        <w:rPr>
          <w:rFonts w:ascii="Arial" w:cs="Arial" w:eastAsia="Arial" w:hAnsi="Arial"/>
          <w:sz w:val="14"/>
          <w:szCs w:val="14"/>
          <w:color w:val="auto"/>
        </w:rPr>
      </w:pPr>
    </w:p>
    <w:p>
      <w:pPr>
        <w:ind w:left="740" w:hanging="358"/>
        <w:spacing w:after="0" w:line="253" w:lineRule="auto"/>
        <w:tabs>
          <w:tab w:leader="none" w:pos="7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Common shares repurchased were 1,594,677 and 3,082,928 shares for the three and nine months ended June 30, 2023, and 449,932 shares and 2,853,312 shares for the three and nine months ended June 30, 2022.</w:t>
      </w:r>
    </w:p>
    <w:p>
      <w:pPr>
        <w:spacing w:after="0" w:line="65" w:lineRule="exact"/>
        <w:rPr>
          <w:rFonts w:ascii="Arial" w:cs="Arial" w:eastAsia="Arial" w:hAnsi="Arial"/>
          <w:sz w:val="14"/>
          <w:szCs w:val="14"/>
          <w:color w:val="auto"/>
        </w:rPr>
      </w:pPr>
    </w:p>
    <w:p>
      <w:pPr>
        <w:ind w:left="740" w:hanging="358"/>
        <w:spacing w:after="0"/>
        <w:tabs>
          <w:tab w:leader="none" w:pos="7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$2 million and $3 million in excise tax on stock repurchases for the three and nine months ended June 30, 2023.</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O – STOCK INCENTIVE PLANS</w:t>
      </w:r>
    </w:p>
    <w:p>
      <w:pPr>
        <w:spacing w:after="0" w:line="222" w:lineRule="exact"/>
        <w:rPr>
          <w:sz w:val="20"/>
          <w:szCs w:val="20"/>
          <w:color w:val="auto"/>
        </w:rPr>
      </w:pPr>
    </w:p>
    <w:p>
      <w:pPr>
        <w:ind w:left="380"/>
        <w:spacing w:after="0"/>
        <w:rPr>
          <w:sz w:val="20"/>
          <w:szCs w:val="20"/>
          <w:color w:val="auto"/>
        </w:rPr>
      </w:pPr>
      <w:r>
        <w:rPr>
          <w:rFonts w:ascii="Arial" w:cs="Arial" w:eastAsia="Arial" w:hAnsi="Arial"/>
          <w:sz w:val="19"/>
          <w:szCs w:val="19"/>
          <w:color w:val="auto"/>
        </w:rPr>
        <w:t>The components of Ashland’s pre-tax stock-based compensation expense included in continuing operations are as follows:</w:t>
      </w:r>
    </w:p>
    <w:p>
      <w:pPr>
        <w:spacing w:after="0" w:line="143" w:lineRule="exact"/>
        <w:rPr>
          <w:sz w:val="20"/>
          <w:szCs w:val="20"/>
          <w:color w:val="auto"/>
        </w:rPr>
      </w:pPr>
    </w:p>
    <w:tbl>
      <w:tblPr>
        <w:tblLayout w:type="fixed"/>
        <w:tblInd w:w="400" w:type="dxa"/>
        <w:tblCellMar>
          <w:top w:w="0" w:type="dxa"/>
          <w:left w:w="0" w:type="dxa"/>
          <w:bottom w:w="0" w:type="dxa"/>
          <w:right w:w="0" w:type="dxa"/>
        </w:tblCellMar>
      </w:tblPr>
      <w:tr>
        <w:trPr>
          <w:trHeight w:val="244"/>
        </w:trPr>
        <w:tc>
          <w:tcPr>
            <w:tcW w:w="486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2180" w:type="dxa"/>
            <w:vAlign w:val="bottom"/>
            <w:tcBorders>
              <w:top w:val="single" w:sz="8" w:color="auto"/>
            </w:tcBorders>
            <w:gridSpan w:val="3"/>
          </w:tcPr>
          <w:p>
            <w:pPr>
              <w:ind w:left="360"/>
              <w:spacing w:after="0"/>
              <w:rPr>
                <w:sz w:val="20"/>
                <w:szCs w:val="20"/>
                <w:color w:val="auto"/>
              </w:rPr>
            </w:pPr>
            <w:r>
              <w:rPr>
                <w:rFonts w:ascii="Arial" w:cs="Arial" w:eastAsia="Arial" w:hAnsi="Arial"/>
                <w:sz w:val="18"/>
                <w:szCs w:val="18"/>
                <w:color w:val="auto"/>
              </w:rPr>
              <w:t>Three months ended</w:t>
            </w:r>
          </w:p>
        </w:tc>
        <w:tc>
          <w:tcPr>
            <w:tcW w:w="32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2340" w:type="dxa"/>
            <w:vAlign w:val="bottom"/>
            <w:tcBorders>
              <w:top w:val="single" w:sz="8" w:color="auto"/>
            </w:tcBorders>
            <w:gridSpan w:val="4"/>
          </w:tcPr>
          <w:p>
            <w:pPr>
              <w:jc w:val="right"/>
              <w:ind w:right="270"/>
              <w:spacing w:after="0"/>
              <w:rPr>
                <w:sz w:val="20"/>
                <w:szCs w:val="20"/>
                <w:color w:val="auto"/>
              </w:rPr>
            </w:pPr>
            <w:r>
              <w:rPr>
                <w:rFonts w:ascii="Arial" w:cs="Arial" w:eastAsia="Arial" w:hAnsi="Arial"/>
                <w:sz w:val="18"/>
                <w:szCs w:val="18"/>
                <w:color w:val="auto"/>
              </w:rPr>
              <w:t>Nine months ended</w:t>
            </w:r>
          </w:p>
        </w:tc>
        <w:tc>
          <w:tcPr>
            <w:tcW w:w="340" w:type="dxa"/>
            <w:vAlign w:val="bottom"/>
            <w:tcBorders>
              <w:top w:val="single" w:sz="8" w:color="auto"/>
            </w:tcBorders>
          </w:tcPr>
          <w:p>
            <w:pPr>
              <w:spacing w:after="0"/>
              <w:rPr>
                <w:sz w:val="21"/>
                <w:szCs w:val="21"/>
                <w:color w:val="auto"/>
              </w:rPr>
            </w:pPr>
          </w:p>
        </w:tc>
      </w:tr>
      <w:tr>
        <w:trPr>
          <w:trHeight w:val="249"/>
        </w:trPr>
        <w:tc>
          <w:tcPr>
            <w:tcW w:w="48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gridSpan w:val="3"/>
          </w:tcPr>
          <w:p>
            <w:pPr>
              <w:ind w:left="820"/>
              <w:spacing w:after="0"/>
              <w:rPr>
                <w:sz w:val="20"/>
                <w:szCs w:val="20"/>
                <w:color w:val="auto"/>
              </w:rPr>
            </w:pPr>
            <w:r>
              <w:rPr>
                <w:rFonts w:ascii="Arial" w:cs="Arial" w:eastAsia="Arial" w:hAnsi="Arial"/>
                <w:sz w:val="18"/>
                <w:szCs w:val="18"/>
                <w:color w:val="auto"/>
              </w:rPr>
              <w:t>June 30</w:t>
            </w:r>
          </w:p>
        </w:tc>
        <w:tc>
          <w:tcPr>
            <w:tcW w:w="3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right"/>
              <w:ind w:right="690"/>
              <w:spacing w:after="0"/>
              <w:rPr>
                <w:sz w:val="20"/>
                <w:szCs w:val="20"/>
                <w:color w:val="auto"/>
              </w:rPr>
            </w:pPr>
            <w:r>
              <w:rPr>
                <w:rFonts w:ascii="Arial" w:cs="Arial" w:eastAsia="Arial" w:hAnsi="Arial"/>
                <w:sz w:val="18"/>
                <w:szCs w:val="18"/>
                <w:color w:val="auto"/>
              </w:rPr>
              <w:t>June 30</w:t>
            </w:r>
          </w:p>
        </w:tc>
        <w:tc>
          <w:tcPr>
            <w:tcW w:w="340" w:type="dxa"/>
            <w:vAlign w:val="bottom"/>
            <w:tcBorders>
              <w:bottom w:val="single" w:sz="8" w:color="auto"/>
            </w:tcBorders>
          </w:tcPr>
          <w:p>
            <w:pPr>
              <w:spacing w:after="0"/>
              <w:rPr>
                <w:sz w:val="21"/>
                <w:szCs w:val="21"/>
                <w:color w:val="auto"/>
              </w:rPr>
            </w:pPr>
          </w:p>
        </w:tc>
      </w:tr>
      <w:tr>
        <w:trPr>
          <w:trHeight w:val="237"/>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 xml:space="preserve">2023 </w:t>
            </w:r>
            <w:r>
              <w:rPr>
                <w:rFonts w:ascii="Arial" w:cs="Arial" w:eastAsia="Arial" w:hAnsi="Arial"/>
                <w:sz w:val="14"/>
                <w:szCs w:val="14"/>
                <w:color w:val="auto"/>
              </w:rPr>
              <w:t>(a)</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xml:space="preserve">2022 </w:t>
            </w:r>
            <w:r>
              <w:rPr>
                <w:rFonts w:ascii="Arial" w:cs="Arial" w:eastAsia="Arial" w:hAnsi="Arial"/>
                <w:sz w:val="14"/>
                <w:szCs w:val="14"/>
                <w:color w:val="auto"/>
              </w:rPr>
              <w:t>(b)</w:t>
            </w:r>
          </w:p>
        </w:tc>
        <w:tc>
          <w:tcPr>
            <w:tcW w:w="3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xml:space="preserve">2023 </w:t>
            </w:r>
            <w:r>
              <w:rPr>
                <w:rFonts w:ascii="Arial" w:cs="Arial" w:eastAsia="Arial" w:hAnsi="Arial"/>
                <w:sz w:val="14"/>
                <w:szCs w:val="14"/>
                <w:color w:val="auto"/>
              </w:rPr>
              <w:t>(a)</w:t>
            </w:r>
          </w:p>
        </w:tc>
        <w:tc>
          <w:tcPr>
            <w:tcW w:w="3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xml:space="preserve">2022 </w:t>
            </w:r>
            <w:r>
              <w:rPr>
                <w:rFonts w:ascii="Arial" w:cs="Arial" w:eastAsia="Arial" w:hAnsi="Arial"/>
                <w:sz w:val="14"/>
                <w:szCs w:val="14"/>
                <w:color w:val="auto"/>
              </w:rPr>
              <w:t>(b)</w:t>
            </w:r>
          </w:p>
        </w:tc>
        <w:tc>
          <w:tcPr>
            <w:tcW w:w="340" w:type="dxa"/>
            <w:vAlign w:val="bottom"/>
            <w:tcBorders>
              <w:bottom w:val="single" w:sz="8" w:color="auto"/>
            </w:tcBorders>
          </w:tcPr>
          <w:p>
            <w:pPr>
              <w:spacing w:after="0"/>
              <w:rPr>
                <w:sz w:val="20"/>
                <w:szCs w:val="20"/>
                <w:color w:val="auto"/>
              </w:rPr>
            </w:pPr>
          </w:p>
        </w:tc>
      </w:tr>
      <w:tr>
        <w:trPr>
          <w:trHeight w:val="243"/>
        </w:trPr>
        <w:tc>
          <w:tcPr>
            <w:tcW w:w="4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Nonvested stock awards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ind w:left="820"/>
              <w:spacing w:after="0"/>
              <w:rPr>
                <w:sz w:val="20"/>
                <w:szCs w:val="20"/>
                <w:color w:val="auto"/>
              </w:rPr>
            </w:pPr>
            <w:r>
              <w:rPr>
                <w:rFonts w:ascii="Arial" w:cs="Arial" w:eastAsia="Arial" w:hAnsi="Arial"/>
                <w:sz w:val="18"/>
                <w:szCs w:val="18"/>
                <w:color w:val="auto"/>
              </w:rPr>
              <w:t>2</w:t>
            </w:r>
          </w:p>
        </w:tc>
        <w:tc>
          <w:tcPr>
            <w:tcW w:w="1140" w:type="dxa"/>
            <w:vAlign w:val="bottom"/>
            <w:gridSpan w:val="2"/>
            <w:shd w:val="clear" w:color="auto" w:fill="CFF0FC"/>
          </w:tcPr>
          <w:p>
            <w:pPr>
              <w:jc w:val="right"/>
              <w:ind w:right="7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w:t>
            </w:r>
          </w:p>
        </w:tc>
        <w:tc>
          <w:tcPr>
            <w:tcW w:w="1100" w:type="dxa"/>
            <w:vAlign w:val="bottom"/>
            <w:gridSpan w:val="2"/>
            <w:shd w:val="clear" w:color="auto" w:fill="CFF0FC"/>
          </w:tcPr>
          <w:p>
            <w:pPr>
              <w:jc w:val="right"/>
              <w:ind w:right="67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w:t>
            </w:r>
          </w:p>
        </w:tc>
        <w:tc>
          <w:tcPr>
            <w:tcW w:w="1100" w:type="dxa"/>
            <w:vAlign w:val="bottom"/>
            <w:gridSpan w:val="2"/>
            <w:shd w:val="clear" w:color="auto" w:fill="CFF0FC"/>
          </w:tcPr>
          <w:p>
            <w:pPr>
              <w:jc w:val="right"/>
              <w:ind w:right="69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89"/>
              </w:rPr>
              <w:t>10</w:t>
            </w:r>
          </w:p>
        </w:tc>
      </w:tr>
      <w:tr>
        <w:trPr>
          <w:trHeight w:val="243"/>
        </w:trPr>
        <w:tc>
          <w:tcPr>
            <w:tcW w:w="4860" w:type="dxa"/>
            <w:vAlign w:val="bottom"/>
          </w:tcPr>
          <w:p>
            <w:pPr>
              <w:ind w:left="20"/>
              <w:spacing w:after="0"/>
              <w:rPr>
                <w:sz w:val="20"/>
                <w:szCs w:val="20"/>
                <w:color w:val="auto"/>
              </w:rPr>
            </w:pPr>
            <w:r>
              <w:rPr>
                <w:rFonts w:ascii="Arial" w:cs="Arial" w:eastAsia="Arial" w:hAnsi="Arial"/>
                <w:sz w:val="18"/>
                <w:szCs w:val="18"/>
                <w:color w:val="auto"/>
              </w:rPr>
              <w:t>Performance share awards</w:t>
            </w: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w:t>
            </w:r>
          </w:p>
        </w:tc>
      </w:tr>
      <w:tr>
        <w:trPr>
          <w:trHeight w:val="270"/>
        </w:trPr>
        <w:tc>
          <w:tcPr>
            <w:tcW w:w="486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ind w:left="820"/>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CFF0FC"/>
            </w:tcBorders>
            <w:shd w:val="clear" w:color="auto" w:fill="CFF0FC"/>
          </w:tcPr>
          <w:p>
            <w:pPr>
              <w:spacing w:after="0"/>
              <w:rPr>
                <w:sz w:val="23"/>
                <w:szCs w:val="23"/>
                <w:color w:val="auto"/>
              </w:rPr>
            </w:pPr>
          </w:p>
        </w:tc>
        <w:tc>
          <w:tcPr>
            <w:tcW w:w="900" w:type="dxa"/>
            <w:vAlign w:val="bottom"/>
            <w:tcBorders>
              <w:bottom w:val="single" w:sz="8" w:color="auto"/>
            </w:tcBorders>
            <w:shd w:val="clear" w:color="auto" w:fill="CFF0FC"/>
          </w:tcPr>
          <w:p>
            <w:pPr>
              <w:jc w:val="right"/>
              <w:ind w:right="710"/>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7</w:t>
            </w:r>
          </w:p>
        </w:tc>
        <w:tc>
          <w:tcPr>
            <w:tcW w:w="220" w:type="dxa"/>
            <w:vAlign w:val="bottom"/>
            <w:tcBorders>
              <w:bottom w:val="single" w:sz="8" w:color="CFF0FC"/>
            </w:tcBorders>
            <w:shd w:val="clear" w:color="auto" w:fill="CFF0FC"/>
          </w:tcPr>
          <w:p>
            <w:pPr>
              <w:spacing w:after="0"/>
              <w:rPr>
                <w:sz w:val="23"/>
                <w:szCs w:val="23"/>
                <w:color w:val="auto"/>
              </w:rPr>
            </w:pPr>
          </w:p>
        </w:tc>
        <w:tc>
          <w:tcPr>
            <w:tcW w:w="880" w:type="dxa"/>
            <w:vAlign w:val="bottom"/>
            <w:tcBorders>
              <w:bottom w:val="single" w:sz="8" w:color="auto"/>
            </w:tcBorders>
            <w:shd w:val="clear" w:color="auto" w:fill="CFF0FC"/>
          </w:tcPr>
          <w:p>
            <w:pPr>
              <w:jc w:val="right"/>
              <w:ind w:right="67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17</w:t>
            </w:r>
          </w:p>
        </w:tc>
        <w:tc>
          <w:tcPr>
            <w:tcW w:w="220" w:type="dxa"/>
            <w:vAlign w:val="bottom"/>
            <w:tcBorders>
              <w:bottom w:val="single" w:sz="8" w:color="CFF0FC"/>
            </w:tcBorders>
            <w:shd w:val="clear" w:color="auto" w:fill="CFF0FC"/>
          </w:tcPr>
          <w:p>
            <w:pPr>
              <w:spacing w:after="0"/>
              <w:rPr>
                <w:sz w:val="23"/>
                <w:szCs w:val="23"/>
                <w:color w:val="auto"/>
              </w:rPr>
            </w:pPr>
          </w:p>
        </w:tc>
        <w:tc>
          <w:tcPr>
            <w:tcW w:w="880" w:type="dxa"/>
            <w:vAlign w:val="bottom"/>
            <w:tcBorders>
              <w:bottom w:val="single" w:sz="8" w:color="auto"/>
            </w:tcBorders>
            <w:shd w:val="clear" w:color="auto" w:fill="CFF0FC"/>
          </w:tcPr>
          <w:p>
            <w:pPr>
              <w:jc w:val="right"/>
              <w:ind w:right="69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89"/>
              </w:rPr>
              <w:t>18</w:t>
            </w:r>
          </w:p>
        </w:tc>
      </w:tr>
      <w:tr>
        <w:trPr>
          <w:trHeight w:val="135"/>
        </w:trPr>
        <w:tc>
          <w:tcPr>
            <w:tcW w:w="48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-128270</wp:posOffset>
            </wp:positionV>
            <wp:extent cx="1988820" cy="1289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988820" cy="128905"/>
                    </a:xfrm>
                    <a:prstGeom prst="rect">
                      <a:avLst/>
                    </a:prstGeom>
                    <a:noFill/>
                  </pic:spPr>
                </pic:pic>
              </a:graphicData>
            </a:graphic>
          </wp:anchor>
        </w:drawing>
      </w:r>
    </w:p>
    <w:p>
      <w:pPr>
        <w:spacing w:after="0" w:line="69" w:lineRule="exact"/>
        <w:rPr>
          <w:sz w:val="20"/>
          <w:szCs w:val="20"/>
          <w:color w:val="auto"/>
        </w:rPr>
      </w:pPr>
    </w:p>
    <w:p>
      <w:pPr>
        <w:ind w:left="740" w:hanging="358"/>
        <w:spacing w:after="0"/>
        <w:tabs>
          <w:tab w:leader="none" w:pos="7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Included $2 million of income and zero of expense related to cash-settled nonvested restricted stock awards during the three and nine months ended June 30, 2023.</w:t>
      </w:r>
    </w:p>
    <w:p>
      <w:pPr>
        <w:spacing w:after="0" w:line="39" w:lineRule="exact"/>
        <w:rPr>
          <w:rFonts w:ascii="Arial" w:cs="Arial" w:eastAsia="Arial" w:hAnsi="Arial"/>
          <w:sz w:val="13"/>
          <w:szCs w:val="13"/>
          <w:color w:val="auto"/>
        </w:rPr>
      </w:pPr>
    </w:p>
    <w:p>
      <w:pPr>
        <w:ind w:left="740" w:hanging="358"/>
        <w:spacing w:after="0" w:line="253" w:lineRule="auto"/>
        <w:tabs>
          <w:tab w:leader="none" w:pos="7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Included $1 million and $3 million of expense related to cash-settled nonvested restricted stock awards during the three and nine months ended June 30, 2022, and $1 million each of expense related to cash-settled performance units during the three and nine months ended June 30, 2022.</w:t>
      </w:r>
    </w:p>
    <w:p>
      <w:pPr>
        <w:spacing w:after="0" w:line="7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454" w:right="719" w:bottom="1440" w:gutter="0" w:footer="0" w:header="0"/>
        </w:sectPr>
      </w:pPr>
    </w:p>
    <w:bookmarkStart w:id="23" w:name="page24"/>
    <w:bookmarkEnd w:id="23"/>
    <w:p>
      <w:pPr>
        <w:spacing w:after="0"/>
        <w:rPr>
          <w:sz w:val="20"/>
          <w:szCs w:val="20"/>
          <w:color w:val="auto"/>
        </w:rPr>
      </w:pPr>
      <w:r>
        <w:rPr>
          <w:rFonts w:ascii="Arial" w:cs="Arial" w:eastAsia="Arial" w:hAnsi="Arial"/>
          <w:sz w:val="20"/>
          <w:szCs w:val="20"/>
          <w:b w:val="1"/>
          <w:bCs w:val="1"/>
          <w:color w:val="auto"/>
        </w:rPr>
        <w:t>NOTE P – REVENUE</w:t>
      </w:r>
    </w:p>
    <w:p>
      <w:pPr>
        <w:spacing w:after="0" w:line="108"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Disaggregation of revenue</w:t>
      </w:r>
    </w:p>
    <w:p>
      <w:pPr>
        <w:spacing w:after="0" w:line="114" w:lineRule="exact"/>
        <w:rPr>
          <w:sz w:val="20"/>
          <w:szCs w:val="20"/>
          <w:color w:val="auto"/>
        </w:rPr>
      </w:pPr>
    </w:p>
    <w:p>
      <w:pPr>
        <w:jc w:val="both"/>
        <w:ind w:left="380"/>
        <w:spacing w:after="0" w:line="246" w:lineRule="auto"/>
        <w:rPr>
          <w:sz w:val="20"/>
          <w:szCs w:val="20"/>
          <w:color w:val="auto"/>
        </w:rPr>
      </w:pPr>
      <w:r>
        <w:rPr>
          <w:rFonts w:ascii="Arial" w:cs="Arial" w:eastAsia="Arial" w:hAnsi="Arial"/>
          <w:sz w:val="20"/>
          <w:szCs w:val="20"/>
          <w:color w:val="auto"/>
        </w:rPr>
        <w:t>Ashland disaggregates its revenue by segment and geographical region as Ashland believes these categories best depict how management reviews the financial performance of its operations. Ashland includes only U.S. and Canada in its North America designation and includes Europe, the Middle East and Africa in its Europe designation. See the following tables for details. See Note Q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80645</wp:posOffset>
            </wp:positionV>
            <wp:extent cx="663511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635115" cy="8255"/>
                    </a:xfrm>
                    <a:prstGeom prst="rect">
                      <a:avLst/>
                    </a:prstGeom>
                    <a:noFill/>
                  </pic:spPr>
                </pic:pic>
              </a:graphicData>
            </a:graphic>
          </wp:anchor>
        </w:drawing>
      </w:r>
    </w:p>
    <w:p>
      <w:pPr>
        <w:spacing w:after="0" w:line="116"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Sales by geography</w:t>
      </w:r>
    </w:p>
    <w:p>
      <w:pPr>
        <w:spacing w:after="0" w:line="21" w:lineRule="exact"/>
        <w:rPr>
          <w:sz w:val="20"/>
          <w:szCs w:val="20"/>
          <w:color w:val="auto"/>
        </w:rPr>
      </w:pPr>
    </w:p>
    <w:tbl>
      <w:tblPr>
        <w:tblLayout w:type="fixed"/>
        <w:tblInd w:w="400" w:type="dxa"/>
        <w:tblCellMar>
          <w:top w:w="0" w:type="dxa"/>
          <w:left w:w="0" w:type="dxa"/>
          <w:bottom w:w="0" w:type="dxa"/>
          <w:right w:w="0" w:type="dxa"/>
        </w:tblCellMar>
      </w:tblPr>
      <w:tr>
        <w:trPr>
          <w:trHeight w:val="227"/>
        </w:trPr>
        <w:tc>
          <w:tcPr>
            <w:tcW w:w="41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2260" w:type="dxa"/>
            <w:vAlign w:val="bottom"/>
            <w:tcBorders>
              <w:top w:val="single" w:sz="8" w:color="auto"/>
            </w:tcBorders>
            <w:gridSpan w:val="3"/>
          </w:tcPr>
          <w:p>
            <w:pPr>
              <w:jc w:val="right"/>
              <w:ind w:right="302"/>
              <w:spacing w:after="0"/>
              <w:rPr>
                <w:sz w:val="20"/>
                <w:szCs w:val="20"/>
                <w:color w:val="auto"/>
              </w:rPr>
            </w:pPr>
            <w:r>
              <w:rPr>
                <w:rFonts w:ascii="Arial" w:cs="Arial" w:eastAsia="Arial" w:hAnsi="Arial"/>
                <w:sz w:val="17"/>
                <w:szCs w:val="17"/>
                <w:color w:val="auto"/>
              </w:rPr>
              <w:t>Three months ended</w:t>
            </w:r>
          </w:p>
        </w:tc>
        <w:tc>
          <w:tcPr>
            <w:tcW w:w="5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2740" w:type="dxa"/>
            <w:vAlign w:val="bottom"/>
            <w:tcBorders>
              <w:top w:val="single" w:sz="8" w:color="auto"/>
            </w:tcBorders>
            <w:gridSpan w:val="4"/>
          </w:tcPr>
          <w:p>
            <w:pPr>
              <w:jc w:val="right"/>
              <w:ind w:right="835"/>
              <w:spacing w:after="0"/>
              <w:rPr>
                <w:sz w:val="20"/>
                <w:szCs w:val="20"/>
                <w:color w:val="auto"/>
              </w:rPr>
            </w:pPr>
            <w:r>
              <w:rPr>
                <w:rFonts w:ascii="Arial" w:cs="Arial" w:eastAsia="Arial" w:hAnsi="Arial"/>
                <w:sz w:val="17"/>
                <w:szCs w:val="17"/>
                <w:color w:val="auto"/>
              </w:rPr>
              <w:t>Nine months ended</w:t>
            </w:r>
          </w:p>
        </w:tc>
      </w:tr>
      <w:tr>
        <w:trPr>
          <w:trHeight w:val="236"/>
        </w:trPr>
        <w:tc>
          <w:tcPr>
            <w:tcW w:w="4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jc w:val="right"/>
              <w:ind w:right="742"/>
              <w:spacing w:after="0"/>
              <w:rPr>
                <w:sz w:val="20"/>
                <w:szCs w:val="20"/>
                <w:color w:val="auto"/>
              </w:rPr>
            </w:pPr>
            <w:r>
              <w:rPr>
                <w:rFonts w:ascii="Arial" w:cs="Arial" w:eastAsia="Arial" w:hAnsi="Arial"/>
                <w:sz w:val="17"/>
                <w:szCs w:val="17"/>
                <w:color w:val="auto"/>
              </w:rPr>
              <w:t>June 30</w:t>
            </w:r>
          </w:p>
        </w:tc>
        <w:tc>
          <w:tcPr>
            <w:tcW w:w="5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95"/>
              <w:spacing w:after="0"/>
              <w:rPr>
                <w:sz w:val="20"/>
                <w:szCs w:val="20"/>
                <w:color w:val="auto"/>
              </w:rPr>
            </w:pPr>
            <w:r>
              <w:rPr>
                <w:rFonts w:ascii="Arial" w:cs="Arial" w:eastAsia="Arial" w:hAnsi="Arial"/>
                <w:sz w:val="17"/>
                <w:szCs w:val="17"/>
                <w:color w:val="auto"/>
              </w:rPr>
              <w:t>June 30</w:t>
            </w:r>
          </w:p>
        </w:tc>
        <w:tc>
          <w:tcPr>
            <w:tcW w:w="1140" w:type="dxa"/>
            <w:vAlign w:val="bottom"/>
            <w:tcBorders>
              <w:bottom w:val="single" w:sz="8" w:color="auto"/>
            </w:tcBorders>
          </w:tcPr>
          <w:p>
            <w:pPr>
              <w:spacing w:after="0"/>
              <w:rPr>
                <w:sz w:val="20"/>
                <w:szCs w:val="20"/>
                <w:color w:val="auto"/>
              </w:rPr>
            </w:pPr>
          </w:p>
        </w:tc>
      </w:tr>
      <w:tr>
        <w:trPr>
          <w:trHeight w:val="223"/>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(In millions)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color w:val="auto"/>
              </w:rPr>
              <w:t>2023</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2"/>
              <w:spacing w:after="0"/>
              <w:rPr>
                <w:sz w:val="20"/>
                <w:szCs w:val="20"/>
                <w:color w:val="auto"/>
              </w:rPr>
            </w:pPr>
            <w:r>
              <w:rPr>
                <w:rFonts w:ascii="Arial" w:cs="Arial" w:eastAsia="Arial" w:hAnsi="Arial"/>
                <w:sz w:val="17"/>
                <w:szCs w:val="17"/>
                <w:color w:val="auto"/>
              </w:rPr>
              <w:t>2022</w:t>
            </w:r>
          </w:p>
        </w:tc>
        <w:tc>
          <w:tcPr>
            <w:tcW w:w="5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color w:val="auto"/>
              </w:rPr>
              <w:t>2023</w:t>
            </w:r>
          </w:p>
        </w:tc>
        <w:tc>
          <w:tcPr>
            <w:tcW w:w="2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color w:val="auto"/>
              </w:rPr>
              <w:t>2022</w:t>
            </w:r>
          </w:p>
        </w:tc>
      </w:tr>
      <w:tr>
        <w:trPr>
          <w:trHeight w:val="223"/>
        </w:trPr>
        <w:tc>
          <w:tcPr>
            <w:tcW w:w="41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ind w:left="240"/>
              <w:spacing w:after="0"/>
              <w:rPr>
                <w:sz w:val="20"/>
                <w:szCs w:val="20"/>
                <w:color w:val="auto"/>
              </w:rPr>
            </w:pPr>
            <w:r>
              <w:rPr>
                <w:rFonts w:ascii="Arial" w:cs="Arial" w:eastAsia="Arial" w:hAnsi="Arial"/>
                <w:sz w:val="17"/>
                <w:szCs w:val="17"/>
                <w:color w:val="auto"/>
              </w:rPr>
              <w:t>Life Sciences</w:t>
            </w: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r>
      <w:tr>
        <w:trPr>
          <w:trHeight w:val="229"/>
        </w:trPr>
        <w:tc>
          <w:tcPr>
            <w:tcW w:w="4180" w:type="dxa"/>
            <w:vAlign w:val="bottom"/>
            <w:shd w:val="clear" w:color="auto" w:fill="CFF0FC"/>
          </w:tcPr>
          <w:p>
            <w:pPr>
              <w:ind w:left="100"/>
              <w:spacing w:after="0"/>
              <w:rPr>
                <w:sz w:val="20"/>
                <w:szCs w:val="20"/>
                <w:color w:val="auto"/>
              </w:rPr>
            </w:pPr>
            <w:r>
              <w:rPr>
                <w:rFonts w:ascii="Arial" w:cs="Arial" w:eastAsia="Arial" w:hAnsi="Arial"/>
                <w:sz w:val="17"/>
                <w:szCs w:val="17"/>
                <w:color w:val="auto"/>
              </w:rPr>
              <w:t>North America</w:t>
            </w:r>
          </w:p>
        </w:tc>
        <w:tc>
          <w:tcPr>
            <w:tcW w:w="280" w:type="dxa"/>
            <w:vAlign w:val="bottom"/>
            <w:shd w:val="clear" w:color="auto" w:fill="CFF0FC"/>
          </w:tcPr>
          <w:p>
            <w:pPr>
              <w:jc w:val="right"/>
              <w:ind w:right="95"/>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57</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762"/>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70</w:t>
            </w:r>
          </w:p>
        </w:tc>
        <w:tc>
          <w:tcPr>
            <w:tcW w:w="480" w:type="dxa"/>
            <w:vAlign w:val="bottom"/>
            <w:gridSpan w:val="2"/>
            <w:shd w:val="clear" w:color="auto" w:fill="CFF0FC"/>
          </w:tcPr>
          <w:p>
            <w:pPr>
              <w:jc w:val="right"/>
              <w:ind w:right="115"/>
              <w:spacing w:after="0"/>
              <w:rPr>
                <w:sz w:val="20"/>
                <w:szCs w:val="20"/>
                <w:color w:val="auto"/>
              </w:rPr>
            </w:pPr>
            <w:r>
              <w:rPr>
                <w:rFonts w:ascii="Arial" w:cs="Arial" w:eastAsia="Arial" w:hAnsi="Arial"/>
                <w:sz w:val="17"/>
                <w:szCs w:val="17"/>
                <w:color w:val="auto"/>
              </w:rPr>
              <w:t>$</w:t>
            </w:r>
          </w:p>
        </w:tc>
        <w:tc>
          <w:tcPr>
            <w:tcW w:w="112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166</w:t>
            </w:r>
          </w:p>
        </w:tc>
        <w:tc>
          <w:tcPr>
            <w:tcW w:w="480" w:type="dxa"/>
            <w:vAlign w:val="bottom"/>
            <w:gridSpan w:val="2"/>
            <w:shd w:val="clear" w:color="auto" w:fill="CFF0FC"/>
          </w:tcPr>
          <w:p>
            <w:pPr>
              <w:jc w:val="right"/>
              <w:ind w:right="9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185</w:t>
            </w:r>
          </w:p>
        </w:tc>
      </w:tr>
      <w:tr>
        <w:trPr>
          <w:trHeight w:val="223"/>
        </w:trPr>
        <w:tc>
          <w:tcPr>
            <w:tcW w:w="4180" w:type="dxa"/>
            <w:vAlign w:val="bottom"/>
          </w:tcPr>
          <w:p>
            <w:pPr>
              <w:ind w:left="100"/>
              <w:spacing w:after="0"/>
              <w:rPr>
                <w:sz w:val="20"/>
                <w:szCs w:val="20"/>
                <w:color w:val="auto"/>
              </w:rPr>
            </w:pPr>
            <w:r>
              <w:rPr>
                <w:rFonts w:ascii="Arial" w:cs="Arial" w:eastAsia="Arial" w:hAnsi="Arial"/>
                <w:sz w:val="17"/>
                <w:szCs w:val="17"/>
                <w:color w:val="auto"/>
              </w:rPr>
              <w:t>Europe</w:t>
            </w:r>
          </w:p>
        </w:tc>
        <w:tc>
          <w:tcPr>
            <w:tcW w:w="280" w:type="dxa"/>
            <w:vAlign w:val="bottom"/>
          </w:tcPr>
          <w:p>
            <w:pPr>
              <w:spacing w:after="0"/>
              <w:rPr>
                <w:sz w:val="19"/>
                <w:szCs w:val="19"/>
                <w:color w:val="auto"/>
              </w:rPr>
            </w:pPr>
          </w:p>
        </w:tc>
        <w:tc>
          <w:tcPr>
            <w:tcW w:w="1140" w:type="dxa"/>
            <w:vAlign w:val="bottom"/>
          </w:tcPr>
          <w:p>
            <w:pPr>
              <w:jc w:val="right"/>
              <w:ind w:right="55"/>
              <w:spacing w:after="0"/>
              <w:rPr>
                <w:sz w:val="20"/>
                <w:szCs w:val="20"/>
                <w:color w:val="auto"/>
              </w:rPr>
            </w:pPr>
            <w:r>
              <w:rPr>
                <w:rFonts w:ascii="Arial" w:cs="Arial" w:eastAsia="Arial" w:hAnsi="Arial"/>
                <w:sz w:val="17"/>
                <w:szCs w:val="17"/>
                <w:color w:val="auto"/>
              </w:rPr>
              <w:t>77</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ind w:right="55"/>
              <w:spacing w:after="0"/>
              <w:rPr>
                <w:sz w:val="20"/>
                <w:szCs w:val="20"/>
                <w:color w:val="auto"/>
              </w:rPr>
            </w:pPr>
            <w:r>
              <w:rPr>
                <w:rFonts w:ascii="Arial" w:cs="Arial" w:eastAsia="Arial" w:hAnsi="Arial"/>
                <w:sz w:val="17"/>
                <w:szCs w:val="17"/>
                <w:color w:val="auto"/>
              </w:rPr>
              <w:t>76</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237</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55"/>
              <w:spacing w:after="0"/>
              <w:rPr>
                <w:sz w:val="20"/>
                <w:szCs w:val="20"/>
                <w:color w:val="auto"/>
              </w:rPr>
            </w:pPr>
            <w:r>
              <w:rPr>
                <w:rFonts w:ascii="Arial" w:cs="Arial" w:eastAsia="Arial" w:hAnsi="Arial"/>
                <w:sz w:val="17"/>
                <w:szCs w:val="17"/>
                <w:color w:val="auto"/>
              </w:rPr>
              <w:t>197</w:t>
            </w:r>
          </w:p>
        </w:tc>
      </w:tr>
      <w:tr>
        <w:trPr>
          <w:trHeight w:val="236"/>
        </w:trPr>
        <w:tc>
          <w:tcPr>
            <w:tcW w:w="4180" w:type="dxa"/>
            <w:vAlign w:val="bottom"/>
            <w:shd w:val="clear" w:color="auto" w:fill="CFF0FC"/>
          </w:tcPr>
          <w:p>
            <w:pPr>
              <w:ind w:left="100"/>
              <w:spacing w:after="0"/>
              <w:rPr>
                <w:sz w:val="20"/>
                <w:szCs w:val="20"/>
                <w:color w:val="auto"/>
              </w:rPr>
            </w:pPr>
            <w:r>
              <w:rPr>
                <w:rFonts w:ascii="Arial" w:cs="Arial" w:eastAsia="Arial" w:hAnsi="Arial"/>
                <w:sz w:val="17"/>
                <w:szCs w:val="17"/>
                <w:color w:val="auto"/>
              </w:rPr>
              <w:t>Asia Pacific</w:t>
            </w:r>
          </w:p>
        </w:tc>
        <w:tc>
          <w:tcPr>
            <w:tcW w:w="28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60</w:t>
            </w:r>
          </w:p>
        </w:tc>
        <w:tc>
          <w:tcPr>
            <w:tcW w:w="2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50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61</w:t>
            </w: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182</w:t>
            </w: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159</w:t>
            </w:r>
          </w:p>
        </w:tc>
      </w:tr>
      <w:tr>
        <w:trPr>
          <w:trHeight w:val="228"/>
        </w:trPr>
        <w:tc>
          <w:tcPr>
            <w:tcW w:w="4180" w:type="dxa"/>
            <w:vAlign w:val="bottom"/>
          </w:tcPr>
          <w:p>
            <w:pPr>
              <w:ind w:left="100"/>
              <w:spacing w:after="0"/>
              <w:rPr>
                <w:sz w:val="20"/>
                <w:szCs w:val="20"/>
                <w:color w:val="auto"/>
              </w:rPr>
            </w:pPr>
            <w:r>
              <w:rPr>
                <w:rFonts w:ascii="Arial" w:cs="Arial" w:eastAsia="Arial" w:hAnsi="Arial"/>
                <w:sz w:val="17"/>
                <w:szCs w:val="17"/>
                <w:color w:val="auto"/>
              </w:rPr>
              <w:t>Latin America &amp; other</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25</w:t>
            </w:r>
          </w:p>
        </w:tc>
        <w:tc>
          <w:tcPr>
            <w:tcW w:w="20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21</w:t>
            </w:r>
          </w:p>
        </w:tc>
        <w:tc>
          <w:tcPr>
            <w:tcW w:w="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81</w:t>
            </w: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61</w:t>
            </w:r>
          </w:p>
        </w:tc>
      </w:tr>
      <w:tr>
        <w:trPr>
          <w:trHeight w:val="258"/>
        </w:trPr>
        <w:tc>
          <w:tcPr>
            <w:tcW w:w="418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ind w:right="95"/>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7"/>
                <w:szCs w:val="17"/>
                <w:color w:val="auto"/>
              </w:rPr>
              <w:t>219</w:t>
            </w:r>
          </w:p>
        </w:tc>
        <w:tc>
          <w:tcPr>
            <w:tcW w:w="200" w:type="dxa"/>
            <w:vAlign w:val="bottom"/>
            <w:tcBorders>
              <w:bottom w:val="single" w:sz="8" w:color="CFF0FC"/>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ind w:right="762"/>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7"/>
                <w:szCs w:val="17"/>
                <w:color w:val="auto"/>
              </w:rPr>
              <w:t>228</w:t>
            </w:r>
          </w:p>
        </w:tc>
        <w:tc>
          <w:tcPr>
            <w:tcW w:w="18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ind w:right="115"/>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7"/>
                <w:szCs w:val="17"/>
                <w:color w:val="auto"/>
              </w:rPr>
              <w:t>666</w:t>
            </w:r>
          </w:p>
        </w:tc>
        <w:tc>
          <w:tcPr>
            <w:tcW w:w="20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ind w:right="95"/>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7"/>
                <w:szCs w:val="17"/>
                <w:color w:val="auto"/>
              </w:rPr>
              <w:t>602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-25400</wp:posOffset>
            </wp:positionV>
            <wp:extent cx="3986530" cy="6343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986530" cy="634365"/>
                    </a:xfrm>
                    <a:prstGeom prst="rect">
                      <a:avLst/>
                    </a:prstGeom>
                    <a:noFill/>
                  </pic:spPr>
                </pic:pic>
              </a:graphicData>
            </a:graphic>
          </wp:anchor>
        </w:drawing>
      </w:r>
    </w:p>
    <w:p>
      <w:pPr>
        <w:sectPr>
          <w:pgSz w:w="11900" w:h="16838" w:orient="portrait"/>
          <w:cols w:equalWidth="0" w:num="1">
            <w:col w:w="10860"/>
          </w:cols>
          <w:pgMar w:left="320" w:top="441" w:right="719" w:bottom="1440" w:gutter="0" w:footer="0" w:header="0"/>
        </w:sectPr>
      </w:pPr>
    </w:p>
    <w:p>
      <w:pPr>
        <w:spacing w:after="0" w:line="239" w:lineRule="exact"/>
        <w:rPr>
          <w:sz w:val="20"/>
          <w:szCs w:val="20"/>
          <w:color w:val="auto"/>
        </w:rPr>
      </w:pPr>
    </w:p>
    <w:p>
      <w:pPr>
        <w:jc w:val="center"/>
        <w:ind w:left="4200"/>
        <w:spacing w:after="0"/>
        <w:rPr>
          <w:sz w:val="20"/>
          <w:szCs w:val="20"/>
          <w:color w:val="auto"/>
        </w:rPr>
      </w:pPr>
      <w:r>
        <w:rPr>
          <w:rFonts w:ascii="Arial" w:cs="Arial" w:eastAsia="Arial" w:hAnsi="Arial"/>
          <w:sz w:val="15"/>
          <w:szCs w:val="15"/>
          <w:color w:val="auto"/>
        </w:rPr>
        <w:t>Three months ended</w:t>
      </w:r>
    </w:p>
    <w:p>
      <w:pPr>
        <w:spacing w:after="0" w:line="57" w:lineRule="exact"/>
        <w:rPr>
          <w:sz w:val="20"/>
          <w:szCs w:val="20"/>
          <w:color w:val="auto"/>
        </w:rPr>
      </w:pPr>
    </w:p>
    <w:p>
      <w:pPr>
        <w:jc w:val="center"/>
        <w:ind w:left="4200"/>
        <w:spacing w:after="0"/>
        <w:rPr>
          <w:sz w:val="20"/>
          <w:szCs w:val="20"/>
          <w:color w:val="auto"/>
        </w:rPr>
      </w:pPr>
      <w:r>
        <w:rPr>
          <w:rFonts w:ascii="Arial" w:cs="Arial" w:eastAsia="Arial" w:hAnsi="Arial"/>
          <w:sz w:val="17"/>
          <w:szCs w:val="17"/>
          <w:color w:val="auto"/>
        </w:rPr>
        <w:t>June 30</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jc w:val="center"/>
        <w:ind w:right="940"/>
        <w:spacing w:after="0"/>
        <w:rPr>
          <w:sz w:val="20"/>
          <w:szCs w:val="20"/>
          <w:color w:val="auto"/>
        </w:rPr>
      </w:pPr>
      <w:r>
        <w:rPr>
          <w:rFonts w:ascii="Arial" w:cs="Arial" w:eastAsia="Arial" w:hAnsi="Arial"/>
          <w:sz w:val="15"/>
          <w:szCs w:val="15"/>
          <w:color w:val="auto"/>
        </w:rPr>
        <w:t>Nine months ended</w:t>
      </w:r>
    </w:p>
    <w:p>
      <w:pPr>
        <w:spacing w:after="0" w:line="57" w:lineRule="exact"/>
        <w:rPr>
          <w:sz w:val="20"/>
          <w:szCs w:val="20"/>
          <w:color w:val="auto"/>
        </w:rPr>
      </w:pPr>
    </w:p>
    <w:p>
      <w:pPr>
        <w:jc w:val="center"/>
        <w:ind w:right="940"/>
        <w:spacing w:after="0"/>
        <w:rPr>
          <w:sz w:val="20"/>
          <w:szCs w:val="20"/>
          <w:color w:val="auto"/>
        </w:rPr>
      </w:pPr>
      <w:r>
        <w:rPr>
          <w:rFonts w:ascii="Arial" w:cs="Arial" w:eastAsia="Arial" w:hAnsi="Arial"/>
          <w:sz w:val="17"/>
          <w:szCs w:val="17"/>
          <w:color w:val="auto"/>
        </w:rPr>
        <w:t>June 30</w:t>
      </w:r>
    </w:p>
    <w:p>
      <w:pPr>
        <w:spacing w:after="0" w:line="21" w:lineRule="exact"/>
        <w:rPr>
          <w:sz w:val="20"/>
          <w:szCs w:val="20"/>
          <w:color w:val="auto"/>
        </w:rPr>
      </w:pPr>
    </w:p>
    <w:p>
      <w:pPr>
        <w:sectPr>
          <w:pgSz w:w="11900" w:h="16838" w:orient="portrait"/>
          <w:cols w:equalWidth="0" w:num="2">
            <w:col w:w="7880" w:space="720"/>
            <w:col w:w="2260"/>
          </w:cols>
          <w:pgMar w:left="320" w:top="441" w:right="719" w:bottom="1440" w:gutter="0" w:footer="0" w:header="0"/>
          <w:type w:val="continuous"/>
        </w:sectPr>
      </w:pPr>
    </w:p>
    <w:tbl>
      <w:tblPr>
        <w:tblLayout w:type="fixed"/>
        <w:tblInd w:w="400" w:type="dxa"/>
        <w:tblCellMar>
          <w:top w:w="0" w:type="dxa"/>
          <w:left w:w="0" w:type="dxa"/>
          <w:bottom w:w="0" w:type="dxa"/>
          <w:right w:w="0" w:type="dxa"/>
        </w:tblCellMar>
      </w:tblPr>
      <w:tr>
        <w:trPr>
          <w:trHeight w:val="234"/>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(In millions)</w:t>
            </w:r>
          </w:p>
        </w:tc>
        <w:tc>
          <w:tcPr>
            <w:tcW w:w="20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7"/>
                <w:szCs w:val="17"/>
                <w:color w:val="auto"/>
              </w:rPr>
              <w:t>2023</w:t>
            </w: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7"/>
                <w:szCs w:val="17"/>
                <w:color w:val="auto"/>
              </w:rPr>
              <w:t>2022</w:t>
            </w:r>
          </w:p>
        </w:tc>
        <w:tc>
          <w:tcPr>
            <w:tcW w:w="500" w:type="dxa"/>
            <w:vAlign w:val="bottom"/>
            <w:tcBorders>
              <w:top w:val="single" w:sz="8" w:color="auto"/>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7"/>
                <w:szCs w:val="17"/>
                <w:color w:val="auto"/>
              </w:rPr>
              <w:t>2023</w:t>
            </w:r>
          </w:p>
        </w:tc>
        <w:tc>
          <w:tcPr>
            <w:tcW w:w="20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7"/>
                <w:szCs w:val="17"/>
                <w:color w:val="auto"/>
              </w:rPr>
              <w:t>2022</w:t>
            </w:r>
          </w:p>
        </w:tc>
      </w:tr>
      <w:tr>
        <w:trPr>
          <w:trHeight w:val="223"/>
        </w:trPr>
        <w:tc>
          <w:tcPr>
            <w:tcW w:w="41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ind w:left="300"/>
              <w:spacing w:after="0"/>
              <w:rPr>
                <w:sz w:val="20"/>
                <w:szCs w:val="20"/>
                <w:color w:val="auto"/>
              </w:rPr>
            </w:pPr>
            <w:r>
              <w:rPr>
                <w:rFonts w:ascii="Arial" w:cs="Arial" w:eastAsia="Arial" w:hAnsi="Arial"/>
                <w:sz w:val="17"/>
                <w:szCs w:val="17"/>
                <w:color w:val="auto"/>
              </w:rPr>
              <w:t>Personal Care</w:t>
            </w: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r>
      <w:tr>
        <w:trPr>
          <w:trHeight w:val="230"/>
        </w:trPr>
        <w:tc>
          <w:tcPr>
            <w:tcW w:w="4180" w:type="dxa"/>
            <w:vAlign w:val="bottom"/>
            <w:shd w:val="clear" w:color="auto" w:fill="CFF0FC"/>
          </w:tcPr>
          <w:p>
            <w:pPr>
              <w:ind w:left="100"/>
              <w:spacing w:after="0"/>
              <w:rPr>
                <w:sz w:val="20"/>
                <w:szCs w:val="20"/>
                <w:color w:val="auto"/>
              </w:rPr>
            </w:pPr>
            <w:r>
              <w:rPr>
                <w:rFonts w:ascii="Arial" w:cs="Arial" w:eastAsia="Arial" w:hAnsi="Arial"/>
                <w:sz w:val="17"/>
                <w:szCs w:val="17"/>
                <w:color w:val="auto"/>
              </w:rPr>
              <w:t>North America</w:t>
            </w:r>
          </w:p>
        </w:tc>
        <w:tc>
          <w:tcPr>
            <w:tcW w:w="20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43</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762"/>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50</w:t>
            </w:r>
          </w:p>
        </w:tc>
        <w:tc>
          <w:tcPr>
            <w:tcW w:w="480" w:type="dxa"/>
            <w:vAlign w:val="bottom"/>
            <w:gridSpan w:val="2"/>
            <w:shd w:val="clear" w:color="auto" w:fill="CFF0FC"/>
          </w:tcPr>
          <w:p>
            <w:pPr>
              <w:jc w:val="right"/>
              <w:ind w:right="115"/>
              <w:spacing w:after="0"/>
              <w:rPr>
                <w:sz w:val="20"/>
                <w:szCs w:val="20"/>
                <w:color w:val="auto"/>
              </w:rPr>
            </w:pPr>
            <w:r>
              <w:rPr>
                <w:rFonts w:ascii="Arial" w:cs="Arial" w:eastAsia="Arial" w:hAnsi="Arial"/>
                <w:sz w:val="17"/>
                <w:szCs w:val="17"/>
                <w:color w:val="auto"/>
              </w:rPr>
              <w:t>$</w:t>
            </w:r>
          </w:p>
        </w:tc>
        <w:tc>
          <w:tcPr>
            <w:tcW w:w="112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134</w:t>
            </w:r>
          </w:p>
        </w:tc>
        <w:tc>
          <w:tcPr>
            <w:tcW w:w="480" w:type="dxa"/>
            <w:vAlign w:val="bottom"/>
            <w:gridSpan w:val="2"/>
            <w:shd w:val="clear" w:color="auto" w:fill="CFF0FC"/>
          </w:tcPr>
          <w:p>
            <w:pPr>
              <w:jc w:val="right"/>
              <w:ind w:right="9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146</w:t>
            </w:r>
          </w:p>
        </w:tc>
      </w:tr>
      <w:tr>
        <w:trPr>
          <w:trHeight w:val="223"/>
        </w:trPr>
        <w:tc>
          <w:tcPr>
            <w:tcW w:w="4180" w:type="dxa"/>
            <w:vAlign w:val="bottom"/>
          </w:tcPr>
          <w:p>
            <w:pPr>
              <w:ind w:left="100"/>
              <w:spacing w:after="0"/>
              <w:rPr>
                <w:sz w:val="20"/>
                <w:szCs w:val="20"/>
                <w:color w:val="auto"/>
              </w:rPr>
            </w:pPr>
            <w:r>
              <w:rPr>
                <w:rFonts w:ascii="Arial" w:cs="Arial" w:eastAsia="Arial" w:hAnsi="Arial"/>
                <w:sz w:val="17"/>
                <w:szCs w:val="17"/>
                <w:color w:val="auto"/>
              </w:rPr>
              <w:t>Europe</w:t>
            </w:r>
          </w:p>
        </w:tc>
        <w:tc>
          <w:tcPr>
            <w:tcW w:w="200" w:type="dxa"/>
            <w:vAlign w:val="bottom"/>
          </w:tcPr>
          <w:p>
            <w:pPr>
              <w:spacing w:after="0"/>
              <w:rPr>
                <w:sz w:val="19"/>
                <w:szCs w:val="19"/>
                <w:color w:val="auto"/>
              </w:rPr>
            </w:pPr>
          </w:p>
        </w:tc>
        <w:tc>
          <w:tcPr>
            <w:tcW w:w="1220" w:type="dxa"/>
            <w:vAlign w:val="bottom"/>
          </w:tcPr>
          <w:p>
            <w:pPr>
              <w:jc w:val="right"/>
              <w:ind w:right="55"/>
              <w:spacing w:after="0"/>
              <w:rPr>
                <w:sz w:val="20"/>
                <w:szCs w:val="20"/>
                <w:color w:val="auto"/>
              </w:rPr>
            </w:pPr>
            <w:r>
              <w:rPr>
                <w:rFonts w:ascii="Arial" w:cs="Arial" w:eastAsia="Arial" w:hAnsi="Arial"/>
                <w:sz w:val="17"/>
                <w:szCs w:val="17"/>
                <w:color w:val="auto"/>
              </w:rPr>
              <w:t>53</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ind w:right="55"/>
              <w:spacing w:after="0"/>
              <w:rPr>
                <w:sz w:val="20"/>
                <w:szCs w:val="20"/>
                <w:color w:val="auto"/>
              </w:rPr>
            </w:pPr>
            <w:r>
              <w:rPr>
                <w:rFonts w:ascii="Arial" w:cs="Arial" w:eastAsia="Arial" w:hAnsi="Arial"/>
                <w:sz w:val="17"/>
                <w:szCs w:val="17"/>
                <w:color w:val="auto"/>
              </w:rPr>
              <w:t>69</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173</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55"/>
              <w:spacing w:after="0"/>
              <w:rPr>
                <w:sz w:val="20"/>
                <w:szCs w:val="20"/>
                <w:color w:val="auto"/>
              </w:rPr>
            </w:pPr>
            <w:r>
              <w:rPr>
                <w:rFonts w:ascii="Arial" w:cs="Arial" w:eastAsia="Arial" w:hAnsi="Arial"/>
                <w:sz w:val="17"/>
                <w:szCs w:val="17"/>
                <w:color w:val="auto"/>
              </w:rPr>
              <w:t>194</w:t>
            </w:r>
          </w:p>
        </w:tc>
      </w:tr>
      <w:tr>
        <w:trPr>
          <w:trHeight w:val="236"/>
        </w:trPr>
        <w:tc>
          <w:tcPr>
            <w:tcW w:w="4180" w:type="dxa"/>
            <w:vAlign w:val="bottom"/>
            <w:shd w:val="clear" w:color="auto" w:fill="CFF0FC"/>
          </w:tcPr>
          <w:p>
            <w:pPr>
              <w:ind w:left="100"/>
              <w:spacing w:after="0"/>
              <w:rPr>
                <w:sz w:val="20"/>
                <w:szCs w:val="20"/>
                <w:color w:val="auto"/>
              </w:rPr>
            </w:pPr>
            <w:r>
              <w:rPr>
                <w:rFonts w:ascii="Arial" w:cs="Arial" w:eastAsia="Arial" w:hAnsi="Arial"/>
                <w:sz w:val="17"/>
                <w:szCs w:val="17"/>
                <w:color w:val="auto"/>
              </w:rPr>
              <w:t>Asia Pacific</w:t>
            </w:r>
          </w:p>
        </w:tc>
        <w:tc>
          <w:tcPr>
            <w:tcW w:w="20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28</w:t>
            </w:r>
          </w:p>
        </w:tc>
        <w:tc>
          <w:tcPr>
            <w:tcW w:w="2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50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31</w:t>
            </w: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84</w:t>
            </w: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93</w:t>
            </w:r>
          </w:p>
        </w:tc>
      </w:tr>
      <w:tr>
        <w:trPr>
          <w:trHeight w:val="227"/>
        </w:trPr>
        <w:tc>
          <w:tcPr>
            <w:tcW w:w="4180" w:type="dxa"/>
            <w:vAlign w:val="bottom"/>
          </w:tcPr>
          <w:p>
            <w:pPr>
              <w:ind w:left="100"/>
              <w:spacing w:after="0"/>
              <w:rPr>
                <w:sz w:val="20"/>
                <w:szCs w:val="20"/>
                <w:color w:val="auto"/>
              </w:rPr>
            </w:pPr>
            <w:r>
              <w:rPr>
                <w:rFonts w:ascii="Arial" w:cs="Arial" w:eastAsia="Arial" w:hAnsi="Arial"/>
                <w:sz w:val="17"/>
                <w:szCs w:val="17"/>
                <w:color w:val="auto"/>
              </w:rPr>
              <w:t>Latin America &amp; other</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22</w:t>
            </w:r>
          </w:p>
        </w:tc>
        <w:tc>
          <w:tcPr>
            <w:tcW w:w="20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22</w:t>
            </w:r>
          </w:p>
        </w:tc>
        <w:tc>
          <w:tcPr>
            <w:tcW w:w="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61</w:t>
            </w: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57</w:t>
            </w:r>
          </w:p>
        </w:tc>
      </w:tr>
      <w:tr>
        <w:trPr>
          <w:trHeight w:val="258"/>
        </w:trPr>
        <w:tc>
          <w:tcPr>
            <w:tcW w:w="418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7"/>
                <w:szCs w:val="17"/>
                <w:color w:val="auto"/>
              </w:rPr>
              <w:t>146</w:t>
            </w:r>
          </w:p>
        </w:tc>
        <w:tc>
          <w:tcPr>
            <w:tcW w:w="200" w:type="dxa"/>
            <w:vAlign w:val="bottom"/>
            <w:tcBorders>
              <w:bottom w:val="single" w:sz="8" w:color="CFF0FC"/>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ind w:right="762"/>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7"/>
                <w:szCs w:val="17"/>
                <w:color w:val="auto"/>
              </w:rPr>
              <w:t>172</w:t>
            </w:r>
          </w:p>
        </w:tc>
        <w:tc>
          <w:tcPr>
            <w:tcW w:w="18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ind w:right="115"/>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7"/>
                <w:szCs w:val="17"/>
                <w:color w:val="auto"/>
              </w:rPr>
              <w:t>452</w:t>
            </w:r>
          </w:p>
        </w:tc>
        <w:tc>
          <w:tcPr>
            <w:tcW w:w="20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ind w:right="95"/>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7"/>
                <w:szCs w:val="17"/>
                <w:color w:val="auto"/>
              </w:rPr>
              <w:t>490</w:t>
            </w:r>
          </w:p>
        </w:tc>
      </w:tr>
      <w:tr>
        <w:trPr>
          <w:trHeight w:val="217"/>
        </w:trPr>
        <w:tc>
          <w:tcPr>
            <w:tcW w:w="4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3"/>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4"/>
          </w:tcPr>
          <w:p>
            <w:pPr>
              <w:spacing w:after="0"/>
              <w:rPr>
                <w:sz w:val="18"/>
                <w:szCs w:val="18"/>
                <w:color w:val="auto"/>
              </w:rPr>
            </w:pPr>
          </w:p>
        </w:tc>
      </w:tr>
      <w:tr>
        <w:trPr>
          <w:trHeight w:val="210"/>
        </w:trPr>
        <w:tc>
          <w:tcPr>
            <w:tcW w:w="4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gridSpan w:val="3"/>
          </w:tcPr>
          <w:p>
            <w:pPr>
              <w:jc w:val="right"/>
              <w:ind w:right="302"/>
              <w:spacing w:after="0"/>
              <w:rPr>
                <w:sz w:val="20"/>
                <w:szCs w:val="20"/>
                <w:color w:val="auto"/>
              </w:rPr>
            </w:pPr>
            <w:r>
              <w:rPr>
                <w:rFonts w:ascii="Arial" w:cs="Arial" w:eastAsia="Arial" w:hAnsi="Arial"/>
                <w:sz w:val="17"/>
                <w:szCs w:val="17"/>
                <w:color w:val="auto"/>
              </w:rPr>
              <w:t>Three months ended</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40" w:type="dxa"/>
            <w:vAlign w:val="bottom"/>
            <w:gridSpan w:val="4"/>
          </w:tcPr>
          <w:p>
            <w:pPr>
              <w:jc w:val="right"/>
              <w:ind w:right="835"/>
              <w:spacing w:after="0"/>
              <w:rPr>
                <w:sz w:val="20"/>
                <w:szCs w:val="20"/>
                <w:color w:val="auto"/>
              </w:rPr>
            </w:pPr>
            <w:r>
              <w:rPr>
                <w:rFonts w:ascii="Arial" w:cs="Arial" w:eastAsia="Arial" w:hAnsi="Arial"/>
                <w:sz w:val="17"/>
                <w:szCs w:val="17"/>
                <w:color w:val="auto"/>
              </w:rPr>
              <w:t>Nine months ended</w:t>
            </w:r>
          </w:p>
        </w:tc>
      </w:tr>
      <w:tr>
        <w:trPr>
          <w:trHeight w:val="236"/>
        </w:trPr>
        <w:tc>
          <w:tcPr>
            <w:tcW w:w="4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3"/>
          </w:tcPr>
          <w:p>
            <w:pPr>
              <w:jc w:val="right"/>
              <w:ind w:right="742"/>
              <w:spacing w:after="0"/>
              <w:rPr>
                <w:sz w:val="20"/>
                <w:szCs w:val="20"/>
                <w:color w:val="auto"/>
              </w:rPr>
            </w:pPr>
            <w:r>
              <w:rPr>
                <w:rFonts w:ascii="Arial" w:cs="Arial" w:eastAsia="Arial" w:hAnsi="Arial"/>
                <w:sz w:val="17"/>
                <w:szCs w:val="17"/>
                <w:color w:val="auto"/>
              </w:rPr>
              <w:t>June 30</w:t>
            </w:r>
          </w:p>
        </w:tc>
        <w:tc>
          <w:tcPr>
            <w:tcW w:w="5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95"/>
              <w:spacing w:after="0"/>
              <w:rPr>
                <w:sz w:val="20"/>
                <w:szCs w:val="20"/>
                <w:color w:val="auto"/>
              </w:rPr>
            </w:pPr>
            <w:r>
              <w:rPr>
                <w:rFonts w:ascii="Arial" w:cs="Arial" w:eastAsia="Arial" w:hAnsi="Arial"/>
                <w:sz w:val="17"/>
                <w:szCs w:val="17"/>
                <w:color w:val="auto"/>
              </w:rPr>
              <w:t>June 30</w:t>
            </w:r>
          </w:p>
        </w:tc>
        <w:tc>
          <w:tcPr>
            <w:tcW w:w="1140" w:type="dxa"/>
            <w:vAlign w:val="bottom"/>
            <w:tcBorders>
              <w:bottom w:val="single" w:sz="8" w:color="auto"/>
            </w:tcBorders>
          </w:tcPr>
          <w:p>
            <w:pPr>
              <w:spacing w:after="0"/>
              <w:rPr>
                <w:sz w:val="20"/>
                <w:szCs w:val="20"/>
                <w:color w:val="auto"/>
              </w:rPr>
            </w:pPr>
          </w:p>
        </w:tc>
      </w:tr>
      <w:tr>
        <w:trPr>
          <w:trHeight w:val="223"/>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(In millions)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color w:val="auto"/>
              </w:rPr>
              <w:t>2023</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2"/>
              <w:spacing w:after="0"/>
              <w:rPr>
                <w:sz w:val="20"/>
                <w:szCs w:val="20"/>
                <w:color w:val="auto"/>
              </w:rPr>
            </w:pPr>
            <w:r>
              <w:rPr>
                <w:rFonts w:ascii="Arial" w:cs="Arial" w:eastAsia="Arial" w:hAnsi="Arial"/>
                <w:sz w:val="17"/>
                <w:szCs w:val="17"/>
                <w:color w:val="auto"/>
              </w:rPr>
              <w:t>2022</w:t>
            </w:r>
          </w:p>
        </w:tc>
        <w:tc>
          <w:tcPr>
            <w:tcW w:w="5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color w:val="auto"/>
              </w:rPr>
              <w:t>2023</w:t>
            </w:r>
          </w:p>
        </w:tc>
        <w:tc>
          <w:tcPr>
            <w:tcW w:w="2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color w:val="auto"/>
              </w:rPr>
              <w:t>2022</w:t>
            </w:r>
          </w:p>
        </w:tc>
      </w:tr>
      <w:tr>
        <w:trPr>
          <w:trHeight w:val="223"/>
        </w:trPr>
        <w:tc>
          <w:tcPr>
            <w:tcW w:w="41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3"/>
          </w:tcPr>
          <w:p>
            <w:pPr>
              <w:jc w:val="right"/>
              <w:ind w:right="822"/>
              <w:spacing w:after="0"/>
              <w:rPr>
                <w:sz w:val="20"/>
                <w:szCs w:val="20"/>
                <w:color w:val="auto"/>
              </w:rPr>
            </w:pPr>
            <w:r>
              <w:rPr>
                <w:rFonts w:ascii="Arial" w:cs="Arial" w:eastAsia="Arial" w:hAnsi="Arial"/>
                <w:sz w:val="17"/>
                <w:szCs w:val="17"/>
                <w:color w:val="auto"/>
                <w:w w:val="99"/>
              </w:rPr>
              <w:t>Specialty Additives</w:t>
            </w:r>
          </w:p>
        </w:tc>
        <w:tc>
          <w:tcPr>
            <w:tcW w:w="5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r>
      <w:tr>
        <w:trPr>
          <w:trHeight w:val="230"/>
        </w:trPr>
        <w:tc>
          <w:tcPr>
            <w:tcW w:w="4180" w:type="dxa"/>
            <w:vAlign w:val="bottom"/>
            <w:shd w:val="clear" w:color="auto" w:fill="CFF0FC"/>
          </w:tcPr>
          <w:p>
            <w:pPr>
              <w:ind w:left="100"/>
              <w:spacing w:after="0"/>
              <w:rPr>
                <w:sz w:val="20"/>
                <w:szCs w:val="20"/>
                <w:color w:val="auto"/>
              </w:rPr>
            </w:pPr>
            <w:r>
              <w:rPr>
                <w:rFonts w:ascii="Arial" w:cs="Arial" w:eastAsia="Arial" w:hAnsi="Arial"/>
                <w:sz w:val="17"/>
                <w:szCs w:val="17"/>
                <w:color w:val="auto"/>
              </w:rPr>
              <w:t>North America</w:t>
            </w:r>
          </w:p>
        </w:tc>
        <w:tc>
          <w:tcPr>
            <w:tcW w:w="20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52</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762"/>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71</w:t>
            </w:r>
          </w:p>
        </w:tc>
        <w:tc>
          <w:tcPr>
            <w:tcW w:w="480" w:type="dxa"/>
            <w:vAlign w:val="bottom"/>
            <w:gridSpan w:val="2"/>
            <w:shd w:val="clear" w:color="auto" w:fill="CFF0FC"/>
          </w:tcPr>
          <w:p>
            <w:pPr>
              <w:jc w:val="right"/>
              <w:ind w:right="115"/>
              <w:spacing w:after="0"/>
              <w:rPr>
                <w:sz w:val="20"/>
                <w:szCs w:val="20"/>
                <w:color w:val="auto"/>
              </w:rPr>
            </w:pPr>
            <w:r>
              <w:rPr>
                <w:rFonts w:ascii="Arial" w:cs="Arial" w:eastAsia="Arial" w:hAnsi="Arial"/>
                <w:sz w:val="17"/>
                <w:szCs w:val="17"/>
                <w:color w:val="auto"/>
              </w:rPr>
              <w:t>$</w:t>
            </w:r>
          </w:p>
        </w:tc>
        <w:tc>
          <w:tcPr>
            <w:tcW w:w="112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157</w:t>
            </w:r>
          </w:p>
        </w:tc>
        <w:tc>
          <w:tcPr>
            <w:tcW w:w="480" w:type="dxa"/>
            <w:vAlign w:val="bottom"/>
            <w:gridSpan w:val="2"/>
            <w:shd w:val="clear" w:color="auto" w:fill="CFF0FC"/>
          </w:tcPr>
          <w:p>
            <w:pPr>
              <w:jc w:val="right"/>
              <w:ind w:right="9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185</w:t>
            </w:r>
          </w:p>
        </w:tc>
      </w:tr>
      <w:tr>
        <w:trPr>
          <w:trHeight w:val="223"/>
        </w:trPr>
        <w:tc>
          <w:tcPr>
            <w:tcW w:w="4180" w:type="dxa"/>
            <w:vAlign w:val="bottom"/>
          </w:tcPr>
          <w:p>
            <w:pPr>
              <w:ind w:left="100"/>
              <w:spacing w:after="0"/>
              <w:rPr>
                <w:sz w:val="20"/>
                <w:szCs w:val="20"/>
                <w:color w:val="auto"/>
              </w:rPr>
            </w:pPr>
            <w:r>
              <w:rPr>
                <w:rFonts w:ascii="Arial" w:cs="Arial" w:eastAsia="Arial" w:hAnsi="Arial"/>
                <w:sz w:val="17"/>
                <w:szCs w:val="17"/>
                <w:color w:val="auto"/>
              </w:rPr>
              <w:t>Europe</w:t>
            </w:r>
          </w:p>
        </w:tc>
        <w:tc>
          <w:tcPr>
            <w:tcW w:w="200" w:type="dxa"/>
            <w:vAlign w:val="bottom"/>
          </w:tcPr>
          <w:p>
            <w:pPr>
              <w:spacing w:after="0"/>
              <w:rPr>
                <w:sz w:val="19"/>
                <w:szCs w:val="19"/>
                <w:color w:val="auto"/>
              </w:rPr>
            </w:pPr>
          </w:p>
        </w:tc>
        <w:tc>
          <w:tcPr>
            <w:tcW w:w="1220" w:type="dxa"/>
            <w:vAlign w:val="bottom"/>
          </w:tcPr>
          <w:p>
            <w:pPr>
              <w:jc w:val="right"/>
              <w:ind w:right="55"/>
              <w:spacing w:after="0"/>
              <w:rPr>
                <w:sz w:val="20"/>
                <w:szCs w:val="20"/>
                <w:color w:val="auto"/>
              </w:rPr>
            </w:pPr>
            <w:r>
              <w:rPr>
                <w:rFonts w:ascii="Arial" w:cs="Arial" w:eastAsia="Arial" w:hAnsi="Arial"/>
                <w:sz w:val="17"/>
                <w:szCs w:val="17"/>
                <w:color w:val="auto"/>
              </w:rPr>
              <w:t>53</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ind w:right="55"/>
              <w:spacing w:after="0"/>
              <w:rPr>
                <w:sz w:val="20"/>
                <w:szCs w:val="20"/>
                <w:color w:val="auto"/>
              </w:rPr>
            </w:pPr>
            <w:r>
              <w:rPr>
                <w:rFonts w:ascii="Arial" w:cs="Arial" w:eastAsia="Arial" w:hAnsi="Arial"/>
                <w:sz w:val="17"/>
                <w:szCs w:val="17"/>
                <w:color w:val="auto"/>
              </w:rPr>
              <w:t>67</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162</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55"/>
              <w:spacing w:after="0"/>
              <w:rPr>
                <w:sz w:val="20"/>
                <w:szCs w:val="20"/>
                <w:color w:val="auto"/>
              </w:rPr>
            </w:pPr>
            <w:r>
              <w:rPr>
                <w:rFonts w:ascii="Arial" w:cs="Arial" w:eastAsia="Arial" w:hAnsi="Arial"/>
                <w:sz w:val="17"/>
                <w:szCs w:val="17"/>
                <w:color w:val="auto"/>
              </w:rPr>
              <w:t>192</w:t>
            </w:r>
          </w:p>
        </w:tc>
      </w:tr>
      <w:tr>
        <w:trPr>
          <w:trHeight w:val="236"/>
        </w:trPr>
        <w:tc>
          <w:tcPr>
            <w:tcW w:w="4180" w:type="dxa"/>
            <w:vAlign w:val="bottom"/>
            <w:shd w:val="clear" w:color="auto" w:fill="CFF0FC"/>
          </w:tcPr>
          <w:p>
            <w:pPr>
              <w:ind w:left="100"/>
              <w:spacing w:after="0"/>
              <w:rPr>
                <w:sz w:val="20"/>
                <w:szCs w:val="20"/>
                <w:color w:val="auto"/>
              </w:rPr>
            </w:pPr>
            <w:r>
              <w:rPr>
                <w:rFonts w:ascii="Arial" w:cs="Arial" w:eastAsia="Arial" w:hAnsi="Arial"/>
                <w:sz w:val="17"/>
                <w:szCs w:val="17"/>
                <w:color w:val="auto"/>
              </w:rPr>
              <w:t>Asia Pacific</w:t>
            </w:r>
          </w:p>
        </w:tc>
        <w:tc>
          <w:tcPr>
            <w:tcW w:w="20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40</w:t>
            </w:r>
          </w:p>
        </w:tc>
        <w:tc>
          <w:tcPr>
            <w:tcW w:w="2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50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48</w:t>
            </w: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114</w:t>
            </w: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133</w:t>
            </w:r>
          </w:p>
        </w:tc>
      </w:tr>
      <w:tr>
        <w:trPr>
          <w:trHeight w:val="228"/>
        </w:trPr>
        <w:tc>
          <w:tcPr>
            <w:tcW w:w="4180" w:type="dxa"/>
            <w:vAlign w:val="bottom"/>
          </w:tcPr>
          <w:p>
            <w:pPr>
              <w:ind w:left="100"/>
              <w:spacing w:after="0"/>
              <w:rPr>
                <w:sz w:val="20"/>
                <w:szCs w:val="20"/>
                <w:color w:val="auto"/>
              </w:rPr>
            </w:pPr>
            <w:r>
              <w:rPr>
                <w:rFonts w:ascii="Arial" w:cs="Arial" w:eastAsia="Arial" w:hAnsi="Arial"/>
                <w:sz w:val="17"/>
                <w:szCs w:val="17"/>
                <w:color w:val="auto"/>
              </w:rPr>
              <w:t>Latin America &amp; other</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7</w:t>
            </w:r>
          </w:p>
        </w:tc>
        <w:tc>
          <w:tcPr>
            <w:tcW w:w="20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8</w:t>
            </w:r>
          </w:p>
        </w:tc>
        <w:tc>
          <w:tcPr>
            <w:tcW w:w="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23</w:t>
            </w: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22</w:t>
            </w:r>
          </w:p>
        </w:tc>
      </w:tr>
      <w:tr>
        <w:trPr>
          <w:trHeight w:val="258"/>
        </w:trPr>
        <w:tc>
          <w:tcPr>
            <w:tcW w:w="418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7"/>
                <w:szCs w:val="17"/>
                <w:color w:val="auto"/>
              </w:rPr>
              <w:t>152</w:t>
            </w:r>
          </w:p>
        </w:tc>
        <w:tc>
          <w:tcPr>
            <w:tcW w:w="200" w:type="dxa"/>
            <w:vAlign w:val="bottom"/>
            <w:tcBorders>
              <w:bottom w:val="single" w:sz="8" w:color="CFF0FC"/>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ind w:right="762"/>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7"/>
                <w:szCs w:val="17"/>
                <w:color w:val="auto"/>
              </w:rPr>
              <w:t>194</w:t>
            </w:r>
          </w:p>
        </w:tc>
        <w:tc>
          <w:tcPr>
            <w:tcW w:w="18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ind w:right="115"/>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7"/>
                <w:szCs w:val="17"/>
                <w:color w:val="auto"/>
              </w:rPr>
              <w:t>456</w:t>
            </w:r>
          </w:p>
        </w:tc>
        <w:tc>
          <w:tcPr>
            <w:tcW w:w="20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ind w:right="95"/>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7"/>
                <w:szCs w:val="17"/>
                <w:color w:val="auto"/>
              </w:rPr>
              <w:t>532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-1550670</wp:posOffset>
            </wp:positionV>
            <wp:extent cx="2168525" cy="6343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168525" cy="63436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-24765</wp:posOffset>
            </wp:positionV>
            <wp:extent cx="3986530" cy="6343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986530" cy="634365"/>
                    </a:xfrm>
                    <a:prstGeom prst="rect">
                      <a:avLst/>
                    </a:prstGeom>
                    <a:noFill/>
                  </pic:spPr>
                </pic:pic>
              </a:graphicData>
            </a:graphic>
          </wp:anchor>
        </w:drawing>
      </w:r>
    </w:p>
    <w:p>
      <w:pPr>
        <w:sectPr>
          <w:pgSz w:w="11900" w:h="16838" w:orient="portrait"/>
          <w:cols w:equalWidth="0" w:num="1">
            <w:col w:w="10860"/>
          </w:cols>
          <w:pgMar w:left="320" w:top="441" w:right="719" w:bottom="1440" w:gutter="0" w:footer="0" w:header="0"/>
          <w:type w:val="continuous"/>
        </w:sectPr>
      </w:pPr>
    </w:p>
    <w:p>
      <w:pPr>
        <w:spacing w:after="0" w:line="239" w:lineRule="exact"/>
        <w:rPr>
          <w:sz w:val="20"/>
          <w:szCs w:val="20"/>
          <w:color w:val="auto"/>
        </w:rPr>
      </w:pPr>
    </w:p>
    <w:p>
      <w:pPr>
        <w:jc w:val="center"/>
        <w:ind w:left="4200"/>
        <w:spacing w:after="0"/>
        <w:rPr>
          <w:sz w:val="20"/>
          <w:szCs w:val="20"/>
          <w:color w:val="auto"/>
        </w:rPr>
      </w:pPr>
      <w:r>
        <w:rPr>
          <w:rFonts w:ascii="Arial" w:cs="Arial" w:eastAsia="Arial" w:hAnsi="Arial"/>
          <w:sz w:val="15"/>
          <w:szCs w:val="15"/>
          <w:color w:val="auto"/>
        </w:rPr>
        <w:t>Three months ended</w:t>
      </w:r>
    </w:p>
    <w:p>
      <w:pPr>
        <w:spacing w:after="0" w:line="57" w:lineRule="exact"/>
        <w:rPr>
          <w:sz w:val="20"/>
          <w:szCs w:val="20"/>
          <w:color w:val="auto"/>
        </w:rPr>
      </w:pPr>
    </w:p>
    <w:p>
      <w:pPr>
        <w:jc w:val="center"/>
        <w:ind w:left="4200"/>
        <w:spacing w:after="0"/>
        <w:rPr>
          <w:sz w:val="20"/>
          <w:szCs w:val="20"/>
          <w:color w:val="auto"/>
        </w:rPr>
      </w:pPr>
      <w:r>
        <w:rPr>
          <w:rFonts w:ascii="Arial" w:cs="Arial" w:eastAsia="Arial" w:hAnsi="Arial"/>
          <w:sz w:val="17"/>
          <w:szCs w:val="17"/>
          <w:color w:val="auto"/>
        </w:rPr>
        <w:t>June 30</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jc w:val="center"/>
        <w:ind w:right="940"/>
        <w:spacing w:after="0"/>
        <w:rPr>
          <w:sz w:val="20"/>
          <w:szCs w:val="20"/>
          <w:color w:val="auto"/>
        </w:rPr>
      </w:pPr>
      <w:r>
        <w:rPr>
          <w:rFonts w:ascii="Arial" w:cs="Arial" w:eastAsia="Arial" w:hAnsi="Arial"/>
          <w:sz w:val="15"/>
          <w:szCs w:val="15"/>
          <w:color w:val="auto"/>
        </w:rPr>
        <w:t>Nine months ended</w:t>
      </w:r>
    </w:p>
    <w:p>
      <w:pPr>
        <w:spacing w:after="0" w:line="57" w:lineRule="exact"/>
        <w:rPr>
          <w:sz w:val="20"/>
          <w:szCs w:val="20"/>
          <w:color w:val="auto"/>
        </w:rPr>
      </w:pPr>
    </w:p>
    <w:p>
      <w:pPr>
        <w:jc w:val="center"/>
        <w:ind w:right="940"/>
        <w:spacing w:after="0"/>
        <w:rPr>
          <w:sz w:val="20"/>
          <w:szCs w:val="20"/>
          <w:color w:val="auto"/>
        </w:rPr>
      </w:pPr>
      <w:r>
        <w:rPr>
          <w:rFonts w:ascii="Arial" w:cs="Arial" w:eastAsia="Arial" w:hAnsi="Arial"/>
          <w:sz w:val="17"/>
          <w:szCs w:val="17"/>
          <w:color w:val="auto"/>
        </w:rPr>
        <w:t>June 30</w:t>
      </w:r>
    </w:p>
    <w:p>
      <w:pPr>
        <w:spacing w:after="0" w:line="21" w:lineRule="exact"/>
        <w:rPr>
          <w:sz w:val="20"/>
          <w:szCs w:val="20"/>
          <w:color w:val="auto"/>
        </w:rPr>
      </w:pPr>
    </w:p>
    <w:p>
      <w:pPr>
        <w:sectPr>
          <w:pgSz w:w="11900" w:h="16838" w:orient="portrait"/>
          <w:cols w:equalWidth="0" w:num="2">
            <w:col w:w="7880" w:space="720"/>
            <w:col w:w="2260"/>
          </w:cols>
          <w:pgMar w:left="320" w:top="441" w:right="719" w:bottom="1440" w:gutter="0" w:footer="0" w:header="0"/>
          <w:type w:val="continuous"/>
        </w:sectPr>
      </w:pPr>
    </w:p>
    <w:tbl>
      <w:tblPr>
        <w:tblLayout w:type="fixed"/>
        <w:tblInd w:w="400" w:type="dxa"/>
        <w:tblCellMar>
          <w:top w:w="0" w:type="dxa"/>
          <w:left w:w="0" w:type="dxa"/>
          <w:bottom w:w="0" w:type="dxa"/>
          <w:right w:w="0" w:type="dxa"/>
        </w:tblCellMar>
      </w:tblPr>
      <w:tr>
        <w:trPr>
          <w:trHeight w:val="234"/>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(In millions)</w:t>
            </w:r>
          </w:p>
        </w:tc>
        <w:tc>
          <w:tcPr>
            <w:tcW w:w="28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7"/>
                <w:szCs w:val="17"/>
                <w:color w:val="auto"/>
              </w:rPr>
              <w:t>2023</w:t>
            </w:r>
          </w:p>
        </w:tc>
        <w:tc>
          <w:tcPr>
            <w:tcW w:w="20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7"/>
                <w:szCs w:val="17"/>
                <w:color w:val="auto"/>
              </w:rPr>
              <w:t>2022</w:t>
            </w:r>
          </w:p>
        </w:tc>
        <w:tc>
          <w:tcPr>
            <w:tcW w:w="180" w:type="dxa"/>
            <w:vAlign w:val="bottom"/>
            <w:tcBorders>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7"/>
                <w:szCs w:val="17"/>
                <w:color w:val="auto"/>
              </w:rPr>
              <w:t>2023</w:t>
            </w:r>
          </w:p>
        </w:tc>
        <w:tc>
          <w:tcPr>
            <w:tcW w:w="20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7"/>
                <w:szCs w:val="17"/>
                <w:color w:val="auto"/>
              </w:rPr>
              <w:t>2022</w:t>
            </w:r>
          </w:p>
        </w:tc>
      </w:tr>
      <w:tr>
        <w:trPr>
          <w:trHeight w:val="223"/>
        </w:trPr>
        <w:tc>
          <w:tcPr>
            <w:tcW w:w="41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ind w:left="240"/>
              <w:spacing w:after="0"/>
              <w:rPr>
                <w:sz w:val="20"/>
                <w:szCs w:val="20"/>
                <w:color w:val="auto"/>
              </w:rPr>
            </w:pPr>
            <w:r>
              <w:rPr>
                <w:rFonts w:ascii="Arial" w:cs="Arial" w:eastAsia="Arial" w:hAnsi="Arial"/>
                <w:sz w:val="17"/>
                <w:szCs w:val="17"/>
                <w:color w:val="auto"/>
              </w:rPr>
              <w:t>Intermediates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r>
      <w:tr>
        <w:trPr>
          <w:trHeight w:val="230"/>
        </w:trPr>
        <w:tc>
          <w:tcPr>
            <w:tcW w:w="4180" w:type="dxa"/>
            <w:vAlign w:val="bottom"/>
            <w:shd w:val="clear" w:color="auto" w:fill="CFF0FC"/>
          </w:tcPr>
          <w:p>
            <w:pPr>
              <w:ind w:left="100"/>
              <w:spacing w:after="0"/>
              <w:rPr>
                <w:sz w:val="20"/>
                <w:szCs w:val="20"/>
                <w:color w:val="auto"/>
              </w:rPr>
            </w:pPr>
            <w:r>
              <w:rPr>
                <w:rFonts w:ascii="Arial" w:cs="Arial" w:eastAsia="Arial" w:hAnsi="Arial"/>
                <w:sz w:val="17"/>
                <w:szCs w:val="17"/>
                <w:color w:val="auto"/>
              </w:rPr>
              <w:t>North America</w:t>
            </w:r>
          </w:p>
        </w:tc>
        <w:tc>
          <w:tcPr>
            <w:tcW w:w="280" w:type="dxa"/>
            <w:vAlign w:val="bottom"/>
            <w:shd w:val="clear" w:color="auto" w:fill="CFF0FC"/>
          </w:tcPr>
          <w:p>
            <w:pPr>
              <w:jc w:val="right"/>
              <w:ind w:right="95"/>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30</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47</w:t>
            </w:r>
          </w:p>
        </w:tc>
        <w:tc>
          <w:tcPr>
            <w:tcW w:w="480" w:type="dxa"/>
            <w:vAlign w:val="bottom"/>
            <w:gridSpan w:val="2"/>
            <w:shd w:val="clear" w:color="auto" w:fill="CFF0FC"/>
          </w:tcPr>
          <w:p>
            <w:pPr>
              <w:jc w:val="right"/>
              <w:ind w:right="115"/>
              <w:spacing w:after="0"/>
              <w:rPr>
                <w:sz w:val="20"/>
                <w:szCs w:val="20"/>
                <w:color w:val="auto"/>
              </w:rPr>
            </w:pPr>
            <w:r>
              <w:rPr>
                <w:rFonts w:ascii="Arial" w:cs="Arial" w:eastAsia="Arial" w:hAnsi="Arial"/>
                <w:sz w:val="17"/>
                <w:szCs w:val="17"/>
                <w:color w:val="auto"/>
              </w:rPr>
              <w:t>$</w:t>
            </w:r>
          </w:p>
        </w:tc>
        <w:tc>
          <w:tcPr>
            <w:tcW w:w="112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100</w:t>
            </w:r>
          </w:p>
        </w:tc>
        <w:tc>
          <w:tcPr>
            <w:tcW w:w="480" w:type="dxa"/>
            <w:vAlign w:val="bottom"/>
            <w:gridSpan w:val="2"/>
            <w:shd w:val="clear" w:color="auto" w:fill="CFF0FC"/>
          </w:tcPr>
          <w:p>
            <w:pPr>
              <w:jc w:val="right"/>
              <w:ind w:right="9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121</w:t>
            </w:r>
          </w:p>
        </w:tc>
      </w:tr>
      <w:tr>
        <w:trPr>
          <w:trHeight w:val="223"/>
        </w:trPr>
        <w:tc>
          <w:tcPr>
            <w:tcW w:w="4180" w:type="dxa"/>
            <w:vAlign w:val="bottom"/>
          </w:tcPr>
          <w:p>
            <w:pPr>
              <w:ind w:left="100"/>
              <w:spacing w:after="0"/>
              <w:rPr>
                <w:sz w:val="20"/>
                <w:szCs w:val="20"/>
                <w:color w:val="auto"/>
              </w:rPr>
            </w:pPr>
            <w:r>
              <w:rPr>
                <w:rFonts w:ascii="Arial" w:cs="Arial" w:eastAsia="Arial" w:hAnsi="Arial"/>
                <w:sz w:val="17"/>
                <w:szCs w:val="17"/>
                <w:color w:val="auto"/>
              </w:rPr>
              <w:t>Europe</w:t>
            </w:r>
          </w:p>
        </w:tc>
        <w:tc>
          <w:tcPr>
            <w:tcW w:w="280" w:type="dxa"/>
            <w:vAlign w:val="bottom"/>
          </w:tcPr>
          <w:p>
            <w:pPr>
              <w:spacing w:after="0"/>
              <w:rPr>
                <w:sz w:val="19"/>
                <w:szCs w:val="19"/>
                <w:color w:val="auto"/>
              </w:rPr>
            </w:pPr>
          </w:p>
        </w:tc>
        <w:tc>
          <w:tcPr>
            <w:tcW w:w="1140" w:type="dxa"/>
            <w:vAlign w:val="bottom"/>
          </w:tcPr>
          <w:p>
            <w:pPr>
              <w:jc w:val="right"/>
              <w:ind w:right="55"/>
              <w:spacing w:after="0"/>
              <w:rPr>
                <w:sz w:val="20"/>
                <w:szCs w:val="20"/>
                <w:color w:val="auto"/>
              </w:rPr>
            </w:pPr>
            <w:r>
              <w:rPr>
                <w:rFonts w:ascii="Arial" w:cs="Arial" w:eastAsia="Arial" w:hAnsi="Arial"/>
                <w:sz w:val="17"/>
                <w:szCs w:val="17"/>
                <w:color w:val="auto"/>
              </w:rPr>
              <w:t>7</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55"/>
              <w:spacing w:after="0"/>
              <w:rPr>
                <w:sz w:val="20"/>
                <w:szCs w:val="20"/>
                <w:color w:val="auto"/>
              </w:rPr>
            </w:pPr>
            <w:r>
              <w:rPr>
                <w:rFonts w:ascii="Arial" w:cs="Arial" w:eastAsia="Arial" w:hAnsi="Arial"/>
                <w:sz w:val="17"/>
                <w:szCs w:val="17"/>
                <w:color w:val="auto"/>
              </w:rPr>
              <w:t>13</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23</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55"/>
              <w:spacing w:after="0"/>
              <w:rPr>
                <w:sz w:val="20"/>
                <w:szCs w:val="20"/>
                <w:color w:val="auto"/>
              </w:rPr>
            </w:pPr>
            <w:r>
              <w:rPr>
                <w:rFonts w:ascii="Arial" w:cs="Arial" w:eastAsia="Arial" w:hAnsi="Arial"/>
                <w:sz w:val="17"/>
                <w:szCs w:val="17"/>
                <w:color w:val="auto"/>
              </w:rPr>
              <w:t>32</w:t>
            </w:r>
          </w:p>
        </w:tc>
      </w:tr>
      <w:tr>
        <w:trPr>
          <w:trHeight w:val="236"/>
        </w:trPr>
        <w:tc>
          <w:tcPr>
            <w:tcW w:w="4180" w:type="dxa"/>
            <w:vAlign w:val="bottom"/>
            <w:shd w:val="clear" w:color="auto" w:fill="CFF0FC"/>
          </w:tcPr>
          <w:p>
            <w:pPr>
              <w:ind w:left="100"/>
              <w:spacing w:after="0"/>
              <w:rPr>
                <w:sz w:val="20"/>
                <w:szCs w:val="20"/>
                <w:color w:val="auto"/>
              </w:rPr>
            </w:pPr>
            <w:r>
              <w:rPr>
                <w:rFonts w:ascii="Arial" w:cs="Arial" w:eastAsia="Arial" w:hAnsi="Arial"/>
                <w:sz w:val="17"/>
                <w:szCs w:val="17"/>
                <w:color w:val="auto"/>
              </w:rPr>
              <w:t>Asia Pacific</w:t>
            </w:r>
          </w:p>
        </w:tc>
        <w:tc>
          <w:tcPr>
            <w:tcW w:w="28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5</w:t>
            </w: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10</w:t>
            </w: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19</w:t>
            </w: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31</w:t>
            </w:r>
          </w:p>
        </w:tc>
      </w:tr>
      <w:tr>
        <w:trPr>
          <w:trHeight w:val="228"/>
        </w:trPr>
        <w:tc>
          <w:tcPr>
            <w:tcW w:w="4180" w:type="dxa"/>
            <w:vAlign w:val="bottom"/>
          </w:tcPr>
          <w:p>
            <w:pPr>
              <w:ind w:left="100"/>
              <w:spacing w:after="0"/>
              <w:rPr>
                <w:sz w:val="20"/>
                <w:szCs w:val="20"/>
                <w:color w:val="auto"/>
              </w:rPr>
            </w:pPr>
            <w:r>
              <w:rPr>
                <w:rFonts w:ascii="Arial" w:cs="Arial" w:eastAsia="Arial" w:hAnsi="Arial"/>
                <w:sz w:val="17"/>
                <w:szCs w:val="17"/>
                <w:color w:val="auto"/>
              </w:rPr>
              <w:t>Latin America &amp; other</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1</w:t>
            </w: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3</w:t>
            </w:r>
          </w:p>
        </w:tc>
        <w:tc>
          <w:tcPr>
            <w:tcW w:w="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6</w:t>
            </w: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8</w:t>
            </w:r>
          </w:p>
        </w:tc>
      </w:tr>
      <w:tr>
        <w:trPr>
          <w:trHeight w:val="259"/>
        </w:trPr>
        <w:tc>
          <w:tcPr>
            <w:tcW w:w="418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ind w:right="95"/>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7"/>
                <w:szCs w:val="17"/>
                <w:color w:val="auto"/>
              </w:rPr>
              <w:t>43</w:t>
            </w:r>
          </w:p>
        </w:tc>
        <w:tc>
          <w:tcPr>
            <w:tcW w:w="20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7"/>
                <w:szCs w:val="17"/>
                <w:color w:val="auto"/>
              </w:rPr>
              <w:t>73</w:t>
            </w:r>
          </w:p>
        </w:tc>
        <w:tc>
          <w:tcPr>
            <w:tcW w:w="18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ind w:right="115"/>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7"/>
                <w:szCs w:val="17"/>
                <w:color w:val="auto"/>
              </w:rPr>
              <w:t>148</w:t>
            </w:r>
          </w:p>
        </w:tc>
        <w:tc>
          <w:tcPr>
            <w:tcW w:w="20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ind w:right="95"/>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7"/>
                <w:szCs w:val="17"/>
                <w:color w:val="auto"/>
              </w:rPr>
              <w:t>192</w:t>
            </w:r>
          </w:p>
        </w:tc>
      </w:tr>
      <w:tr>
        <w:trPr>
          <w:trHeight w:val="135"/>
        </w:trPr>
        <w:tc>
          <w:tcPr>
            <w:tcW w:w="41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-128270</wp:posOffset>
            </wp:positionV>
            <wp:extent cx="2168525" cy="1289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168525" cy="128905"/>
                    </a:xfrm>
                    <a:prstGeom prst="rect">
                      <a:avLst/>
                    </a:prstGeom>
                    <a:noFill/>
                  </pic:spPr>
                </pic:pic>
              </a:graphicData>
            </a:graphic>
          </wp:anchor>
        </w:drawing>
      </w:r>
    </w:p>
    <w:p>
      <w:pPr>
        <w:spacing w:after="0" w:line="65"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Trade receivables</w:t>
      </w:r>
    </w:p>
    <w:p>
      <w:pPr>
        <w:spacing w:after="0" w:line="114" w:lineRule="exact"/>
        <w:rPr>
          <w:sz w:val="20"/>
          <w:szCs w:val="20"/>
          <w:color w:val="auto"/>
        </w:rPr>
      </w:pPr>
    </w:p>
    <w:p>
      <w:pPr>
        <w:jc w:val="both"/>
        <w:ind w:left="380"/>
        <w:spacing w:after="0" w:line="282" w:lineRule="auto"/>
        <w:rPr>
          <w:sz w:val="20"/>
          <w:szCs w:val="20"/>
          <w:color w:val="auto"/>
        </w:rPr>
      </w:pPr>
      <w:r>
        <w:rPr>
          <w:rFonts w:ascii="Arial" w:cs="Arial" w:eastAsia="Arial" w:hAnsi="Arial"/>
          <w:sz w:val="18"/>
          <w:szCs w:val="18"/>
          <w:color w:val="auto"/>
        </w:rPr>
        <w:t>Trade receivables are defined as receivables arising from contracts with customers and are recorded within the accounts receivable caption within the Condensed Consolidated Balance Sheets. Ashland’s trade receivables were $309 million and $369 million as of June 30, 2023 and September 30, 2022, respectively. See Note H for additional information on Ashland’s program to sell certain receivables on a revolving basis to third party banks up to an aggregate purchase limit (U.S Accounts Receivable Sales Program).</w:t>
      </w:r>
    </w:p>
    <w:p>
      <w:pPr>
        <w:spacing w:after="0" w:line="272"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441" w:right="71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20"/>
          <w:szCs w:val="20"/>
          <w:b w:val="1"/>
          <w:bCs w:val="1"/>
          <w:color w:val="auto"/>
        </w:rPr>
        <w:t>NOTE Q – REPORTABLE SEGMENT INFORMATION</w:t>
      </w:r>
    </w:p>
    <w:p>
      <w:pPr>
        <w:spacing w:after="0" w:line="114" w:lineRule="exact"/>
        <w:rPr>
          <w:sz w:val="20"/>
          <w:szCs w:val="20"/>
          <w:color w:val="auto"/>
        </w:rPr>
      </w:pPr>
    </w:p>
    <w:p>
      <w:pPr>
        <w:jc w:val="both"/>
        <w:ind w:left="380"/>
        <w:spacing w:after="0" w:line="260" w:lineRule="auto"/>
        <w:rPr>
          <w:sz w:val="20"/>
          <w:szCs w:val="20"/>
          <w:color w:val="auto"/>
        </w:rPr>
      </w:pPr>
      <w:r>
        <w:rPr>
          <w:rFonts w:ascii="Arial" w:cs="Arial" w:eastAsia="Arial" w:hAnsi="Arial"/>
          <w:sz w:val="19"/>
          <w:szCs w:val="19"/>
          <w:color w:val="auto"/>
        </w:rPr>
        <w:t>Ashland determines its reportable segments based on how operations are managed internally for the products and services sold to customers, including how the results are reviewed by the chief operating decision maker, which includes determining resource allocation methodologies used for reportable segments. Operating income and EBITDA are the primary measures of performance that are reviewed by the chief operating decision maker in assessing each reportable segment's financial performance. Ashland does not aggregate operating segments to arrive at these reportable segments.</w:t>
      </w:r>
    </w:p>
    <w:p>
      <w:pPr>
        <w:spacing w:after="0" w:line="66"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Reportable segment business descriptions</w:t>
      </w:r>
    </w:p>
    <w:p>
      <w:pPr>
        <w:spacing w:after="0" w:line="114" w:lineRule="exact"/>
        <w:rPr>
          <w:sz w:val="20"/>
          <w:szCs w:val="20"/>
          <w:color w:val="auto"/>
        </w:rPr>
      </w:pPr>
    </w:p>
    <w:p>
      <w:pPr>
        <w:jc w:val="both"/>
        <w:ind w:left="380"/>
        <w:spacing w:after="0" w:line="274" w:lineRule="auto"/>
        <w:rPr>
          <w:sz w:val="20"/>
          <w:szCs w:val="20"/>
          <w:color w:val="auto"/>
        </w:rPr>
      </w:pPr>
      <w:r>
        <w:rPr>
          <w:rFonts w:ascii="Arial" w:cs="Arial" w:eastAsia="Arial" w:hAnsi="Arial"/>
          <w:sz w:val="18"/>
          <w:szCs w:val="18"/>
          <w:color w:val="auto"/>
        </w:rPr>
        <w:t>Life Sciences is comprised of pharmaceuticals, nutrition, nutraceuticals, agricultural chemicals, diagnostic films (formerly known as advanced materials) and fine chemicals. Pharmaceutical solutions include controlled release polymers, disintegrants, film coatings, solubilizers, and tablet binders. Nutrition solutions include thickeners, stabilizers, emulsifiers and additives for enhancing mouthfeel, controlling moisture migration, reducing oil uptake and controlling color. Nutraceutical solutions include products for weight management, joint comfort, stomach and intestinal health, sports nutrition and general wellness, and provide custom formulation, toll processing and particle engineering solutions. Customers include pharmaceutical, food, beverage, nutraceuticals and supplements manufacturers, hospitals and radiologists and industrial manufacturers.</w:t>
      </w:r>
    </w:p>
    <w:p>
      <w:pPr>
        <w:spacing w:after="0" w:line="60" w:lineRule="exact"/>
        <w:rPr>
          <w:sz w:val="20"/>
          <w:szCs w:val="20"/>
          <w:color w:val="auto"/>
        </w:rPr>
      </w:pPr>
    </w:p>
    <w:p>
      <w:pPr>
        <w:jc w:val="both"/>
        <w:ind w:left="380"/>
        <w:spacing w:after="0" w:line="243" w:lineRule="auto"/>
        <w:rPr>
          <w:sz w:val="20"/>
          <w:szCs w:val="20"/>
          <w:color w:val="auto"/>
        </w:rPr>
      </w:pPr>
      <w:r>
        <w:rPr>
          <w:rFonts w:ascii="Arial" w:cs="Arial" w:eastAsia="Arial" w:hAnsi="Arial"/>
          <w:sz w:val="20"/>
          <w:szCs w:val="20"/>
          <w:color w:val="auto"/>
        </w:rPr>
        <w:t>Personal Care is comprised of biofunctionals, microbial protectants (preservatives), skin care, sun care, oral care, hair care and household. These businesses have a broad range of natural, nature-derived, biodegradable, and high-performance ingredients for customer-driven solutions to help protect, renew, moisturize and revitalize skin and hair, and provide solutions for toothpastes, mouth washes and rinses, denture cleaning and care for teeth. Household supplies nature-derived rheology ingredients, biodegradable surface wetting agents, performance encapsulates, and specialty polymers for household, industrial and institutional cleaning products. Customers include formulators at large multinational branded consumer products companies and smaller, independent boutique companies.</w:t>
      </w:r>
    </w:p>
    <w:p>
      <w:pPr>
        <w:spacing w:after="0" w:line="85" w:lineRule="exact"/>
        <w:rPr>
          <w:sz w:val="20"/>
          <w:szCs w:val="20"/>
          <w:color w:val="auto"/>
        </w:rPr>
      </w:pPr>
    </w:p>
    <w:p>
      <w:pPr>
        <w:jc w:val="both"/>
        <w:ind w:left="380"/>
        <w:spacing w:after="0" w:line="271" w:lineRule="auto"/>
        <w:rPr>
          <w:sz w:val="20"/>
          <w:szCs w:val="20"/>
          <w:color w:val="auto"/>
        </w:rPr>
      </w:pPr>
      <w:r>
        <w:rPr>
          <w:rFonts w:ascii="Arial" w:cs="Arial" w:eastAsia="Arial" w:hAnsi="Arial"/>
          <w:sz w:val="18"/>
          <w:szCs w:val="18"/>
          <w:color w:val="auto"/>
        </w:rPr>
        <w:t>Specialty Additives is comprised of rheology and performance-enhancing additives serving the architectural coatings, construction, energy, automotive and various industrial markets. Solutions include coatings additives for architectural paints, finishes and lacquers, cement and gypsum based dry mortars, ready-mixed joint compounds, synthetic plasters for commercial and residential construction, and specialty materials for industrial applications. Products include rheology modifiers (cellulosic and associative thickeners), foam control agents, surfactants and wetting agents, pH neutralizers, advanced ceramics used in catalytic converters, and environmental filters, ingredients that aid the manufacturing process of ceramic capacitors, plasma display panels and solar cells, ingredients for textile printing, thermoplastic metals and alloys for welding. Products help improve desired functional outcomes through rheology modification and control, water retention, workability, adhesive strength, binding power, film formation, deposition and suspension and emulsification. Customers include global paint manufacturers, electronics and automotive manufacturers, textile mills, the construction industry, and welders.</w:t>
      </w:r>
    </w:p>
    <w:p>
      <w:pPr>
        <w:spacing w:after="0" w:line="66" w:lineRule="exact"/>
        <w:rPr>
          <w:sz w:val="20"/>
          <w:szCs w:val="20"/>
          <w:color w:val="auto"/>
        </w:rPr>
      </w:pPr>
    </w:p>
    <w:p>
      <w:pPr>
        <w:jc w:val="both"/>
        <w:ind w:left="380"/>
        <w:spacing w:after="0" w:line="263" w:lineRule="auto"/>
        <w:rPr>
          <w:sz w:val="20"/>
          <w:szCs w:val="20"/>
          <w:color w:val="auto"/>
        </w:rPr>
      </w:pPr>
      <w:r>
        <w:rPr>
          <w:rFonts w:ascii="Arial" w:cs="Arial" w:eastAsia="Arial" w:hAnsi="Arial"/>
          <w:sz w:val="19"/>
          <w:szCs w:val="19"/>
          <w:color w:val="auto"/>
        </w:rPr>
        <w:t>Intermediates is comprised of the production of 1,4 butanediol (BDO) and related derivatives, including n-methylpyrrolidone. These products are used as chemical intermediates in the production of engineering polymers and polyurethanes, and as specialty process solvents in a wide array of applications including electronics, pharmaceuticals, water filtration membranes and more. Butanediol is also supplied to Life Sciences, Personal Care, and Specialty Additives for use as a raw material.</w:t>
      </w:r>
    </w:p>
    <w:p>
      <w:pPr>
        <w:spacing w:after="0" w:line="68" w:lineRule="exact"/>
        <w:rPr>
          <w:sz w:val="20"/>
          <w:szCs w:val="20"/>
          <w:color w:val="auto"/>
        </w:rPr>
      </w:pPr>
    </w:p>
    <w:p>
      <w:pPr>
        <w:jc w:val="both"/>
        <w:ind w:left="380"/>
        <w:spacing w:after="0" w:line="287" w:lineRule="auto"/>
        <w:rPr>
          <w:sz w:val="20"/>
          <w:szCs w:val="20"/>
          <w:color w:val="auto"/>
        </w:rPr>
      </w:pPr>
      <w:r>
        <w:rPr>
          <w:rFonts w:ascii="Arial" w:cs="Arial" w:eastAsia="Arial" w:hAnsi="Arial"/>
          <w:sz w:val="19"/>
          <w:szCs w:val="19"/>
          <w:color w:val="auto"/>
        </w:rPr>
        <w:t>Unallocated and Other generally includes items such as certain significant company-wide restructuring activities, corporate governance costs and legacy costs or activities that relate to divested businesses that are no longer operated by Ashland.</w:t>
      </w:r>
    </w:p>
    <w:p>
      <w:pPr>
        <w:spacing w:after="0" w:line="4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549" w:right="719" w:bottom="1440" w:gutter="0" w:footer="0" w:header="0"/>
        </w:sectPr>
      </w:pPr>
    </w:p>
    <w:bookmarkStart w:id="25" w:name="page26"/>
    <w:bookmarkEnd w:id="25"/>
    <w:p>
      <w:pPr>
        <w:spacing w:after="0"/>
        <w:rPr>
          <w:sz w:val="20"/>
          <w:szCs w:val="20"/>
          <w:color w:val="auto"/>
        </w:rPr>
      </w:pPr>
      <w:r>
        <w:rPr>
          <w:rFonts w:ascii="Arial" w:cs="Arial" w:eastAsia="Arial" w:hAnsi="Arial"/>
          <w:sz w:val="20"/>
          <w:szCs w:val="20"/>
          <w:b w:val="1"/>
          <w:bCs w:val="1"/>
          <w:color w:val="auto"/>
        </w:rPr>
        <w:t>Reportable segment results</w:t>
      </w:r>
    </w:p>
    <w:p>
      <w:pPr>
        <w:spacing w:after="0" w:line="11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Results of Ashland’s reportable segments are presented based on its management and internal accounting structure. The structure is specific to Ashland; therefore, the financial results of Ashland’s reportable segments are not necessarily comparable with similar information for other comparable companies. Ashland allocates all significant costs to its reportable segments except for certain significant company-wide restructuring activities, certain corporate governance costs and other costs or activities that relate to former businesses that Ashland no longer operates. The service cost component of pension and other postretirement benefits costs is allocated to each reportable segment on a ratable basis; while the remaining components of pension and other postretirement benefits costs are recorded within the other net periodic benefit loss caption on the Statements of Consolidated Comprehensive Income (Loss). Ashland refines its expense allocation methodologies to the reportable segments from time to time as internal accounting practices are improved, more refined information becomes available and the industry or market changes. Significant revisions to Ashland’s methodologies are adjusted for all segments on a retrospective basis.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62230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441" w:right="719" w:bottom="1440" w:gutter="0" w:footer="0" w:header="0"/>
        </w:sectPr>
      </w:pPr>
    </w:p>
    <w:bookmarkStart w:id="26" w:name="page27"/>
    <w:bookmarkEnd w:id="26"/>
    <w:p>
      <w:pPr>
        <w:spacing w:after="0" w:line="260" w:lineRule="auto"/>
        <w:rPr>
          <w:sz w:val="20"/>
          <w:szCs w:val="20"/>
          <w:color w:val="auto"/>
        </w:rPr>
      </w:pPr>
      <w:r>
        <w:rPr>
          <w:rFonts w:ascii="Arial" w:cs="Arial" w:eastAsia="Arial" w:hAnsi="Arial"/>
          <w:sz w:val="20"/>
          <w:szCs w:val="20"/>
          <w:color w:val="auto"/>
        </w:rPr>
        <w:t>The following table presents various financial information for each reportable segment for the three and nine months ended June 30, 2023 and 2022.</w:t>
      </w:r>
    </w:p>
    <w:p>
      <w:pPr>
        <w:spacing w:after="0" w:line="93" w:lineRule="exact"/>
        <w:rPr>
          <w:sz w:val="20"/>
          <w:szCs w:val="20"/>
          <w:color w:val="auto"/>
        </w:rPr>
      </w:pPr>
    </w:p>
    <w:tbl>
      <w:tblPr>
        <w:tblLayout w:type="fixed"/>
        <w:tblInd w:w="20" w:type="dxa"/>
        <w:tblCellMar>
          <w:top w:w="0" w:type="dxa"/>
          <w:left w:w="0" w:type="dxa"/>
          <w:bottom w:w="0" w:type="dxa"/>
          <w:right w:w="0" w:type="dxa"/>
        </w:tblCellMar>
      </w:tblPr>
      <w:tr>
        <w:trPr>
          <w:trHeight w:val="244"/>
        </w:trPr>
        <w:tc>
          <w:tcPr>
            <w:tcW w:w="348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3040" w:type="dxa"/>
            <w:vAlign w:val="bottom"/>
            <w:tcBorders>
              <w:top w:val="single" w:sz="8" w:color="auto"/>
            </w:tcBorders>
            <w:gridSpan w:val="5"/>
          </w:tcPr>
          <w:p>
            <w:pPr>
              <w:jc w:val="right"/>
              <w:ind w:right="930"/>
              <w:spacing w:after="0"/>
              <w:rPr>
                <w:sz w:val="20"/>
                <w:szCs w:val="20"/>
                <w:color w:val="auto"/>
              </w:rPr>
            </w:pPr>
            <w:r>
              <w:rPr>
                <w:rFonts w:ascii="Arial" w:cs="Arial" w:eastAsia="Arial" w:hAnsi="Arial"/>
                <w:sz w:val="18"/>
                <w:szCs w:val="18"/>
                <w:color w:val="auto"/>
              </w:rPr>
              <w:t>Three months ended</w:t>
            </w:r>
          </w:p>
        </w:tc>
        <w:tc>
          <w:tcPr>
            <w:tcW w:w="2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w w:val="88"/>
              </w:rPr>
              <w:t>Nine months ended</w:t>
            </w:r>
          </w:p>
        </w:tc>
        <w:tc>
          <w:tcPr>
            <w:tcW w:w="1040" w:type="dxa"/>
            <w:vAlign w:val="bottom"/>
            <w:tcBorders>
              <w:top w:val="single" w:sz="8" w:color="auto"/>
            </w:tcBorders>
          </w:tcPr>
          <w:p>
            <w:pPr>
              <w:spacing w:after="0"/>
              <w:rPr>
                <w:sz w:val="21"/>
                <w:szCs w:val="21"/>
                <w:color w:val="auto"/>
              </w:rPr>
            </w:pPr>
          </w:p>
        </w:tc>
      </w:tr>
      <w:tr>
        <w:trPr>
          <w:trHeight w:val="249"/>
        </w:trPr>
        <w:tc>
          <w:tcPr>
            <w:tcW w:w="34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8"/>
                <w:szCs w:val="18"/>
                <w:color w:val="auto"/>
              </w:rPr>
              <w:t>June 30</w:t>
            </w:r>
          </w:p>
        </w:tc>
        <w:tc>
          <w:tcPr>
            <w:tcW w:w="122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8"/>
                <w:szCs w:val="18"/>
                <w:color w:val="auto"/>
              </w:rPr>
              <w:t>June 30</w:t>
            </w:r>
          </w:p>
        </w:tc>
        <w:tc>
          <w:tcPr>
            <w:tcW w:w="1040" w:type="dxa"/>
            <w:vAlign w:val="bottom"/>
            <w:tcBorders>
              <w:bottom w:val="single" w:sz="8" w:color="auto"/>
            </w:tcBorders>
          </w:tcPr>
          <w:p>
            <w:pPr>
              <w:spacing w:after="0"/>
              <w:rPr>
                <w:sz w:val="21"/>
                <w:szCs w:val="21"/>
                <w:color w:val="auto"/>
              </w:rPr>
            </w:pPr>
          </w:p>
        </w:tc>
      </w:tr>
      <w:tr>
        <w:trPr>
          <w:trHeight w:val="237"/>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 - unaudited)</w:t>
            </w:r>
          </w:p>
        </w:tc>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2023</w:t>
            </w:r>
          </w:p>
        </w:tc>
        <w:tc>
          <w:tcPr>
            <w:tcW w:w="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2022</w:t>
            </w: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2023</w:t>
            </w:r>
          </w:p>
        </w:tc>
        <w:tc>
          <w:tcPr>
            <w:tcW w:w="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w w:val="84"/>
              </w:rPr>
              <w:t>2022</w:t>
            </w:r>
          </w:p>
        </w:tc>
      </w:tr>
      <w:tr>
        <w:trPr>
          <w:trHeight w:val="243"/>
        </w:trPr>
        <w:tc>
          <w:tcPr>
            <w:tcW w:w="34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SALES</w:t>
            </w:r>
          </w:p>
        </w:tc>
        <w:tc>
          <w:tcPr>
            <w:tcW w:w="34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r>
      <w:tr>
        <w:trPr>
          <w:trHeight w:val="237"/>
        </w:trPr>
        <w:tc>
          <w:tcPr>
            <w:tcW w:w="3480" w:type="dxa"/>
            <w:vAlign w:val="bottom"/>
          </w:tcPr>
          <w:p>
            <w:pPr>
              <w:ind w:left="200"/>
              <w:spacing w:after="0"/>
              <w:rPr>
                <w:sz w:val="20"/>
                <w:szCs w:val="20"/>
                <w:color w:val="auto"/>
              </w:rPr>
            </w:pPr>
            <w:r>
              <w:rPr>
                <w:rFonts w:ascii="Arial" w:cs="Arial" w:eastAsia="Arial" w:hAnsi="Arial"/>
                <w:sz w:val="18"/>
                <w:szCs w:val="18"/>
                <w:i w:val="1"/>
                <w:iCs w:val="1"/>
                <w:color w:val="auto"/>
              </w:rPr>
              <w:t>Life Sciences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219</w:t>
            </w:r>
          </w:p>
        </w:tc>
        <w:tc>
          <w:tcPr>
            <w:tcW w:w="56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228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gridSpan w:val="2"/>
          </w:tcPr>
          <w:p>
            <w:pPr>
              <w:jc w:val="right"/>
              <w:ind w:right="50"/>
              <w:spacing w:after="0"/>
              <w:rPr>
                <w:sz w:val="20"/>
                <w:szCs w:val="20"/>
                <w:color w:val="auto"/>
              </w:rPr>
            </w:pPr>
            <w:r>
              <w:rPr>
                <w:rFonts w:ascii="Arial" w:cs="Arial" w:eastAsia="Arial" w:hAnsi="Arial"/>
                <w:sz w:val="18"/>
                <w:szCs w:val="18"/>
                <w:color w:val="auto"/>
              </w:rPr>
              <w:t>666</w:t>
            </w:r>
          </w:p>
        </w:tc>
        <w:tc>
          <w:tcPr>
            <w:tcW w:w="74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602</w:t>
            </w:r>
          </w:p>
        </w:tc>
      </w:tr>
      <w:tr>
        <w:trPr>
          <w:trHeight w:val="249"/>
        </w:trPr>
        <w:tc>
          <w:tcPr>
            <w:tcW w:w="3480" w:type="dxa"/>
            <w:vAlign w:val="bottom"/>
            <w:shd w:val="clear" w:color="auto" w:fill="CFF0FC"/>
          </w:tcPr>
          <w:p>
            <w:pPr>
              <w:ind w:left="200"/>
              <w:spacing w:after="0"/>
              <w:rPr>
                <w:sz w:val="20"/>
                <w:szCs w:val="20"/>
                <w:color w:val="auto"/>
              </w:rPr>
            </w:pPr>
            <w:r>
              <w:rPr>
                <w:rFonts w:ascii="Arial" w:cs="Arial" w:eastAsia="Arial" w:hAnsi="Arial"/>
                <w:sz w:val="18"/>
                <w:szCs w:val="18"/>
                <w:i w:val="1"/>
                <w:iCs w:val="1"/>
                <w:color w:val="auto"/>
              </w:rPr>
              <w:t>Personal Care</w:t>
            </w:r>
          </w:p>
        </w:tc>
        <w:tc>
          <w:tcPr>
            <w:tcW w:w="34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146</w:t>
            </w:r>
          </w:p>
        </w:tc>
        <w:tc>
          <w:tcPr>
            <w:tcW w:w="2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172</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452</w:t>
            </w:r>
          </w:p>
        </w:tc>
        <w:tc>
          <w:tcPr>
            <w:tcW w:w="2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490</w:t>
            </w:r>
          </w:p>
        </w:tc>
      </w:tr>
      <w:tr>
        <w:trPr>
          <w:trHeight w:val="237"/>
        </w:trPr>
        <w:tc>
          <w:tcPr>
            <w:tcW w:w="3480" w:type="dxa"/>
            <w:vAlign w:val="bottom"/>
          </w:tcPr>
          <w:p>
            <w:pPr>
              <w:ind w:left="200"/>
              <w:spacing w:after="0"/>
              <w:rPr>
                <w:sz w:val="20"/>
                <w:szCs w:val="20"/>
                <w:color w:val="auto"/>
              </w:rPr>
            </w:pPr>
            <w:r>
              <w:rPr>
                <w:rFonts w:ascii="Arial" w:cs="Arial" w:eastAsia="Arial" w:hAnsi="Arial"/>
                <w:sz w:val="18"/>
                <w:szCs w:val="18"/>
                <w:i w:val="1"/>
                <w:iCs w:val="1"/>
                <w:color w:val="auto"/>
              </w:rPr>
              <w:t>Specialty Additives</w:t>
            </w:r>
          </w:p>
        </w:tc>
        <w:tc>
          <w:tcPr>
            <w:tcW w:w="340" w:type="dxa"/>
            <w:vAlign w:val="bottom"/>
          </w:tcPr>
          <w:p>
            <w:pPr>
              <w:spacing w:after="0"/>
              <w:rPr>
                <w:sz w:val="20"/>
                <w:szCs w:val="20"/>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152</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194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gridSpan w:val="2"/>
          </w:tcPr>
          <w:p>
            <w:pPr>
              <w:jc w:val="right"/>
              <w:ind w:right="50"/>
              <w:spacing w:after="0"/>
              <w:rPr>
                <w:sz w:val="20"/>
                <w:szCs w:val="20"/>
                <w:color w:val="auto"/>
              </w:rPr>
            </w:pPr>
            <w:r>
              <w:rPr>
                <w:rFonts w:ascii="Arial" w:cs="Arial" w:eastAsia="Arial" w:hAnsi="Arial"/>
                <w:sz w:val="18"/>
                <w:szCs w:val="18"/>
                <w:color w:val="auto"/>
              </w:rPr>
              <w:t>456</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532</w:t>
            </w:r>
          </w:p>
        </w:tc>
      </w:tr>
      <w:tr>
        <w:trPr>
          <w:trHeight w:val="249"/>
        </w:trPr>
        <w:tc>
          <w:tcPr>
            <w:tcW w:w="3480" w:type="dxa"/>
            <w:vAlign w:val="bottom"/>
            <w:shd w:val="clear" w:color="auto" w:fill="CFF0FC"/>
          </w:tcPr>
          <w:p>
            <w:pPr>
              <w:ind w:left="200"/>
              <w:spacing w:after="0"/>
              <w:rPr>
                <w:sz w:val="20"/>
                <w:szCs w:val="20"/>
                <w:color w:val="auto"/>
              </w:rPr>
            </w:pPr>
            <w:r>
              <w:rPr>
                <w:rFonts w:ascii="Arial" w:cs="Arial" w:eastAsia="Arial" w:hAnsi="Arial"/>
                <w:sz w:val="18"/>
                <w:szCs w:val="18"/>
                <w:i w:val="1"/>
                <w:iCs w:val="1"/>
                <w:color w:val="auto"/>
              </w:rPr>
              <w:t>Intermediates</w:t>
            </w:r>
          </w:p>
        </w:tc>
        <w:tc>
          <w:tcPr>
            <w:tcW w:w="34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73</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148</w:t>
            </w:r>
          </w:p>
        </w:tc>
        <w:tc>
          <w:tcPr>
            <w:tcW w:w="2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192</w:t>
            </w:r>
          </w:p>
        </w:tc>
      </w:tr>
      <w:tr>
        <w:trPr>
          <w:trHeight w:val="243"/>
        </w:trPr>
        <w:tc>
          <w:tcPr>
            <w:tcW w:w="3480" w:type="dxa"/>
            <w:vAlign w:val="bottom"/>
          </w:tcPr>
          <w:p>
            <w:pPr>
              <w:ind w:left="200"/>
              <w:spacing w:after="0"/>
              <w:rPr>
                <w:sz w:val="20"/>
                <w:szCs w:val="20"/>
                <w:color w:val="auto"/>
              </w:rPr>
            </w:pPr>
            <w:r>
              <w:rPr>
                <w:rFonts w:ascii="Arial" w:cs="Arial" w:eastAsia="Arial" w:hAnsi="Arial"/>
                <w:sz w:val="18"/>
                <w:szCs w:val="18"/>
                <w:i w:val="1"/>
                <w:iCs w:val="1"/>
                <w:color w:val="auto"/>
              </w:rPr>
              <w:t xml:space="preserve">Intersegment sales </w:t>
            </w:r>
            <w:r>
              <w:rPr>
                <w:rFonts w:ascii="Arial" w:cs="Arial" w:eastAsia="Arial" w:hAnsi="Arial"/>
                <w:sz w:val="14"/>
                <w:szCs w:val="14"/>
                <w:color w:val="auto"/>
              </w:rPr>
              <w:t>(a)</w:t>
            </w:r>
          </w:p>
        </w:tc>
        <w:tc>
          <w:tcPr>
            <w:tcW w:w="3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(14 )</w:t>
            </w:r>
          </w:p>
        </w:tc>
        <w:tc>
          <w:tcPr>
            <w:tcW w:w="20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(23 )</w:t>
            </w: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(48 )</w:t>
            </w:r>
          </w:p>
        </w:tc>
        <w:tc>
          <w:tcPr>
            <w:tcW w:w="20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(57 )</w:t>
            </w:r>
          </w:p>
        </w:tc>
      </w:tr>
      <w:tr>
        <w:trPr>
          <w:trHeight w:val="270"/>
        </w:trPr>
        <w:tc>
          <w:tcPr>
            <w:tcW w:w="348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546</w:t>
            </w:r>
          </w:p>
        </w:tc>
        <w:tc>
          <w:tcPr>
            <w:tcW w:w="20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auto"/>
            </w:tcBorders>
            <w:gridSpan w:val="2"/>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644</w:t>
            </w:r>
          </w:p>
        </w:tc>
        <w:tc>
          <w:tcPr>
            <w:tcW w:w="20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spacing w:after="0"/>
              <w:rPr>
                <w:sz w:val="23"/>
                <w:szCs w:val="23"/>
                <w:color w:val="auto"/>
              </w:rPr>
            </w:pPr>
          </w:p>
        </w:tc>
        <w:tc>
          <w:tcPr>
            <w:tcW w:w="680" w:type="dxa"/>
            <w:vAlign w:val="bottom"/>
            <w:tcBorders>
              <w:bottom w:val="single" w:sz="8" w:color="auto"/>
            </w:tcBorders>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1,674</w:t>
            </w:r>
          </w:p>
        </w:tc>
        <w:tc>
          <w:tcPr>
            <w:tcW w:w="200" w:type="dxa"/>
            <w:vAlign w:val="bottom"/>
            <w:tcBorders>
              <w:bottom w:val="single" w:sz="8" w:color="CFF0FC"/>
            </w:tcBorders>
            <w:shd w:val="clear" w:color="auto" w:fill="CFF0FC"/>
          </w:tcPr>
          <w:p>
            <w:pPr>
              <w:spacing w:after="0"/>
              <w:rPr>
                <w:sz w:val="23"/>
                <w:szCs w:val="23"/>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1,759</w:t>
            </w:r>
          </w:p>
        </w:tc>
      </w:tr>
      <w:tr>
        <w:trPr>
          <w:trHeight w:val="225"/>
        </w:trPr>
        <w:tc>
          <w:tcPr>
            <w:tcW w:w="3480" w:type="dxa"/>
            <w:vAlign w:val="bottom"/>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47"/>
        </w:trPr>
        <w:tc>
          <w:tcPr>
            <w:tcW w:w="3480" w:type="dxa"/>
            <w:vAlign w:val="bottom"/>
            <w:shd w:val="clear" w:color="auto" w:fill="CFF0FC"/>
          </w:tcPr>
          <w:p>
            <w:pPr>
              <w:ind w:left="200"/>
              <w:spacing w:after="0"/>
              <w:rPr>
                <w:sz w:val="20"/>
                <w:szCs w:val="20"/>
                <w:color w:val="auto"/>
              </w:rPr>
            </w:pPr>
            <w:r>
              <w:rPr>
                <w:rFonts w:ascii="Arial" w:cs="Arial" w:eastAsia="Arial" w:hAnsi="Arial"/>
                <w:sz w:val="18"/>
                <w:szCs w:val="18"/>
                <w:i w:val="1"/>
                <w:iCs w:val="1"/>
                <w:color w:val="auto"/>
              </w:rPr>
              <w:t>Life Sciences</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49</w:t>
            </w:r>
          </w:p>
        </w:tc>
        <w:tc>
          <w:tcPr>
            <w:tcW w:w="560" w:type="dxa"/>
            <w:vAlign w:val="bottom"/>
            <w:gridSpan w:val="3"/>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51</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141</w:t>
            </w:r>
          </w:p>
        </w:tc>
        <w:tc>
          <w:tcPr>
            <w:tcW w:w="740" w:type="dxa"/>
            <w:vAlign w:val="bottom"/>
            <w:gridSpan w:val="2"/>
            <w:shd w:val="clear" w:color="auto" w:fill="CFF0FC"/>
          </w:tcPr>
          <w:p>
            <w:pPr>
              <w:jc w:val="right"/>
              <w:ind w:right="3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115</w:t>
            </w:r>
          </w:p>
        </w:tc>
      </w:tr>
      <w:tr>
        <w:trPr>
          <w:trHeight w:val="237"/>
        </w:trPr>
        <w:tc>
          <w:tcPr>
            <w:tcW w:w="3480" w:type="dxa"/>
            <w:vAlign w:val="bottom"/>
          </w:tcPr>
          <w:p>
            <w:pPr>
              <w:ind w:left="200"/>
              <w:spacing w:after="0"/>
              <w:rPr>
                <w:sz w:val="20"/>
                <w:szCs w:val="20"/>
                <w:color w:val="auto"/>
              </w:rPr>
            </w:pPr>
            <w:r>
              <w:rPr>
                <w:rFonts w:ascii="Arial" w:cs="Arial" w:eastAsia="Arial" w:hAnsi="Arial"/>
                <w:sz w:val="18"/>
                <w:szCs w:val="18"/>
                <w:i w:val="1"/>
                <w:iCs w:val="1"/>
                <w:color w:val="auto"/>
              </w:rPr>
              <w:t>Personal Care</w:t>
            </w:r>
          </w:p>
        </w:tc>
        <w:tc>
          <w:tcPr>
            <w:tcW w:w="340" w:type="dxa"/>
            <w:vAlign w:val="bottom"/>
          </w:tcPr>
          <w:p>
            <w:pPr>
              <w:spacing w:after="0"/>
              <w:rPr>
                <w:sz w:val="20"/>
                <w:szCs w:val="20"/>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gridSpan w:val="2"/>
          </w:tcPr>
          <w:p>
            <w:pPr>
              <w:jc w:val="right"/>
              <w:ind w:right="50"/>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67</w:t>
            </w:r>
          </w:p>
        </w:tc>
      </w:tr>
      <w:tr>
        <w:trPr>
          <w:trHeight w:val="249"/>
        </w:trPr>
        <w:tc>
          <w:tcPr>
            <w:tcW w:w="3480" w:type="dxa"/>
            <w:vAlign w:val="bottom"/>
            <w:shd w:val="clear" w:color="auto" w:fill="CFF0FC"/>
          </w:tcPr>
          <w:p>
            <w:pPr>
              <w:ind w:left="200"/>
              <w:spacing w:after="0"/>
              <w:rPr>
                <w:sz w:val="20"/>
                <w:szCs w:val="20"/>
                <w:color w:val="auto"/>
              </w:rPr>
            </w:pPr>
            <w:r>
              <w:rPr>
                <w:rFonts w:ascii="Arial" w:cs="Arial" w:eastAsia="Arial" w:hAnsi="Arial"/>
                <w:sz w:val="18"/>
                <w:szCs w:val="18"/>
                <w:i w:val="1"/>
                <w:iCs w:val="1"/>
                <w:color w:val="auto"/>
              </w:rPr>
              <w:t>Specialty Additives</w:t>
            </w:r>
          </w:p>
        </w:tc>
        <w:tc>
          <w:tcPr>
            <w:tcW w:w="34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79</w:t>
            </w:r>
          </w:p>
        </w:tc>
      </w:tr>
      <w:tr>
        <w:trPr>
          <w:trHeight w:val="237"/>
        </w:trPr>
        <w:tc>
          <w:tcPr>
            <w:tcW w:w="3480" w:type="dxa"/>
            <w:vAlign w:val="bottom"/>
          </w:tcPr>
          <w:p>
            <w:pPr>
              <w:ind w:left="200"/>
              <w:spacing w:after="0"/>
              <w:rPr>
                <w:sz w:val="20"/>
                <w:szCs w:val="20"/>
                <w:color w:val="auto"/>
              </w:rPr>
            </w:pPr>
            <w:r>
              <w:rPr>
                <w:rFonts w:ascii="Arial" w:cs="Arial" w:eastAsia="Arial" w:hAnsi="Arial"/>
                <w:sz w:val="18"/>
                <w:szCs w:val="18"/>
                <w:i w:val="1"/>
                <w:iCs w:val="1"/>
                <w:color w:val="auto"/>
              </w:rPr>
              <w:t>Intermediates</w:t>
            </w:r>
          </w:p>
        </w:tc>
        <w:tc>
          <w:tcPr>
            <w:tcW w:w="340" w:type="dxa"/>
            <w:vAlign w:val="bottom"/>
          </w:tcPr>
          <w:p>
            <w:pPr>
              <w:spacing w:after="0"/>
              <w:rPr>
                <w:sz w:val="20"/>
                <w:szCs w:val="20"/>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gridSpan w:val="2"/>
          </w:tcPr>
          <w:p>
            <w:pPr>
              <w:jc w:val="right"/>
              <w:ind w:right="50"/>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72</w:t>
            </w:r>
          </w:p>
        </w:tc>
      </w:tr>
      <w:tr>
        <w:trPr>
          <w:trHeight w:val="249"/>
        </w:trPr>
        <w:tc>
          <w:tcPr>
            <w:tcW w:w="34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i w:val="1"/>
                <w:iCs w:val="1"/>
                <w:color w:val="auto"/>
              </w:rPr>
              <w:t>Unallocated and other</w:t>
            </w:r>
          </w:p>
        </w:tc>
        <w:tc>
          <w:tcPr>
            <w:tcW w:w="34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(19 )</w:t>
            </w:r>
          </w:p>
        </w:tc>
        <w:tc>
          <w:tcPr>
            <w:tcW w:w="20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auto"/>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(29 )</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(69 )</w:t>
            </w:r>
          </w:p>
        </w:tc>
        <w:tc>
          <w:tcPr>
            <w:tcW w:w="20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(79 )</w:t>
            </w:r>
          </w:p>
        </w:tc>
      </w:tr>
      <w:tr>
        <w:trPr>
          <w:trHeight w:val="230"/>
        </w:trPr>
        <w:tc>
          <w:tcPr>
            <w:tcW w:w="348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62</w:t>
            </w:r>
          </w:p>
        </w:tc>
        <w:tc>
          <w:tcPr>
            <w:tcW w:w="56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112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gridSpan w:val="2"/>
          </w:tcPr>
          <w:p>
            <w:pPr>
              <w:jc w:val="right"/>
              <w:ind w:right="50"/>
              <w:spacing w:after="0"/>
              <w:rPr>
                <w:sz w:val="20"/>
                <w:szCs w:val="20"/>
                <w:color w:val="auto"/>
              </w:rPr>
            </w:pPr>
            <w:r>
              <w:rPr>
                <w:rFonts w:ascii="Arial" w:cs="Arial" w:eastAsia="Arial" w:hAnsi="Arial"/>
                <w:sz w:val="18"/>
                <w:szCs w:val="18"/>
                <w:color w:val="auto"/>
              </w:rPr>
              <w:t>182</w:t>
            </w:r>
          </w:p>
        </w:tc>
        <w:tc>
          <w:tcPr>
            <w:tcW w:w="74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254</w:t>
            </w:r>
          </w:p>
        </w:tc>
      </w:tr>
      <w:tr>
        <w:trPr>
          <w:trHeight w:val="20"/>
        </w:trPr>
        <w:tc>
          <w:tcPr>
            <w:tcW w:w="34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30"/>
        </w:trPr>
        <w:tc>
          <w:tcPr>
            <w:tcW w:w="34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DEPRECIATION EXPENSE</w:t>
            </w:r>
          </w:p>
        </w:tc>
        <w:tc>
          <w:tcPr>
            <w:tcW w:w="3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r>
      <w:tr>
        <w:trPr>
          <w:trHeight w:val="237"/>
        </w:trPr>
        <w:tc>
          <w:tcPr>
            <w:tcW w:w="3480" w:type="dxa"/>
            <w:vAlign w:val="bottom"/>
          </w:tcPr>
          <w:p>
            <w:pPr>
              <w:ind w:left="200"/>
              <w:spacing w:after="0"/>
              <w:rPr>
                <w:sz w:val="20"/>
                <w:szCs w:val="20"/>
                <w:color w:val="auto"/>
              </w:rPr>
            </w:pPr>
            <w:r>
              <w:rPr>
                <w:rFonts w:ascii="Arial" w:cs="Arial" w:eastAsia="Arial" w:hAnsi="Arial"/>
                <w:sz w:val="18"/>
                <w:szCs w:val="18"/>
                <w:i w:val="1"/>
                <w:iCs w:val="1"/>
                <w:color w:val="auto"/>
              </w:rPr>
              <w:t>Life Sciences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11</w:t>
            </w:r>
          </w:p>
        </w:tc>
        <w:tc>
          <w:tcPr>
            <w:tcW w:w="56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gridSpan w:val="2"/>
          </w:tcPr>
          <w:p>
            <w:pPr>
              <w:jc w:val="right"/>
              <w:ind w:right="50"/>
              <w:spacing w:after="0"/>
              <w:rPr>
                <w:sz w:val="20"/>
                <w:szCs w:val="20"/>
                <w:color w:val="auto"/>
              </w:rPr>
            </w:pPr>
            <w:r>
              <w:rPr>
                <w:rFonts w:ascii="Arial" w:cs="Arial" w:eastAsia="Arial" w:hAnsi="Arial"/>
                <w:sz w:val="18"/>
                <w:szCs w:val="18"/>
                <w:color w:val="auto"/>
              </w:rPr>
              <w:t>31</w:t>
            </w:r>
          </w:p>
        </w:tc>
        <w:tc>
          <w:tcPr>
            <w:tcW w:w="74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25</w:t>
            </w:r>
          </w:p>
        </w:tc>
      </w:tr>
      <w:tr>
        <w:trPr>
          <w:trHeight w:val="249"/>
        </w:trPr>
        <w:tc>
          <w:tcPr>
            <w:tcW w:w="3480" w:type="dxa"/>
            <w:vAlign w:val="bottom"/>
            <w:shd w:val="clear" w:color="auto" w:fill="CFF0FC"/>
          </w:tcPr>
          <w:p>
            <w:pPr>
              <w:ind w:left="200"/>
              <w:spacing w:after="0"/>
              <w:rPr>
                <w:sz w:val="20"/>
                <w:szCs w:val="20"/>
                <w:color w:val="auto"/>
              </w:rPr>
            </w:pPr>
            <w:r>
              <w:rPr>
                <w:rFonts w:ascii="Arial" w:cs="Arial" w:eastAsia="Arial" w:hAnsi="Arial"/>
                <w:sz w:val="18"/>
                <w:szCs w:val="18"/>
                <w:i w:val="1"/>
                <w:iCs w:val="1"/>
                <w:color w:val="auto"/>
              </w:rPr>
              <w:t>Personal Care</w:t>
            </w:r>
          </w:p>
        </w:tc>
        <w:tc>
          <w:tcPr>
            <w:tcW w:w="34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w:t>
            </w:r>
          </w:p>
        </w:tc>
        <w:tc>
          <w:tcPr>
            <w:tcW w:w="2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28</w:t>
            </w:r>
          </w:p>
        </w:tc>
      </w:tr>
      <w:tr>
        <w:trPr>
          <w:trHeight w:val="237"/>
        </w:trPr>
        <w:tc>
          <w:tcPr>
            <w:tcW w:w="3480" w:type="dxa"/>
            <w:vAlign w:val="bottom"/>
          </w:tcPr>
          <w:p>
            <w:pPr>
              <w:ind w:left="200"/>
              <w:spacing w:after="0"/>
              <w:rPr>
                <w:sz w:val="20"/>
                <w:szCs w:val="20"/>
                <w:color w:val="auto"/>
              </w:rPr>
            </w:pPr>
            <w:r>
              <w:rPr>
                <w:rFonts w:ascii="Arial" w:cs="Arial" w:eastAsia="Arial" w:hAnsi="Arial"/>
                <w:sz w:val="18"/>
                <w:szCs w:val="18"/>
                <w:i w:val="1"/>
                <w:iCs w:val="1"/>
                <w:color w:val="auto"/>
              </w:rPr>
              <w:t>Specialty Additives</w:t>
            </w:r>
          </w:p>
        </w:tc>
        <w:tc>
          <w:tcPr>
            <w:tcW w:w="340" w:type="dxa"/>
            <w:vAlign w:val="bottom"/>
          </w:tcPr>
          <w:p>
            <w:pPr>
              <w:spacing w:after="0"/>
              <w:rPr>
                <w:sz w:val="20"/>
                <w:szCs w:val="20"/>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gridSpan w:val="2"/>
          </w:tcPr>
          <w:p>
            <w:pPr>
              <w:jc w:val="right"/>
              <w:ind w:right="50"/>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48</w:t>
            </w:r>
          </w:p>
        </w:tc>
      </w:tr>
      <w:tr>
        <w:trPr>
          <w:trHeight w:val="249"/>
        </w:trPr>
        <w:tc>
          <w:tcPr>
            <w:tcW w:w="3480" w:type="dxa"/>
            <w:vAlign w:val="bottom"/>
            <w:shd w:val="clear" w:color="auto" w:fill="CFF0FC"/>
          </w:tcPr>
          <w:p>
            <w:pPr>
              <w:ind w:left="200"/>
              <w:spacing w:after="0"/>
              <w:rPr>
                <w:sz w:val="20"/>
                <w:szCs w:val="20"/>
                <w:color w:val="auto"/>
              </w:rPr>
            </w:pPr>
            <w:r>
              <w:rPr>
                <w:rFonts w:ascii="Arial" w:cs="Arial" w:eastAsia="Arial" w:hAnsi="Arial"/>
                <w:sz w:val="18"/>
                <w:szCs w:val="18"/>
                <w:i w:val="1"/>
                <w:iCs w:val="1"/>
                <w:color w:val="auto"/>
              </w:rPr>
              <w:t>Intermediates</w:t>
            </w:r>
          </w:p>
        </w:tc>
        <w:tc>
          <w:tcPr>
            <w:tcW w:w="34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9</w:t>
            </w:r>
          </w:p>
        </w:tc>
        <w:tc>
          <w:tcPr>
            <w:tcW w:w="2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w:t>
            </w:r>
          </w:p>
        </w:tc>
      </w:tr>
      <w:tr>
        <w:trPr>
          <w:trHeight w:val="243"/>
        </w:trPr>
        <w:tc>
          <w:tcPr>
            <w:tcW w:w="3480" w:type="dxa"/>
            <w:vAlign w:val="bottom"/>
          </w:tcPr>
          <w:p>
            <w:pPr>
              <w:ind w:left="200"/>
              <w:spacing w:after="0"/>
              <w:rPr>
                <w:sz w:val="20"/>
                <w:szCs w:val="20"/>
                <w:color w:val="auto"/>
              </w:rPr>
            </w:pPr>
            <w:r>
              <w:rPr>
                <w:rFonts w:ascii="Arial" w:cs="Arial" w:eastAsia="Arial" w:hAnsi="Arial"/>
                <w:sz w:val="18"/>
                <w:szCs w:val="18"/>
                <w:i w:val="1"/>
                <w:iCs w:val="1"/>
                <w:color w:val="auto"/>
              </w:rPr>
              <w:t>Unallocated and other</w:t>
            </w:r>
          </w:p>
        </w:tc>
        <w:tc>
          <w:tcPr>
            <w:tcW w:w="3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w:t>
            </w:r>
          </w:p>
        </w:tc>
      </w:tr>
      <w:tr>
        <w:trPr>
          <w:trHeight w:val="270"/>
        </w:trPr>
        <w:tc>
          <w:tcPr>
            <w:tcW w:w="348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38</w:t>
            </w:r>
          </w:p>
        </w:tc>
        <w:tc>
          <w:tcPr>
            <w:tcW w:w="20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auto"/>
            </w:tcBorders>
            <w:gridSpan w:val="2"/>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37</w:t>
            </w:r>
          </w:p>
        </w:tc>
        <w:tc>
          <w:tcPr>
            <w:tcW w:w="20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spacing w:after="0"/>
              <w:rPr>
                <w:sz w:val="23"/>
                <w:szCs w:val="23"/>
                <w:color w:val="auto"/>
              </w:rPr>
            </w:pPr>
          </w:p>
        </w:tc>
        <w:tc>
          <w:tcPr>
            <w:tcW w:w="680" w:type="dxa"/>
            <w:vAlign w:val="bottom"/>
            <w:tcBorders>
              <w:bottom w:val="single" w:sz="8" w:color="auto"/>
            </w:tcBorders>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111</w:t>
            </w:r>
          </w:p>
        </w:tc>
        <w:tc>
          <w:tcPr>
            <w:tcW w:w="200" w:type="dxa"/>
            <w:vAlign w:val="bottom"/>
            <w:tcBorders>
              <w:bottom w:val="single" w:sz="8" w:color="CFF0FC"/>
            </w:tcBorders>
            <w:shd w:val="clear" w:color="auto" w:fill="CFF0FC"/>
          </w:tcPr>
          <w:p>
            <w:pPr>
              <w:spacing w:after="0"/>
              <w:rPr>
                <w:sz w:val="23"/>
                <w:szCs w:val="23"/>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111</w:t>
            </w:r>
          </w:p>
        </w:tc>
      </w:tr>
      <w:tr>
        <w:trPr>
          <w:trHeight w:val="226"/>
        </w:trPr>
        <w:tc>
          <w:tcPr>
            <w:tcW w:w="3480" w:type="dxa"/>
            <w:vAlign w:val="bottom"/>
          </w:tcPr>
          <w:p>
            <w:pPr>
              <w:ind w:left="20"/>
              <w:spacing w:after="0"/>
              <w:rPr>
                <w:sz w:val="20"/>
                <w:szCs w:val="20"/>
                <w:color w:val="auto"/>
              </w:rPr>
            </w:pPr>
            <w:r>
              <w:rPr>
                <w:rFonts w:ascii="Arial" w:cs="Arial" w:eastAsia="Arial" w:hAnsi="Arial"/>
                <w:sz w:val="18"/>
                <w:szCs w:val="18"/>
                <w:b w:val="1"/>
                <w:bCs w:val="1"/>
                <w:color w:val="auto"/>
              </w:rPr>
              <w:t>AMORTIZATION EXPENSE</w:t>
            </w: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47"/>
        </w:trPr>
        <w:tc>
          <w:tcPr>
            <w:tcW w:w="3480" w:type="dxa"/>
            <w:vAlign w:val="bottom"/>
            <w:shd w:val="clear" w:color="auto" w:fill="CFF0FC"/>
          </w:tcPr>
          <w:p>
            <w:pPr>
              <w:ind w:left="200"/>
              <w:spacing w:after="0"/>
              <w:rPr>
                <w:sz w:val="20"/>
                <w:szCs w:val="20"/>
                <w:color w:val="auto"/>
              </w:rPr>
            </w:pPr>
            <w:r>
              <w:rPr>
                <w:rFonts w:ascii="Arial" w:cs="Arial" w:eastAsia="Arial" w:hAnsi="Arial"/>
                <w:sz w:val="18"/>
                <w:szCs w:val="18"/>
                <w:i w:val="1"/>
                <w:iCs w:val="1"/>
                <w:color w:val="auto"/>
              </w:rPr>
              <w:t>Life Sciences</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w:t>
            </w:r>
          </w:p>
        </w:tc>
        <w:tc>
          <w:tcPr>
            <w:tcW w:w="560" w:type="dxa"/>
            <w:vAlign w:val="bottom"/>
            <w:gridSpan w:val="3"/>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20</w:t>
            </w:r>
          </w:p>
        </w:tc>
        <w:tc>
          <w:tcPr>
            <w:tcW w:w="740" w:type="dxa"/>
            <w:vAlign w:val="bottom"/>
            <w:gridSpan w:val="2"/>
            <w:shd w:val="clear" w:color="auto" w:fill="CFF0FC"/>
          </w:tcPr>
          <w:p>
            <w:pPr>
              <w:jc w:val="right"/>
              <w:ind w:right="3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21</w:t>
            </w:r>
          </w:p>
        </w:tc>
      </w:tr>
      <w:tr>
        <w:trPr>
          <w:trHeight w:val="237"/>
        </w:trPr>
        <w:tc>
          <w:tcPr>
            <w:tcW w:w="3480" w:type="dxa"/>
            <w:vAlign w:val="bottom"/>
          </w:tcPr>
          <w:p>
            <w:pPr>
              <w:ind w:left="200"/>
              <w:spacing w:after="0"/>
              <w:rPr>
                <w:sz w:val="20"/>
                <w:szCs w:val="20"/>
                <w:color w:val="auto"/>
              </w:rPr>
            </w:pPr>
            <w:r>
              <w:rPr>
                <w:rFonts w:ascii="Arial" w:cs="Arial" w:eastAsia="Arial" w:hAnsi="Arial"/>
                <w:sz w:val="18"/>
                <w:szCs w:val="18"/>
                <w:i w:val="1"/>
                <w:iCs w:val="1"/>
                <w:color w:val="auto"/>
              </w:rPr>
              <w:t>Personal Care</w:t>
            </w:r>
          </w:p>
        </w:tc>
        <w:tc>
          <w:tcPr>
            <w:tcW w:w="340" w:type="dxa"/>
            <w:vAlign w:val="bottom"/>
          </w:tcPr>
          <w:p>
            <w:pPr>
              <w:spacing w:after="0"/>
              <w:rPr>
                <w:sz w:val="20"/>
                <w:szCs w:val="20"/>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gridSpan w:val="2"/>
          </w:tcPr>
          <w:p>
            <w:pPr>
              <w:jc w:val="right"/>
              <w:ind w:right="50"/>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35</w:t>
            </w:r>
          </w:p>
        </w:tc>
      </w:tr>
      <w:tr>
        <w:trPr>
          <w:trHeight w:val="249"/>
        </w:trPr>
        <w:tc>
          <w:tcPr>
            <w:tcW w:w="3480" w:type="dxa"/>
            <w:vAlign w:val="bottom"/>
            <w:shd w:val="clear" w:color="auto" w:fill="CFF0FC"/>
          </w:tcPr>
          <w:p>
            <w:pPr>
              <w:ind w:left="200"/>
              <w:spacing w:after="0"/>
              <w:rPr>
                <w:sz w:val="20"/>
                <w:szCs w:val="20"/>
                <w:color w:val="auto"/>
              </w:rPr>
            </w:pPr>
            <w:r>
              <w:rPr>
                <w:rFonts w:ascii="Arial" w:cs="Arial" w:eastAsia="Arial" w:hAnsi="Arial"/>
                <w:sz w:val="18"/>
                <w:szCs w:val="18"/>
                <w:i w:val="1"/>
                <w:iCs w:val="1"/>
                <w:color w:val="auto"/>
              </w:rPr>
              <w:t>Specialty Additives</w:t>
            </w:r>
          </w:p>
        </w:tc>
        <w:tc>
          <w:tcPr>
            <w:tcW w:w="34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14</w:t>
            </w:r>
          </w:p>
        </w:tc>
      </w:tr>
      <w:tr>
        <w:trPr>
          <w:trHeight w:val="243"/>
        </w:trPr>
        <w:tc>
          <w:tcPr>
            <w:tcW w:w="3480" w:type="dxa"/>
            <w:vAlign w:val="bottom"/>
          </w:tcPr>
          <w:p>
            <w:pPr>
              <w:ind w:left="200"/>
              <w:spacing w:after="0"/>
              <w:rPr>
                <w:sz w:val="20"/>
                <w:szCs w:val="20"/>
                <w:color w:val="auto"/>
              </w:rPr>
            </w:pPr>
            <w:r>
              <w:rPr>
                <w:rFonts w:ascii="Arial" w:cs="Arial" w:eastAsia="Arial" w:hAnsi="Arial"/>
                <w:sz w:val="18"/>
                <w:szCs w:val="18"/>
                <w:i w:val="1"/>
                <w:iCs w:val="1"/>
                <w:color w:val="auto"/>
              </w:rPr>
              <w:t>Intermediates</w:t>
            </w:r>
          </w:p>
        </w:tc>
        <w:tc>
          <w:tcPr>
            <w:tcW w:w="3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w:t>
            </w:r>
          </w:p>
        </w:tc>
      </w:tr>
      <w:tr>
        <w:trPr>
          <w:trHeight w:val="270"/>
        </w:trPr>
        <w:tc>
          <w:tcPr>
            <w:tcW w:w="348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24</w:t>
            </w:r>
          </w:p>
        </w:tc>
        <w:tc>
          <w:tcPr>
            <w:tcW w:w="20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auto"/>
            </w:tcBorders>
            <w:gridSpan w:val="2"/>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24</w:t>
            </w:r>
          </w:p>
        </w:tc>
        <w:tc>
          <w:tcPr>
            <w:tcW w:w="20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spacing w:after="0"/>
              <w:rPr>
                <w:sz w:val="23"/>
                <w:szCs w:val="23"/>
                <w:color w:val="auto"/>
              </w:rPr>
            </w:pPr>
          </w:p>
        </w:tc>
        <w:tc>
          <w:tcPr>
            <w:tcW w:w="680" w:type="dxa"/>
            <w:vAlign w:val="bottom"/>
            <w:tcBorders>
              <w:bottom w:val="single" w:sz="8" w:color="auto"/>
            </w:tcBorders>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70</w:t>
            </w:r>
          </w:p>
        </w:tc>
        <w:tc>
          <w:tcPr>
            <w:tcW w:w="200" w:type="dxa"/>
            <w:vAlign w:val="bottom"/>
            <w:tcBorders>
              <w:bottom w:val="single" w:sz="8" w:color="CFF0FC"/>
            </w:tcBorders>
            <w:shd w:val="clear" w:color="auto" w:fill="CFF0FC"/>
          </w:tcPr>
          <w:p>
            <w:pPr>
              <w:spacing w:after="0"/>
              <w:rPr>
                <w:sz w:val="23"/>
                <w:szCs w:val="23"/>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71</w:t>
            </w:r>
          </w:p>
        </w:tc>
      </w:tr>
      <w:tr>
        <w:trPr>
          <w:trHeight w:val="225"/>
        </w:trPr>
        <w:tc>
          <w:tcPr>
            <w:tcW w:w="3480" w:type="dxa"/>
            <w:vAlign w:val="bottom"/>
          </w:tcPr>
          <w:p>
            <w:pPr>
              <w:ind w:left="20"/>
              <w:spacing w:after="0"/>
              <w:rPr>
                <w:sz w:val="20"/>
                <w:szCs w:val="20"/>
                <w:color w:val="auto"/>
              </w:rPr>
            </w:pPr>
            <w:r>
              <w:rPr>
                <w:rFonts w:ascii="Arial" w:cs="Arial" w:eastAsia="Arial" w:hAnsi="Arial"/>
                <w:sz w:val="18"/>
                <w:szCs w:val="18"/>
                <w:b w:val="1"/>
                <w:bCs w:val="1"/>
                <w:color w:val="auto"/>
              </w:rPr>
              <w:t xml:space="preserve">EBITDA </w:t>
            </w:r>
            <w:r>
              <w:rPr>
                <w:rFonts w:ascii="Arial" w:cs="Arial" w:eastAsia="Arial" w:hAnsi="Arial"/>
                <w:sz w:val="14"/>
                <w:szCs w:val="14"/>
                <w:color w:val="auto"/>
              </w:rPr>
              <w:t>(b)</w:t>
            </w: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47"/>
        </w:trPr>
        <w:tc>
          <w:tcPr>
            <w:tcW w:w="3480" w:type="dxa"/>
            <w:vAlign w:val="bottom"/>
            <w:shd w:val="clear" w:color="auto" w:fill="CFF0FC"/>
          </w:tcPr>
          <w:p>
            <w:pPr>
              <w:ind w:left="200"/>
              <w:spacing w:after="0"/>
              <w:rPr>
                <w:sz w:val="20"/>
                <w:szCs w:val="20"/>
                <w:color w:val="auto"/>
              </w:rPr>
            </w:pPr>
            <w:r>
              <w:rPr>
                <w:rFonts w:ascii="Arial" w:cs="Arial" w:eastAsia="Arial" w:hAnsi="Arial"/>
                <w:sz w:val="18"/>
                <w:szCs w:val="18"/>
                <w:i w:val="1"/>
                <w:iCs w:val="1"/>
                <w:color w:val="auto"/>
              </w:rPr>
              <w:t>Life Sciences</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67</w:t>
            </w:r>
          </w:p>
        </w:tc>
        <w:tc>
          <w:tcPr>
            <w:tcW w:w="560" w:type="dxa"/>
            <w:vAlign w:val="bottom"/>
            <w:gridSpan w:val="3"/>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67</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192</w:t>
            </w:r>
          </w:p>
        </w:tc>
        <w:tc>
          <w:tcPr>
            <w:tcW w:w="740" w:type="dxa"/>
            <w:vAlign w:val="bottom"/>
            <w:gridSpan w:val="2"/>
            <w:shd w:val="clear" w:color="auto" w:fill="CFF0FC"/>
          </w:tcPr>
          <w:p>
            <w:pPr>
              <w:jc w:val="right"/>
              <w:ind w:right="3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161</w:t>
            </w:r>
          </w:p>
        </w:tc>
      </w:tr>
      <w:tr>
        <w:trPr>
          <w:trHeight w:val="237"/>
        </w:trPr>
        <w:tc>
          <w:tcPr>
            <w:tcW w:w="3480" w:type="dxa"/>
            <w:vAlign w:val="bottom"/>
          </w:tcPr>
          <w:p>
            <w:pPr>
              <w:ind w:left="200"/>
              <w:spacing w:after="0"/>
              <w:rPr>
                <w:sz w:val="20"/>
                <w:szCs w:val="20"/>
                <w:color w:val="auto"/>
              </w:rPr>
            </w:pPr>
            <w:r>
              <w:rPr>
                <w:rFonts w:ascii="Arial" w:cs="Arial" w:eastAsia="Arial" w:hAnsi="Arial"/>
                <w:sz w:val="18"/>
                <w:szCs w:val="18"/>
                <w:i w:val="1"/>
                <w:iCs w:val="1"/>
                <w:color w:val="auto"/>
              </w:rPr>
              <w:t>Personal Care</w:t>
            </w:r>
          </w:p>
        </w:tc>
        <w:tc>
          <w:tcPr>
            <w:tcW w:w="340" w:type="dxa"/>
            <w:vAlign w:val="bottom"/>
          </w:tcPr>
          <w:p>
            <w:pPr>
              <w:spacing w:after="0"/>
              <w:rPr>
                <w:sz w:val="20"/>
                <w:szCs w:val="20"/>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gridSpan w:val="2"/>
          </w:tcPr>
          <w:p>
            <w:pPr>
              <w:jc w:val="right"/>
              <w:ind w:right="50"/>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130</w:t>
            </w:r>
          </w:p>
        </w:tc>
      </w:tr>
      <w:tr>
        <w:trPr>
          <w:trHeight w:val="249"/>
        </w:trPr>
        <w:tc>
          <w:tcPr>
            <w:tcW w:w="3480" w:type="dxa"/>
            <w:vAlign w:val="bottom"/>
            <w:shd w:val="clear" w:color="auto" w:fill="CFF0FC"/>
          </w:tcPr>
          <w:p>
            <w:pPr>
              <w:ind w:left="200"/>
              <w:spacing w:after="0"/>
              <w:rPr>
                <w:sz w:val="20"/>
                <w:szCs w:val="20"/>
                <w:color w:val="auto"/>
              </w:rPr>
            </w:pPr>
            <w:r>
              <w:rPr>
                <w:rFonts w:ascii="Arial" w:cs="Arial" w:eastAsia="Arial" w:hAnsi="Arial"/>
                <w:sz w:val="18"/>
                <w:szCs w:val="18"/>
                <w:i w:val="1"/>
                <w:iCs w:val="1"/>
                <w:color w:val="auto"/>
              </w:rPr>
              <w:t>Specialty Additives</w:t>
            </w:r>
          </w:p>
        </w:tc>
        <w:tc>
          <w:tcPr>
            <w:tcW w:w="34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56</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79</w:t>
            </w:r>
          </w:p>
        </w:tc>
        <w:tc>
          <w:tcPr>
            <w:tcW w:w="2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141</w:t>
            </w:r>
          </w:p>
        </w:tc>
      </w:tr>
      <w:tr>
        <w:trPr>
          <w:trHeight w:val="237"/>
        </w:trPr>
        <w:tc>
          <w:tcPr>
            <w:tcW w:w="3480" w:type="dxa"/>
            <w:vAlign w:val="bottom"/>
          </w:tcPr>
          <w:p>
            <w:pPr>
              <w:ind w:left="200"/>
              <w:spacing w:after="0"/>
              <w:rPr>
                <w:sz w:val="20"/>
                <w:szCs w:val="20"/>
                <w:color w:val="auto"/>
              </w:rPr>
            </w:pPr>
            <w:r>
              <w:rPr>
                <w:rFonts w:ascii="Arial" w:cs="Arial" w:eastAsia="Arial" w:hAnsi="Arial"/>
                <w:sz w:val="18"/>
                <w:szCs w:val="18"/>
                <w:i w:val="1"/>
                <w:iCs w:val="1"/>
                <w:color w:val="auto"/>
              </w:rPr>
              <w:t>Intermediates</w:t>
            </w:r>
          </w:p>
        </w:tc>
        <w:tc>
          <w:tcPr>
            <w:tcW w:w="340" w:type="dxa"/>
            <w:vAlign w:val="bottom"/>
          </w:tcPr>
          <w:p>
            <w:pPr>
              <w:spacing w:after="0"/>
              <w:rPr>
                <w:sz w:val="20"/>
                <w:szCs w:val="20"/>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gridSpan w:val="2"/>
          </w:tcPr>
          <w:p>
            <w:pPr>
              <w:jc w:val="right"/>
              <w:ind w:right="50"/>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82</w:t>
            </w:r>
          </w:p>
        </w:tc>
      </w:tr>
      <w:tr>
        <w:trPr>
          <w:trHeight w:val="249"/>
        </w:trPr>
        <w:tc>
          <w:tcPr>
            <w:tcW w:w="34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i w:val="1"/>
                <w:iCs w:val="1"/>
                <w:color w:val="auto"/>
              </w:rPr>
              <w:t>Unallocated and other</w:t>
            </w:r>
          </w:p>
        </w:tc>
        <w:tc>
          <w:tcPr>
            <w:tcW w:w="34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(19 )</w:t>
            </w:r>
          </w:p>
        </w:tc>
        <w:tc>
          <w:tcPr>
            <w:tcW w:w="20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auto"/>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(64 )</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(69 )</w:t>
            </w:r>
          </w:p>
        </w:tc>
        <w:tc>
          <w:tcPr>
            <w:tcW w:w="20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(120 )</w:t>
            </w:r>
          </w:p>
        </w:tc>
      </w:tr>
      <w:tr>
        <w:trPr>
          <w:trHeight w:val="230"/>
        </w:trPr>
        <w:tc>
          <w:tcPr>
            <w:tcW w:w="348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124</w:t>
            </w:r>
          </w:p>
        </w:tc>
        <w:tc>
          <w:tcPr>
            <w:tcW w:w="200" w:type="dxa"/>
            <w:vAlign w:val="bottom"/>
          </w:tcPr>
          <w:p>
            <w:pPr>
              <w:spacing w:after="0"/>
              <w:rPr>
                <w:sz w:val="20"/>
                <w:szCs w:val="20"/>
                <w:color w:val="auto"/>
              </w:rPr>
            </w:pPr>
          </w:p>
        </w:tc>
        <w:tc>
          <w:tcPr>
            <w:tcW w:w="36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138</w:t>
            </w:r>
          </w:p>
        </w:tc>
        <w:tc>
          <w:tcPr>
            <w:tcW w:w="2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363</w:t>
            </w:r>
          </w:p>
        </w:tc>
        <w:tc>
          <w:tcPr>
            <w:tcW w:w="200" w:type="dxa"/>
            <w:vAlign w:val="bottom"/>
          </w:tcPr>
          <w:p>
            <w:pPr>
              <w:spacing w:after="0"/>
              <w:rPr>
                <w:sz w:val="20"/>
                <w:szCs w:val="20"/>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394</w:t>
            </w:r>
          </w:p>
        </w:tc>
      </w:tr>
      <w:tr>
        <w:trPr>
          <w:trHeight w:val="20"/>
        </w:trPr>
        <w:tc>
          <w:tcPr>
            <w:tcW w:w="3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r>
      <w:tr>
        <w:trPr>
          <w:trHeight w:val="135"/>
        </w:trPr>
        <w:tc>
          <w:tcPr>
            <w:tcW w:w="3480" w:type="dxa"/>
            <w:vAlign w:val="bottom"/>
            <w:tcBorders>
              <w:bottom w:val="single" w:sz="8" w:color="auto"/>
            </w:tcBorders>
            <w:shd w:val="clear" w:color="auto" w:fill="CFF0FC"/>
          </w:tcPr>
          <w:p>
            <w:pPr>
              <w:spacing w:after="0"/>
              <w:rPr>
                <w:sz w:val="11"/>
                <w:szCs w:val="11"/>
                <w:color w:val="auto"/>
              </w:rPr>
            </w:pPr>
          </w:p>
        </w:tc>
        <w:tc>
          <w:tcPr>
            <w:tcW w:w="340" w:type="dxa"/>
            <w:vAlign w:val="bottom"/>
            <w:tcBorders>
              <w:bottom w:val="single" w:sz="8" w:color="auto"/>
            </w:tcBorders>
            <w:shd w:val="clear" w:color="auto" w:fill="CFF0FC"/>
          </w:tcPr>
          <w:p>
            <w:pPr>
              <w:spacing w:after="0"/>
              <w:rPr>
                <w:sz w:val="11"/>
                <w:szCs w:val="11"/>
                <w:color w:val="auto"/>
              </w:rPr>
            </w:pPr>
          </w:p>
        </w:tc>
        <w:tc>
          <w:tcPr>
            <w:tcW w:w="1260" w:type="dxa"/>
            <w:vAlign w:val="bottom"/>
            <w:tcBorders>
              <w:bottom w:val="single" w:sz="8" w:color="auto"/>
            </w:tcBorders>
            <w:shd w:val="clear" w:color="auto" w:fill="CFF0FC"/>
          </w:tcPr>
          <w:p>
            <w:pPr>
              <w:spacing w:after="0"/>
              <w:rPr>
                <w:sz w:val="11"/>
                <w:szCs w:val="11"/>
                <w:color w:val="auto"/>
              </w:rPr>
            </w:pPr>
          </w:p>
        </w:tc>
        <w:tc>
          <w:tcPr>
            <w:tcW w:w="200" w:type="dxa"/>
            <w:vAlign w:val="bottom"/>
            <w:tcBorders>
              <w:bottom w:val="single" w:sz="8" w:color="auto"/>
            </w:tcBorders>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300" w:type="dxa"/>
            <w:vAlign w:val="bottom"/>
            <w:tcBorders>
              <w:bottom w:val="single" w:sz="8" w:color="auto"/>
            </w:tcBorders>
            <w:shd w:val="clear" w:color="auto" w:fill="CFF0FC"/>
          </w:tcPr>
          <w:p>
            <w:pPr>
              <w:spacing w:after="0"/>
              <w:rPr>
                <w:sz w:val="11"/>
                <w:szCs w:val="11"/>
                <w:color w:val="auto"/>
              </w:rPr>
            </w:pPr>
          </w:p>
        </w:tc>
        <w:tc>
          <w:tcPr>
            <w:tcW w:w="1220" w:type="dxa"/>
            <w:vAlign w:val="bottom"/>
            <w:tcBorders>
              <w:bottom w:val="single" w:sz="8" w:color="auto"/>
            </w:tcBorders>
            <w:shd w:val="clear" w:color="auto" w:fill="CFF0FC"/>
          </w:tcPr>
          <w:p>
            <w:pPr>
              <w:spacing w:after="0"/>
              <w:rPr>
                <w:sz w:val="11"/>
                <w:szCs w:val="11"/>
                <w:color w:val="auto"/>
              </w:rPr>
            </w:pPr>
          </w:p>
        </w:tc>
        <w:tc>
          <w:tcPr>
            <w:tcW w:w="20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580" w:type="dxa"/>
            <w:vAlign w:val="bottom"/>
            <w:tcBorders>
              <w:bottom w:val="single" w:sz="8" w:color="auto"/>
            </w:tcBorders>
            <w:shd w:val="clear" w:color="auto" w:fill="CFF0FC"/>
          </w:tcPr>
          <w:p>
            <w:pPr>
              <w:spacing w:after="0"/>
              <w:rPr>
                <w:sz w:val="11"/>
                <w:szCs w:val="11"/>
                <w:color w:val="auto"/>
              </w:rPr>
            </w:pPr>
          </w:p>
        </w:tc>
        <w:tc>
          <w:tcPr>
            <w:tcW w:w="220" w:type="dxa"/>
            <w:vAlign w:val="bottom"/>
            <w:tcBorders>
              <w:bottom w:val="single" w:sz="8" w:color="auto"/>
            </w:tcBorders>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620" w:type="dxa"/>
            <w:vAlign w:val="bottom"/>
            <w:tcBorders>
              <w:bottom w:val="single" w:sz="8" w:color="auto"/>
            </w:tcBorders>
            <w:shd w:val="clear" w:color="auto" w:fill="CFF0FC"/>
          </w:tcPr>
          <w:p>
            <w:pPr>
              <w:spacing w:after="0"/>
              <w:rPr>
                <w:sz w:val="11"/>
                <w:szCs w:val="11"/>
                <w:color w:val="auto"/>
              </w:rPr>
            </w:pPr>
          </w:p>
        </w:tc>
        <w:tc>
          <w:tcPr>
            <w:tcW w:w="1780" w:type="dxa"/>
            <w:vAlign w:val="bottom"/>
            <w:tcBorders>
              <w:bottom w:val="single" w:sz="8" w:color="auto"/>
            </w:tcBorders>
            <w:gridSpan w:val="3"/>
            <w:shd w:val="clear" w:color="auto" w:fill="CFF0FC"/>
          </w:tcPr>
          <w:p>
            <w:pPr>
              <w:spacing w:after="0"/>
              <w:rPr>
                <w:sz w:val="11"/>
                <w:szCs w:val="11"/>
                <w:color w:val="auto"/>
              </w:rPr>
            </w:pPr>
          </w:p>
        </w:tc>
      </w:tr>
      <w:tr>
        <w:trPr>
          <w:trHeight w:val="480"/>
        </w:trPr>
        <w:tc>
          <w:tcPr>
            <w:tcW w:w="3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June 30</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780" w:type="dxa"/>
            <w:vAlign w:val="bottom"/>
            <w:gridSpan w:val="3"/>
          </w:tcPr>
          <w:p>
            <w:pPr>
              <w:jc w:val="right"/>
              <w:ind w:right="670"/>
              <w:spacing w:after="0"/>
              <w:rPr>
                <w:sz w:val="20"/>
                <w:szCs w:val="20"/>
                <w:color w:val="auto"/>
              </w:rPr>
            </w:pPr>
            <w:r>
              <w:rPr>
                <w:rFonts w:ascii="Arial" w:cs="Arial" w:eastAsia="Arial" w:hAnsi="Arial"/>
                <w:sz w:val="18"/>
                <w:szCs w:val="18"/>
                <w:color w:val="auto"/>
                <w:w w:val="88"/>
              </w:rPr>
              <w:t>September 30</w:t>
            </w:r>
          </w:p>
        </w:tc>
      </w:tr>
      <w:tr>
        <w:trPr>
          <w:trHeight w:val="250"/>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 - unaudited)</w:t>
            </w:r>
          </w:p>
        </w:tc>
        <w:tc>
          <w:tcPr>
            <w:tcW w:w="3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2023</w:t>
            </w:r>
          </w:p>
        </w:tc>
        <w:tc>
          <w:tcPr>
            <w:tcW w:w="2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2022</w:t>
            </w:r>
          </w:p>
        </w:tc>
        <w:tc>
          <w:tcPr>
            <w:tcW w:w="1040" w:type="dxa"/>
            <w:vAlign w:val="bottom"/>
            <w:tcBorders>
              <w:bottom w:val="single" w:sz="8" w:color="auto"/>
            </w:tcBorders>
          </w:tcPr>
          <w:p>
            <w:pPr>
              <w:spacing w:after="0"/>
              <w:rPr>
                <w:sz w:val="21"/>
                <w:szCs w:val="21"/>
                <w:color w:val="auto"/>
              </w:rPr>
            </w:pPr>
          </w:p>
        </w:tc>
      </w:tr>
      <w:tr>
        <w:trPr>
          <w:trHeight w:val="243"/>
        </w:trPr>
        <w:tc>
          <w:tcPr>
            <w:tcW w:w="34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TOTAL ASSETS</w:t>
            </w:r>
          </w:p>
        </w:tc>
        <w:tc>
          <w:tcPr>
            <w:tcW w:w="34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r>
      <w:tr>
        <w:trPr>
          <w:trHeight w:val="237"/>
        </w:trPr>
        <w:tc>
          <w:tcPr>
            <w:tcW w:w="3480" w:type="dxa"/>
            <w:vAlign w:val="bottom"/>
          </w:tcPr>
          <w:p>
            <w:pPr>
              <w:ind w:left="200"/>
              <w:spacing w:after="0"/>
              <w:rPr>
                <w:sz w:val="20"/>
                <w:szCs w:val="20"/>
                <w:color w:val="auto"/>
              </w:rPr>
            </w:pPr>
            <w:r>
              <w:rPr>
                <w:rFonts w:ascii="Arial" w:cs="Arial" w:eastAsia="Arial" w:hAnsi="Arial"/>
                <w:sz w:val="18"/>
                <w:szCs w:val="18"/>
                <w:i w:val="1"/>
                <w:iCs w:val="1"/>
                <w:color w:val="auto"/>
              </w:rPr>
              <w:t>Life Sciences</w:t>
            </w: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6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ind w:right="50"/>
              <w:spacing w:after="0"/>
              <w:rPr>
                <w:sz w:val="20"/>
                <w:szCs w:val="20"/>
                <w:color w:val="auto"/>
              </w:rPr>
            </w:pPr>
            <w:r>
              <w:rPr>
                <w:rFonts w:ascii="Arial" w:cs="Arial" w:eastAsia="Arial" w:hAnsi="Arial"/>
                <w:sz w:val="18"/>
                <w:szCs w:val="18"/>
                <w:color w:val="auto"/>
                <w:w w:val="93"/>
              </w:rPr>
              <w:t>1,938</w:t>
            </w:r>
          </w:p>
        </w:tc>
        <w:tc>
          <w:tcPr>
            <w:tcW w:w="220" w:type="dxa"/>
            <w:vAlign w:val="bottom"/>
          </w:tcPr>
          <w:p>
            <w:pPr>
              <w:spacing w:after="0"/>
              <w:rPr>
                <w:sz w:val="20"/>
                <w:szCs w:val="20"/>
                <w:color w:val="auto"/>
              </w:rPr>
            </w:pPr>
          </w:p>
        </w:tc>
        <w:tc>
          <w:tcPr>
            <w:tcW w:w="680" w:type="dxa"/>
            <w:vAlign w:val="bottom"/>
            <w:gridSpan w:val="2"/>
          </w:tcPr>
          <w:p>
            <w:pPr>
              <w:jc w:val="right"/>
              <w:ind w:right="4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1,905</w:t>
            </w:r>
          </w:p>
        </w:tc>
      </w:tr>
      <w:tr>
        <w:trPr>
          <w:trHeight w:val="249"/>
        </w:trPr>
        <w:tc>
          <w:tcPr>
            <w:tcW w:w="3480" w:type="dxa"/>
            <w:vAlign w:val="bottom"/>
            <w:shd w:val="clear" w:color="auto" w:fill="CFF0FC"/>
          </w:tcPr>
          <w:p>
            <w:pPr>
              <w:ind w:left="200"/>
              <w:spacing w:after="0"/>
              <w:rPr>
                <w:sz w:val="20"/>
                <w:szCs w:val="20"/>
                <w:color w:val="auto"/>
              </w:rPr>
            </w:pPr>
            <w:r>
              <w:rPr>
                <w:rFonts w:ascii="Arial" w:cs="Arial" w:eastAsia="Arial" w:hAnsi="Arial"/>
                <w:sz w:val="18"/>
                <w:szCs w:val="18"/>
                <w:i w:val="1"/>
                <w:iCs w:val="1"/>
                <w:color w:val="auto"/>
              </w:rPr>
              <w:t>Personal Care</w:t>
            </w:r>
          </w:p>
        </w:tc>
        <w:tc>
          <w:tcPr>
            <w:tcW w:w="34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3"/>
              </w:rPr>
              <w:t>1,044</w:t>
            </w:r>
          </w:p>
        </w:tc>
        <w:tc>
          <w:tcPr>
            <w:tcW w:w="2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1,073</w:t>
            </w:r>
          </w:p>
        </w:tc>
      </w:tr>
      <w:tr>
        <w:trPr>
          <w:trHeight w:val="237"/>
        </w:trPr>
        <w:tc>
          <w:tcPr>
            <w:tcW w:w="3480" w:type="dxa"/>
            <w:vAlign w:val="bottom"/>
          </w:tcPr>
          <w:p>
            <w:pPr>
              <w:ind w:left="200"/>
              <w:spacing w:after="0"/>
              <w:rPr>
                <w:sz w:val="20"/>
                <w:szCs w:val="20"/>
                <w:color w:val="auto"/>
              </w:rPr>
            </w:pPr>
            <w:r>
              <w:rPr>
                <w:rFonts w:ascii="Arial" w:cs="Arial" w:eastAsia="Arial" w:hAnsi="Arial"/>
                <w:sz w:val="18"/>
                <w:szCs w:val="18"/>
                <w:i w:val="1"/>
                <w:iCs w:val="1"/>
                <w:color w:val="auto"/>
              </w:rPr>
              <w:t>Specialty Additives</w:t>
            </w: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ind w:right="50"/>
              <w:spacing w:after="0"/>
              <w:rPr>
                <w:sz w:val="20"/>
                <w:szCs w:val="20"/>
                <w:color w:val="auto"/>
              </w:rPr>
            </w:pPr>
            <w:r>
              <w:rPr>
                <w:rFonts w:ascii="Arial" w:cs="Arial" w:eastAsia="Arial" w:hAnsi="Arial"/>
                <w:sz w:val="18"/>
                <w:szCs w:val="18"/>
                <w:color w:val="auto"/>
                <w:w w:val="93"/>
              </w:rPr>
              <w:t>1,642</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1,567</w:t>
            </w:r>
          </w:p>
        </w:tc>
      </w:tr>
      <w:tr>
        <w:trPr>
          <w:trHeight w:val="249"/>
        </w:trPr>
        <w:tc>
          <w:tcPr>
            <w:tcW w:w="3480" w:type="dxa"/>
            <w:vAlign w:val="bottom"/>
            <w:shd w:val="clear" w:color="auto" w:fill="CFF0FC"/>
          </w:tcPr>
          <w:p>
            <w:pPr>
              <w:ind w:left="200"/>
              <w:spacing w:after="0"/>
              <w:rPr>
                <w:sz w:val="20"/>
                <w:szCs w:val="20"/>
                <w:color w:val="auto"/>
              </w:rPr>
            </w:pPr>
            <w:r>
              <w:rPr>
                <w:rFonts w:ascii="Arial" w:cs="Arial" w:eastAsia="Arial" w:hAnsi="Arial"/>
                <w:sz w:val="18"/>
                <w:szCs w:val="18"/>
                <w:i w:val="1"/>
                <w:iCs w:val="1"/>
                <w:color w:val="auto"/>
              </w:rPr>
              <w:t>Intermediates</w:t>
            </w:r>
          </w:p>
        </w:tc>
        <w:tc>
          <w:tcPr>
            <w:tcW w:w="34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160</w:t>
            </w:r>
          </w:p>
        </w:tc>
        <w:tc>
          <w:tcPr>
            <w:tcW w:w="2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170</w:t>
            </w:r>
          </w:p>
        </w:tc>
      </w:tr>
      <w:tr>
        <w:trPr>
          <w:trHeight w:val="243"/>
        </w:trPr>
        <w:tc>
          <w:tcPr>
            <w:tcW w:w="3480" w:type="dxa"/>
            <w:vAlign w:val="bottom"/>
          </w:tcPr>
          <w:p>
            <w:pPr>
              <w:ind w:left="200"/>
              <w:spacing w:after="0"/>
              <w:rPr>
                <w:sz w:val="20"/>
                <w:szCs w:val="20"/>
                <w:color w:val="auto"/>
              </w:rPr>
            </w:pPr>
            <w:r>
              <w:rPr>
                <w:rFonts w:ascii="Arial" w:cs="Arial" w:eastAsia="Arial" w:hAnsi="Arial"/>
                <w:sz w:val="18"/>
                <w:szCs w:val="18"/>
                <w:i w:val="1"/>
                <w:iCs w:val="1"/>
                <w:color w:val="auto"/>
              </w:rPr>
              <w:t>Unallocated and other</w:t>
            </w: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3"/>
              </w:rPr>
              <w:t>1,245</w:t>
            </w: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1,498</w:t>
            </w:r>
          </w:p>
        </w:tc>
      </w:tr>
      <w:tr>
        <w:trPr>
          <w:trHeight w:val="230"/>
        </w:trPr>
        <w:tc>
          <w:tcPr>
            <w:tcW w:w="3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gridSpan w:val="2"/>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3"/>
              </w:rPr>
              <w:t>6,029</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6,213</w:t>
            </w:r>
          </w:p>
        </w:tc>
      </w:tr>
      <w:tr>
        <w:trPr>
          <w:trHeight w:val="20"/>
        </w:trPr>
        <w:tc>
          <w:tcPr>
            <w:tcW w:w="3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35"/>
        </w:trPr>
        <w:tc>
          <w:tcPr>
            <w:tcW w:w="34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3235325</wp:posOffset>
            </wp:positionH>
            <wp:positionV relativeFrom="paragraph">
              <wp:posOffset>-6128385</wp:posOffset>
            </wp:positionV>
            <wp:extent cx="2400300" cy="1797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400300" cy="179705"/>
                    </a:xfrm>
                    <a:prstGeom prst="rect">
                      <a:avLst/>
                    </a:prstGeom>
                    <a:noFill/>
                  </pic:spPr>
                </pic:pic>
              </a:graphicData>
            </a:graphic>
          </wp:anchor>
        </w:drawing>
        <w:drawing>
          <wp:anchor simplePos="0" relativeHeight="251657728" behindDoc="1" locked="0" layoutInCell="0" allowOverlap="1">
            <wp:simplePos x="0" y="0"/>
            <wp:positionH relativeFrom="column">
              <wp:posOffset>3235325</wp:posOffset>
            </wp:positionH>
            <wp:positionV relativeFrom="paragraph">
              <wp:posOffset>-5177155</wp:posOffset>
            </wp:positionV>
            <wp:extent cx="128905" cy="18859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8905" cy="188595"/>
                    </a:xfrm>
                    <a:prstGeom prst="rect">
                      <a:avLst/>
                    </a:prstGeom>
                    <a:noFill/>
                  </pic:spPr>
                </pic:pic>
              </a:graphicData>
            </a:graphic>
          </wp:anchor>
        </w:drawing>
        <w:drawing>
          <wp:anchor simplePos="0" relativeHeight="251657728" behindDoc="1" locked="0" layoutInCell="0" allowOverlap="1">
            <wp:simplePos x="0" y="0"/>
            <wp:positionH relativeFrom="column">
              <wp:posOffset>4366895</wp:posOffset>
            </wp:positionH>
            <wp:positionV relativeFrom="paragraph">
              <wp:posOffset>-5177155</wp:posOffset>
            </wp:positionV>
            <wp:extent cx="128905" cy="18859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8905" cy="188595"/>
                    </a:xfrm>
                    <a:prstGeom prst="rect">
                      <a:avLst/>
                    </a:prstGeom>
                    <a:noFill/>
                  </pic:spPr>
                </pic:pic>
              </a:graphicData>
            </a:graphic>
          </wp:anchor>
        </w:drawing>
        <w:drawing>
          <wp:anchor simplePos="0" relativeHeight="251657728" behindDoc="1" locked="0" layoutInCell="0" allowOverlap="1">
            <wp:simplePos x="0" y="0"/>
            <wp:positionH relativeFrom="column">
              <wp:posOffset>5507355</wp:posOffset>
            </wp:positionH>
            <wp:positionV relativeFrom="paragraph">
              <wp:posOffset>-5177155</wp:posOffset>
            </wp:positionV>
            <wp:extent cx="128905" cy="18859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8905" cy="188595"/>
                    </a:xfrm>
                    <a:prstGeom prst="rect">
                      <a:avLst/>
                    </a:prstGeom>
                    <a:noFill/>
                  </pic:spPr>
                </pic:pic>
              </a:graphicData>
            </a:graphic>
          </wp:anchor>
        </w:drawing>
        <w:drawing>
          <wp:anchor simplePos="0" relativeHeight="251657728" behindDoc="1" locked="0" layoutInCell="0" allowOverlap="1">
            <wp:simplePos x="0" y="0"/>
            <wp:positionH relativeFrom="column">
              <wp:posOffset>3235325</wp:posOffset>
            </wp:positionH>
            <wp:positionV relativeFrom="paragraph">
              <wp:posOffset>-3900170</wp:posOffset>
            </wp:positionV>
            <wp:extent cx="2400300" cy="1803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400300" cy="180340"/>
                    </a:xfrm>
                    <a:prstGeom prst="rect">
                      <a:avLst/>
                    </a:prstGeom>
                    <a:noFill/>
                  </pic:spPr>
                </pic:pic>
              </a:graphicData>
            </a:graphic>
          </wp:anchor>
        </w:drawing>
        <w:drawing>
          <wp:anchor simplePos="0" relativeHeight="251657728" behindDoc="1" locked="0" layoutInCell="0" allowOverlap="1">
            <wp:simplePos x="0" y="0"/>
            <wp:positionH relativeFrom="column">
              <wp:posOffset>3235325</wp:posOffset>
            </wp:positionH>
            <wp:positionV relativeFrom="paragraph">
              <wp:posOffset>-2939415</wp:posOffset>
            </wp:positionV>
            <wp:extent cx="2400300" cy="1803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400300" cy="180340"/>
                    </a:xfrm>
                    <a:prstGeom prst="rect">
                      <a:avLst/>
                    </a:prstGeom>
                    <a:noFill/>
                  </pic:spPr>
                </pic:pic>
              </a:graphicData>
            </a:graphic>
          </wp:anchor>
        </w:drawing>
        <w:drawing>
          <wp:anchor simplePos="0" relativeHeight="251657728" behindDoc="1" locked="0" layoutInCell="0" allowOverlap="1">
            <wp:simplePos x="0" y="0"/>
            <wp:positionH relativeFrom="column">
              <wp:posOffset>3235325</wp:posOffset>
            </wp:positionH>
            <wp:positionV relativeFrom="paragraph">
              <wp:posOffset>-1988185</wp:posOffset>
            </wp:positionV>
            <wp:extent cx="128905" cy="18859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8905" cy="188595"/>
                    </a:xfrm>
                    <a:prstGeom prst="rect">
                      <a:avLst/>
                    </a:prstGeom>
                    <a:noFill/>
                  </pic:spPr>
                </pic:pic>
              </a:graphicData>
            </a:graphic>
          </wp:anchor>
        </w:drawing>
        <w:drawing>
          <wp:anchor simplePos="0" relativeHeight="251657728" behindDoc="1" locked="0" layoutInCell="0" allowOverlap="1">
            <wp:simplePos x="0" y="0"/>
            <wp:positionH relativeFrom="column">
              <wp:posOffset>4366895</wp:posOffset>
            </wp:positionH>
            <wp:positionV relativeFrom="paragraph">
              <wp:posOffset>-1988185</wp:posOffset>
            </wp:positionV>
            <wp:extent cx="128905" cy="18859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8905" cy="188595"/>
                    </a:xfrm>
                    <a:prstGeom prst="rect">
                      <a:avLst/>
                    </a:prstGeom>
                    <a:noFill/>
                  </pic:spPr>
                </pic:pic>
              </a:graphicData>
            </a:graphic>
          </wp:anchor>
        </w:drawing>
        <w:drawing>
          <wp:anchor simplePos="0" relativeHeight="251657728" behindDoc="1" locked="0" layoutInCell="0" allowOverlap="1">
            <wp:simplePos x="0" y="0"/>
            <wp:positionH relativeFrom="column">
              <wp:posOffset>5507355</wp:posOffset>
            </wp:positionH>
            <wp:positionV relativeFrom="paragraph">
              <wp:posOffset>-1988185</wp:posOffset>
            </wp:positionV>
            <wp:extent cx="128905" cy="18859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8905" cy="188595"/>
                    </a:xfrm>
                    <a:prstGeom prst="rect">
                      <a:avLst/>
                    </a:prstGeom>
                    <a:noFill/>
                  </pic:spPr>
                </pic:pic>
              </a:graphicData>
            </a:graphic>
          </wp:anchor>
        </w:drawing>
      </w:r>
    </w:p>
    <w:p>
      <w:pPr>
        <w:spacing w:after="0" w:line="69" w:lineRule="exact"/>
        <w:rPr>
          <w:sz w:val="20"/>
          <w:szCs w:val="20"/>
          <w:color w:val="auto"/>
        </w:rPr>
      </w:pPr>
    </w:p>
    <w:p>
      <w:pPr>
        <w:ind w:left="360" w:hanging="358"/>
        <w:spacing w:after="0"/>
        <w:tabs>
          <w:tab w:leader="none" w:pos="3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Intersegment sales from Intermediates are accounted for at prices that approximate fair value. All other intersegment sales are accounted for at cost.</w:t>
      </w:r>
    </w:p>
    <w:p>
      <w:pPr>
        <w:spacing w:after="0" w:line="28" w:lineRule="exact"/>
        <w:rPr>
          <w:rFonts w:ascii="Arial" w:cs="Arial" w:eastAsia="Arial" w:hAnsi="Arial"/>
          <w:sz w:val="14"/>
          <w:szCs w:val="14"/>
          <w:color w:val="auto"/>
        </w:rPr>
      </w:pPr>
    </w:p>
    <w:p>
      <w:pPr>
        <w:ind w:left="360" w:hanging="358"/>
        <w:spacing w:after="0" w:line="253" w:lineRule="auto"/>
        <w:tabs>
          <w:tab w:leader="none" w:pos="3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Excludes income (loss) from discontinued operations and other net periodic benefit loss. See the Statement of Consolidated Comprehensive Income (Loss) for applicable amounts excluded.</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447" w:right="719" w:bottom="1440" w:gutter="0" w:footer="0" w:header="0"/>
        </w:sectPr>
      </w:pPr>
    </w:p>
    <w:bookmarkStart w:id="27" w:name="page28"/>
    <w:bookmarkEnd w:id="27"/>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255"/>
                    </a:xfrm>
                    <a:prstGeom prst="rect">
                      <a:avLst/>
                    </a:prstGeom>
                    <a:noFill/>
                  </pic:spPr>
                </pic:pic>
              </a:graphicData>
            </a:graphic>
          </wp:anchor>
        </w:drawing>
        <w:t>ASHLAND INC. AND CONSOLIDATED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14" w:lineRule="exact"/>
        <w:rPr>
          <w:sz w:val="20"/>
          <w:szCs w:val="20"/>
          <w:color w:val="auto"/>
        </w:rPr>
      </w:pPr>
    </w:p>
    <w:p>
      <w:pPr>
        <w:jc w:val="both"/>
        <w:ind w:left="380"/>
        <w:spacing w:after="0" w:line="268" w:lineRule="auto"/>
        <w:rPr>
          <w:sz w:val="20"/>
          <w:szCs w:val="20"/>
          <w:color w:val="auto"/>
        </w:rPr>
      </w:pPr>
      <w:r>
        <w:rPr>
          <w:rFonts w:ascii="Arial" w:cs="Arial" w:eastAsia="Arial" w:hAnsi="Arial"/>
          <w:sz w:val="18"/>
          <w:szCs w:val="18"/>
          <w:color w:val="auto"/>
        </w:rPr>
        <w:t>This Quarterly Report on Form 10-Q contains forward-looking statements including, without limitation, statements made under the caption “Management’s Discussion and Analysis of Financial Condition and Results of Operation” (MD&amp;A), within the meaning of Section 27A of the Securities Act of 1933, as amended and Section 21E of the Securities Exchange Act of 1934, as amended. Ashland has identified some of these forward-looking statements with words such as “anticipates,” “believes,” “expects,” “estimates,” “is likely,” “predicts,” “projects,” “forecasts,” “objectives,” “may,” “will,” “should,” “plans” and “intends” and the negative of these words or other comparable terminology. Ashland may from time to time make forward-looking statements in its Annual Report to Stockholders, quarterly reports and other filings with the Securities and Exchange Commission (SEC), news releases and other written and oral communications. These forward-looking statements are based on Ashland’s expectations and assumptions, as of the date such statements are made, regarding Ashland’s future operating performance and financial condition, as well as the economy and other future events or circumstances. Ashland’s expectations and assumptions include, without limitation, those mentioned within the MD&amp;A, internal forecasts and analyses of current and future market conditions and trends, management plans and strategies, operating efficiencies, cost savings and economic conditions (such as prices, supply and demand, cost of raw materials, and the ability to recover raw-material cost increases through price increases), and risks and uncertainties associated with the following: the impact of acquisitions and/or divestitures Ashland has made or may make (including the possibility that Ashland may not realize the anticipated benefits from such transactions); Ashland’s substantial indebtedness (including the possibility that such indebtedness and related restrictive covenants may adversely affect Ashland’s future cash flows, results of operations, financial condition and its ability to repay debt); execution risks associated with our growth strategies; the competitive nature of our business; severe weather, natural disasters, public health crises (including the COVID-19 pandemic), cyber events and legal proceedings and claims (including product recalls, environmental and asbestos matters); the effects of the ongoing Ukraine and Russia conflict on the geographies in which Ashland operates, the end markets Ashland serves and on Ashland’s supply chain and customers; and without limitation, risks and uncertainties affecting Ashland that are contained in “Use of estimates, risks and uncertainties” in Note A of Notes to Consolidated Financial Statements and in Item 1A of its most recent Form 10-K filed with SEC. Various risks and uncertainties may cause actual results to differ materially from those stated, projected or implied by any forward-looking statements. Ashland believes its expectations and assumptions are reasonable, but there can be no assurance that the expectations reflected herein will be achieved. Unless legally required, Ashland undertakes no obligation to update any forward-looking statements made in this Form 10-Q whether as a result of new information, future events or otherwise. Information on Ashland’s website is not incorporated into or a part of this Form 10-Q.</w:t>
      </w:r>
    </w:p>
    <w:p>
      <w:pPr>
        <w:spacing w:after="0" w:line="6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562" w:right="719" w:bottom="1440" w:gutter="0" w:footer="0" w:header="0"/>
        </w:sectPr>
      </w:pPr>
    </w:p>
    <w:bookmarkStart w:id="28" w:name="page29"/>
    <w:bookmarkEnd w:id="28"/>
    <w:p>
      <w:pPr>
        <w:spacing w:after="0"/>
        <w:rPr>
          <w:sz w:val="20"/>
          <w:szCs w:val="20"/>
          <w:color w:val="auto"/>
        </w:rPr>
      </w:pPr>
      <w:r>
        <w:rPr>
          <w:rFonts w:ascii="Arial" w:cs="Arial" w:eastAsia="Arial" w:hAnsi="Arial"/>
          <w:sz w:val="20"/>
          <w:szCs w:val="20"/>
          <w:b w:val="1"/>
          <w:bCs w:val="1"/>
          <w:color w:val="auto"/>
        </w:rPr>
        <w:t>ITEM 2.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ASHLAND INC. AND CONSOLIDATED SUBSIDIARIES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both"/>
        <w:ind w:left="380" w:right="380"/>
        <w:spacing w:after="0" w:line="260" w:lineRule="auto"/>
        <w:rPr>
          <w:sz w:val="20"/>
          <w:szCs w:val="20"/>
          <w:color w:val="auto"/>
        </w:rPr>
      </w:pPr>
      <w:r>
        <w:rPr>
          <w:rFonts w:ascii="Arial" w:cs="Arial" w:eastAsia="Arial" w:hAnsi="Arial"/>
          <w:sz w:val="20"/>
          <w:szCs w:val="20"/>
          <w:color w:val="auto"/>
        </w:rPr>
        <w:t>The following discussion should be read in conjunction with the Condensed Consolidated Financial Statements and the accompanying Notes to Condensed Consolidated Financial Statements herein.</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OVERVIEW</w:t>
      </w:r>
    </w:p>
    <w:p>
      <w:pPr>
        <w:spacing w:after="0" w:line="108"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Ashland profile</w:t>
      </w:r>
    </w:p>
    <w:p>
      <w:pPr>
        <w:spacing w:after="0" w:line="114" w:lineRule="exact"/>
        <w:rPr>
          <w:sz w:val="20"/>
          <w:szCs w:val="20"/>
          <w:color w:val="auto"/>
        </w:rPr>
      </w:pPr>
    </w:p>
    <w:p>
      <w:pPr>
        <w:jc w:val="both"/>
        <w:ind w:left="380" w:right="380"/>
        <w:spacing w:after="0" w:line="263" w:lineRule="auto"/>
        <w:rPr>
          <w:sz w:val="20"/>
          <w:szCs w:val="20"/>
          <w:color w:val="auto"/>
        </w:rPr>
      </w:pPr>
      <w:r>
        <w:rPr>
          <w:rFonts w:ascii="Arial" w:cs="Arial" w:eastAsia="Arial" w:hAnsi="Arial"/>
          <w:sz w:val="19"/>
          <w:szCs w:val="19"/>
          <w:color w:val="auto"/>
        </w:rPr>
        <w:t>Ashland is a global additives and specialty ingredients company with a conscious and proactive mindset for environment, social and governance (ESG). The Company serves customers in a wide range of consumer and industrial markets, including architectural coatings, construction, energy, food and beverage, nutraceuticals, personal care and pharmaceutical. With approximately 3,900 employees worldwide, Ashland serves customers in more than 100 countries.</w:t>
      </w:r>
    </w:p>
    <w:p>
      <w:pPr>
        <w:spacing w:after="0" w:line="68" w:lineRule="exact"/>
        <w:rPr>
          <w:sz w:val="20"/>
          <w:szCs w:val="20"/>
          <w:color w:val="auto"/>
        </w:rPr>
      </w:pPr>
    </w:p>
    <w:p>
      <w:pPr>
        <w:jc w:val="both"/>
        <w:ind w:left="380" w:right="380"/>
        <w:spacing w:after="0" w:line="250" w:lineRule="auto"/>
        <w:rPr>
          <w:sz w:val="20"/>
          <w:szCs w:val="20"/>
          <w:color w:val="auto"/>
        </w:rPr>
      </w:pPr>
      <w:r>
        <w:rPr>
          <w:rFonts w:ascii="Arial" w:cs="Arial" w:eastAsia="Arial" w:hAnsi="Arial"/>
          <w:sz w:val="20"/>
          <w:szCs w:val="20"/>
          <w:color w:val="auto"/>
        </w:rPr>
        <w:t>Ashland’s sales generated outside of North America were 69% and 70% for the three and nine months ended June 30, 2023, respectively, and 67% for the three and nine months ended June 30, 2022. Sales by region expressed as a percentage of total consolidated sales for the three and nine months ended June 30 were as follows:</w:t>
      </w:r>
    </w:p>
    <w:p>
      <w:pPr>
        <w:spacing w:after="0" w:line="115" w:lineRule="exact"/>
        <w:rPr>
          <w:sz w:val="20"/>
          <w:szCs w:val="20"/>
          <w:color w:val="auto"/>
        </w:rPr>
      </w:pPr>
    </w:p>
    <w:tbl>
      <w:tblPr>
        <w:tblLayout w:type="fixed"/>
        <w:tblInd w:w="400" w:type="dxa"/>
        <w:tblCellMar>
          <w:top w:w="0" w:type="dxa"/>
          <w:left w:w="0" w:type="dxa"/>
          <w:bottom w:w="0" w:type="dxa"/>
          <w:right w:w="0" w:type="dxa"/>
        </w:tblCellMar>
      </w:tblPr>
      <w:tr>
        <w:trPr>
          <w:trHeight w:val="244"/>
        </w:trPr>
        <w:tc>
          <w:tcPr>
            <w:tcW w:w="4720" w:type="dxa"/>
            <w:vAlign w:val="bottom"/>
            <w:tcBorders>
              <w:top w:val="single" w:sz="8" w:color="auto"/>
            </w:tcBorders>
          </w:tcPr>
          <w:p>
            <w:pPr>
              <w:spacing w:after="0"/>
              <w:rPr>
                <w:sz w:val="21"/>
                <w:szCs w:val="21"/>
                <w:color w:val="auto"/>
              </w:rPr>
            </w:pPr>
          </w:p>
        </w:tc>
        <w:tc>
          <w:tcPr>
            <w:tcW w:w="2180" w:type="dxa"/>
            <w:vAlign w:val="bottom"/>
            <w:tcBorders>
              <w:top w:val="single" w:sz="8" w:color="auto"/>
            </w:tcBorders>
            <w:gridSpan w:val="3"/>
          </w:tcPr>
          <w:p>
            <w:pPr>
              <w:jc w:val="center"/>
              <w:ind w:left="410"/>
              <w:spacing w:after="0"/>
              <w:rPr>
                <w:sz w:val="20"/>
                <w:szCs w:val="20"/>
                <w:color w:val="auto"/>
              </w:rPr>
            </w:pPr>
            <w:r>
              <w:rPr>
                <w:rFonts w:ascii="Arial" w:cs="Arial" w:eastAsia="Arial" w:hAnsi="Arial"/>
                <w:sz w:val="18"/>
                <w:szCs w:val="18"/>
                <w:color w:val="auto"/>
                <w:w w:val="89"/>
              </w:rPr>
              <w:t>Three months ended</w:t>
            </w:r>
          </w:p>
        </w:tc>
        <w:tc>
          <w:tcPr>
            <w:tcW w:w="6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160" w:type="dxa"/>
            <w:vAlign w:val="bottom"/>
            <w:tcBorders>
              <w:top w:val="single" w:sz="8" w:color="auto"/>
            </w:tcBorders>
            <w:gridSpan w:val="3"/>
          </w:tcPr>
          <w:p>
            <w:pPr>
              <w:jc w:val="center"/>
              <w:ind w:left="390"/>
              <w:spacing w:after="0"/>
              <w:rPr>
                <w:sz w:val="20"/>
                <w:szCs w:val="20"/>
                <w:color w:val="auto"/>
              </w:rPr>
            </w:pPr>
            <w:r>
              <w:rPr>
                <w:rFonts w:ascii="Arial" w:cs="Arial" w:eastAsia="Arial" w:hAnsi="Arial"/>
                <w:sz w:val="18"/>
                <w:szCs w:val="18"/>
                <w:color w:val="auto"/>
                <w:w w:val="89"/>
              </w:rPr>
              <w:t>Nine months ended</w:t>
            </w:r>
          </w:p>
        </w:tc>
        <w:tc>
          <w:tcPr>
            <w:tcW w:w="62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4720" w:type="dxa"/>
            <w:vAlign w:val="bottom"/>
          </w:tcPr>
          <w:p>
            <w:pPr>
              <w:spacing w:after="0"/>
              <w:rPr>
                <w:sz w:val="21"/>
                <w:szCs w:val="21"/>
                <w:color w:val="auto"/>
              </w:rPr>
            </w:pPr>
          </w:p>
        </w:tc>
        <w:tc>
          <w:tcPr>
            <w:tcW w:w="2180" w:type="dxa"/>
            <w:vAlign w:val="bottom"/>
            <w:tcBorders>
              <w:bottom w:val="single" w:sz="8" w:color="auto"/>
            </w:tcBorders>
            <w:gridSpan w:val="3"/>
          </w:tcPr>
          <w:p>
            <w:pPr>
              <w:jc w:val="center"/>
              <w:ind w:left="410"/>
              <w:spacing w:after="0"/>
              <w:rPr>
                <w:sz w:val="20"/>
                <w:szCs w:val="20"/>
                <w:color w:val="auto"/>
              </w:rPr>
            </w:pPr>
            <w:r>
              <w:rPr>
                <w:rFonts w:ascii="Arial" w:cs="Arial" w:eastAsia="Arial" w:hAnsi="Arial"/>
                <w:sz w:val="18"/>
                <w:szCs w:val="18"/>
                <w:color w:val="auto"/>
                <w:w w:val="87"/>
              </w:rPr>
              <w:t>June 30</w:t>
            </w:r>
          </w:p>
        </w:tc>
        <w:tc>
          <w:tcPr>
            <w:tcW w:w="6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160" w:type="dxa"/>
            <w:vAlign w:val="bottom"/>
            <w:tcBorders>
              <w:bottom w:val="single" w:sz="8" w:color="auto"/>
            </w:tcBorders>
            <w:gridSpan w:val="3"/>
          </w:tcPr>
          <w:p>
            <w:pPr>
              <w:jc w:val="center"/>
              <w:ind w:left="390"/>
              <w:spacing w:after="0"/>
              <w:rPr>
                <w:sz w:val="20"/>
                <w:szCs w:val="20"/>
                <w:color w:val="auto"/>
              </w:rPr>
            </w:pPr>
            <w:r>
              <w:rPr>
                <w:rFonts w:ascii="Arial" w:cs="Arial" w:eastAsia="Arial" w:hAnsi="Arial"/>
                <w:sz w:val="18"/>
                <w:szCs w:val="18"/>
                <w:color w:val="auto"/>
                <w:w w:val="87"/>
              </w:rPr>
              <w:t>June 30</w:t>
            </w:r>
          </w:p>
        </w:tc>
        <w:tc>
          <w:tcPr>
            <w:tcW w:w="62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Sales by Geography</w:t>
            </w: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2022</w:t>
            </w: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2023</w:t>
            </w: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 xml:space="preserve">North America </w:t>
            </w:r>
            <w:r>
              <w:rPr>
                <w:rFonts w:ascii="Arial" w:cs="Arial" w:eastAsia="Arial" w:hAnsi="Arial"/>
                <w:sz w:val="14"/>
                <w:szCs w:val="14"/>
                <w:color w:val="auto"/>
              </w:rPr>
              <w:t>(a)</w:t>
            </w:r>
          </w:p>
        </w:tc>
        <w:tc>
          <w:tcPr>
            <w:tcW w:w="1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31 %</w:t>
            </w:r>
          </w:p>
        </w:tc>
        <w:tc>
          <w:tcPr>
            <w:tcW w:w="78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33 %</w:t>
            </w:r>
          </w:p>
        </w:tc>
        <w:tc>
          <w:tcPr>
            <w:tcW w:w="14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30 %</w:t>
            </w:r>
          </w:p>
        </w:tc>
        <w:tc>
          <w:tcPr>
            <w:tcW w:w="7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rPr>
                <w:sz w:val="20"/>
                <w:szCs w:val="20"/>
                <w:color w:val="auto"/>
              </w:rPr>
            </w:pPr>
            <w:r>
              <w:rPr>
                <w:rFonts w:ascii="Arial" w:cs="Arial" w:eastAsia="Arial" w:hAnsi="Arial"/>
                <w:sz w:val="18"/>
                <w:szCs w:val="18"/>
                <w:color w:val="auto"/>
              </w:rPr>
              <w:t xml:space="preserve">Europe </w:t>
            </w:r>
            <w:r>
              <w:rPr>
                <w:rFonts w:ascii="Arial" w:cs="Arial" w:eastAsia="Arial" w:hAnsi="Arial"/>
                <w:sz w:val="14"/>
                <w:szCs w:val="14"/>
                <w:color w:val="auto"/>
              </w:rPr>
              <w:t>(a)</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35 %</w:t>
            </w:r>
          </w:p>
        </w:tc>
        <w:tc>
          <w:tcPr>
            <w:tcW w:w="78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35 %</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36 %</w:t>
            </w:r>
          </w:p>
        </w:tc>
        <w:tc>
          <w:tcPr>
            <w:tcW w:w="7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Asia Pacific</w:t>
            </w:r>
          </w:p>
        </w:tc>
        <w:tc>
          <w:tcPr>
            <w:tcW w:w="1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24 %</w:t>
            </w:r>
          </w:p>
        </w:tc>
        <w:tc>
          <w:tcPr>
            <w:tcW w:w="780" w:type="dxa"/>
            <w:vAlign w:val="bottom"/>
            <w:shd w:val="clear" w:color="auto" w:fill="CFF0FC"/>
          </w:tcPr>
          <w:p>
            <w:pPr>
              <w:spacing w:after="0"/>
              <w:rPr>
                <w:sz w:val="22"/>
                <w:szCs w:val="22"/>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23 %</w:t>
            </w:r>
          </w:p>
        </w:tc>
        <w:tc>
          <w:tcPr>
            <w:tcW w:w="14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24 %</w:t>
            </w:r>
          </w:p>
        </w:tc>
        <w:tc>
          <w:tcPr>
            <w:tcW w:w="76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Latin America &amp; other</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10 %</w:t>
            </w:r>
          </w:p>
        </w:tc>
        <w:tc>
          <w:tcPr>
            <w:tcW w:w="780" w:type="dxa"/>
            <w:vAlign w:val="bottom"/>
          </w:tcPr>
          <w:p>
            <w:pPr>
              <w:spacing w:after="0"/>
              <w:rPr>
                <w:sz w:val="21"/>
                <w:szCs w:val="21"/>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9 %</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10 %</w:t>
            </w:r>
          </w:p>
        </w:tc>
        <w:tc>
          <w:tcPr>
            <w:tcW w:w="7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720" w:type="dxa"/>
            <w:vAlign w:val="bottom"/>
            <w:shd w:val="clear" w:color="auto" w:fill="CFF0FC"/>
          </w:tcPr>
          <w:p>
            <w:pPr>
              <w:spacing w:after="0"/>
              <w:rPr>
                <w:sz w:val="23"/>
                <w:szCs w:val="23"/>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100 %</w:t>
            </w:r>
          </w:p>
        </w:tc>
        <w:tc>
          <w:tcPr>
            <w:tcW w:w="120" w:type="dxa"/>
            <w:vAlign w:val="bottom"/>
            <w:shd w:val="clear" w:color="auto" w:fill="CFF0FC"/>
          </w:tcPr>
          <w:p>
            <w:pPr>
              <w:spacing w:after="0"/>
              <w:rPr>
                <w:sz w:val="23"/>
                <w:szCs w:val="23"/>
                <w:color w:val="auto"/>
              </w:rPr>
            </w:pPr>
          </w:p>
        </w:tc>
        <w:tc>
          <w:tcPr>
            <w:tcW w:w="780" w:type="dxa"/>
            <w:vAlign w:val="bottom"/>
            <w:shd w:val="clear" w:color="auto" w:fill="CFF0FC"/>
          </w:tcPr>
          <w:p>
            <w:pPr>
              <w:spacing w:after="0"/>
              <w:rPr>
                <w:sz w:val="23"/>
                <w:szCs w:val="23"/>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100 %</w:t>
            </w:r>
          </w:p>
        </w:tc>
        <w:tc>
          <w:tcPr>
            <w:tcW w:w="14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100 %</w:t>
            </w:r>
          </w:p>
        </w:tc>
        <w:tc>
          <w:tcPr>
            <w:tcW w:w="760" w:type="dxa"/>
            <w:vAlign w:val="bottom"/>
            <w:shd w:val="clear" w:color="auto" w:fill="CFF0FC"/>
          </w:tcPr>
          <w:p>
            <w:pPr>
              <w:spacing w:after="0"/>
              <w:rPr>
                <w:sz w:val="23"/>
                <w:szCs w:val="2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100 %</w:t>
            </w:r>
          </w:p>
        </w:tc>
        <w:tc>
          <w:tcPr>
            <w:tcW w:w="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4720" w:type="dxa"/>
            <w:vAlign w:val="bottom"/>
            <w:tcBorders>
              <w:top w:val="single" w:sz="8" w:color="CFF0FC"/>
              <w:bottom w:val="single" w:sz="8" w:color="auto"/>
            </w:tcBorders>
          </w:tcPr>
          <w:p>
            <w:pPr>
              <w:spacing w:after="0"/>
              <w:rPr>
                <w:sz w:val="11"/>
                <w:szCs w:val="11"/>
                <w:color w:val="auto"/>
              </w:rPr>
            </w:pPr>
          </w:p>
        </w:tc>
        <w:tc>
          <w:tcPr>
            <w:tcW w:w="128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CFF0FC"/>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CFF0FC"/>
              <w:bottom w:val="single" w:sz="8" w:color="auto"/>
            </w:tcBorders>
          </w:tcPr>
          <w:p>
            <w:pPr>
              <w:spacing w:after="0"/>
              <w:rPr>
                <w:sz w:val="11"/>
                <w:szCs w:val="11"/>
                <w:color w:val="auto"/>
              </w:rPr>
            </w:pPr>
          </w:p>
        </w:tc>
        <w:tc>
          <w:tcPr>
            <w:tcW w:w="126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CFF0FC"/>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-128270</wp:posOffset>
            </wp:positionV>
            <wp:extent cx="1937385" cy="1289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937385" cy="128905"/>
                    </a:xfrm>
                    <a:prstGeom prst="rect">
                      <a:avLst/>
                    </a:prstGeom>
                    <a:noFill/>
                  </pic:spPr>
                </pic:pic>
              </a:graphicData>
            </a:graphic>
          </wp:anchor>
        </w:drawing>
      </w:r>
    </w:p>
    <w:p>
      <w:pPr>
        <w:spacing w:after="0" w:line="69" w:lineRule="exact"/>
        <w:rPr>
          <w:sz w:val="20"/>
          <w:szCs w:val="20"/>
          <w:color w:val="auto"/>
        </w:rPr>
      </w:pPr>
    </w:p>
    <w:p>
      <w:pPr>
        <w:ind w:left="740" w:hanging="358"/>
        <w:spacing w:after="0"/>
        <w:tabs>
          <w:tab w:leader="none" w:pos="7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Ashland includes only U.S. and Canada in its North America designation and includes Europe, the Middle East and Africa in its Europe designation.</w:t>
      </w:r>
    </w:p>
    <w:p>
      <w:pPr>
        <w:spacing w:after="0" w:line="199"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Reportable segments</w:t>
      </w:r>
    </w:p>
    <w:p>
      <w:pPr>
        <w:spacing w:after="0" w:line="114" w:lineRule="exact"/>
        <w:rPr>
          <w:sz w:val="20"/>
          <w:szCs w:val="20"/>
          <w:color w:val="auto"/>
        </w:rPr>
      </w:pPr>
    </w:p>
    <w:p>
      <w:pPr>
        <w:jc w:val="both"/>
        <w:ind w:left="380" w:right="380"/>
        <w:spacing w:after="0" w:line="291" w:lineRule="auto"/>
        <w:rPr>
          <w:sz w:val="20"/>
          <w:szCs w:val="20"/>
          <w:color w:val="auto"/>
        </w:rPr>
      </w:pPr>
      <w:r>
        <w:rPr>
          <w:rFonts w:ascii="Arial" w:cs="Arial" w:eastAsia="Arial" w:hAnsi="Arial"/>
          <w:sz w:val="18"/>
          <w:szCs w:val="18"/>
          <w:color w:val="auto"/>
        </w:rPr>
        <w:t>Ashland’s reportable segments include Life Sciences, Personal Care, Specialty Additives and Intermediates. Unallocated and Other includes corporate governance activities and certain legacy matters. The contribution to sales by each reportable segment expressed as a percentage of total consolidated sales for the three and nine months ended June 30 was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00" w:type="dxa"/>
            <w:vAlign w:val="bottom"/>
          </w:tcPr>
          <w:p>
            <w:pPr>
              <w:spacing w:after="0"/>
              <w:rPr>
                <w:sz w:val="21"/>
                <w:szCs w:val="21"/>
                <w:color w:val="auto"/>
              </w:rPr>
            </w:pPr>
          </w:p>
        </w:tc>
        <w:tc>
          <w:tcPr>
            <w:tcW w:w="4720" w:type="dxa"/>
            <w:vAlign w:val="bottom"/>
            <w:tcBorders>
              <w:top w:val="single" w:sz="8" w:color="auto"/>
            </w:tcBorders>
          </w:tcPr>
          <w:p>
            <w:pPr>
              <w:spacing w:after="0"/>
              <w:rPr>
                <w:sz w:val="21"/>
                <w:szCs w:val="21"/>
                <w:color w:val="auto"/>
              </w:rPr>
            </w:pPr>
          </w:p>
        </w:tc>
        <w:tc>
          <w:tcPr>
            <w:tcW w:w="2180" w:type="dxa"/>
            <w:vAlign w:val="bottom"/>
            <w:tcBorders>
              <w:top w:val="single" w:sz="8" w:color="auto"/>
            </w:tcBorders>
            <w:gridSpan w:val="3"/>
          </w:tcPr>
          <w:p>
            <w:pPr>
              <w:jc w:val="center"/>
              <w:ind w:left="410"/>
              <w:spacing w:after="0"/>
              <w:rPr>
                <w:sz w:val="20"/>
                <w:szCs w:val="20"/>
                <w:color w:val="auto"/>
              </w:rPr>
            </w:pPr>
            <w:r>
              <w:rPr>
                <w:rFonts w:ascii="Arial" w:cs="Arial" w:eastAsia="Arial" w:hAnsi="Arial"/>
                <w:sz w:val="18"/>
                <w:szCs w:val="18"/>
                <w:color w:val="auto"/>
                <w:w w:val="89"/>
              </w:rPr>
              <w:t>Three months ended</w:t>
            </w:r>
          </w:p>
        </w:tc>
        <w:tc>
          <w:tcPr>
            <w:tcW w:w="6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160" w:type="dxa"/>
            <w:vAlign w:val="bottom"/>
            <w:tcBorders>
              <w:top w:val="single" w:sz="8" w:color="auto"/>
            </w:tcBorders>
            <w:gridSpan w:val="3"/>
          </w:tcPr>
          <w:p>
            <w:pPr>
              <w:jc w:val="center"/>
              <w:ind w:left="390"/>
              <w:spacing w:after="0"/>
              <w:rPr>
                <w:sz w:val="20"/>
                <w:szCs w:val="20"/>
                <w:color w:val="auto"/>
              </w:rPr>
            </w:pPr>
            <w:r>
              <w:rPr>
                <w:rFonts w:ascii="Arial" w:cs="Arial" w:eastAsia="Arial" w:hAnsi="Arial"/>
                <w:sz w:val="18"/>
                <w:szCs w:val="18"/>
                <w:color w:val="auto"/>
                <w:w w:val="89"/>
              </w:rPr>
              <w:t>Nine months ended</w:t>
            </w:r>
          </w:p>
        </w:tc>
        <w:tc>
          <w:tcPr>
            <w:tcW w:w="620" w:type="dxa"/>
            <w:vAlign w:val="bottom"/>
            <w:tcBorders>
              <w:top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400" w:type="dxa"/>
            <w:vAlign w:val="bottom"/>
          </w:tcPr>
          <w:p>
            <w:pPr>
              <w:spacing w:after="0"/>
              <w:rPr>
                <w:sz w:val="21"/>
                <w:szCs w:val="21"/>
                <w:color w:val="auto"/>
              </w:rPr>
            </w:pPr>
          </w:p>
        </w:tc>
        <w:tc>
          <w:tcPr>
            <w:tcW w:w="4720" w:type="dxa"/>
            <w:vAlign w:val="bottom"/>
          </w:tcPr>
          <w:p>
            <w:pPr>
              <w:spacing w:after="0"/>
              <w:rPr>
                <w:sz w:val="21"/>
                <w:szCs w:val="21"/>
                <w:color w:val="auto"/>
              </w:rPr>
            </w:pPr>
          </w:p>
        </w:tc>
        <w:tc>
          <w:tcPr>
            <w:tcW w:w="2180" w:type="dxa"/>
            <w:vAlign w:val="bottom"/>
            <w:tcBorders>
              <w:bottom w:val="single" w:sz="8" w:color="auto"/>
            </w:tcBorders>
            <w:gridSpan w:val="3"/>
          </w:tcPr>
          <w:p>
            <w:pPr>
              <w:jc w:val="center"/>
              <w:ind w:left="410"/>
              <w:spacing w:after="0"/>
              <w:rPr>
                <w:sz w:val="20"/>
                <w:szCs w:val="20"/>
                <w:color w:val="auto"/>
              </w:rPr>
            </w:pPr>
            <w:r>
              <w:rPr>
                <w:rFonts w:ascii="Arial" w:cs="Arial" w:eastAsia="Arial" w:hAnsi="Arial"/>
                <w:sz w:val="18"/>
                <w:szCs w:val="18"/>
                <w:color w:val="auto"/>
                <w:w w:val="87"/>
              </w:rPr>
              <w:t>June 30</w:t>
            </w:r>
          </w:p>
        </w:tc>
        <w:tc>
          <w:tcPr>
            <w:tcW w:w="6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160" w:type="dxa"/>
            <w:vAlign w:val="bottom"/>
            <w:tcBorders>
              <w:bottom w:val="single" w:sz="8" w:color="auto"/>
            </w:tcBorders>
            <w:gridSpan w:val="3"/>
          </w:tcPr>
          <w:p>
            <w:pPr>
              <w:jc w:val="center"/>
              <w:ind w:left="390"/>
              <w:spacing w:after="0"/>
              <w:rPr>
                <w:sz w:val="20"/>
                <w:szCs w:val="20"/>
                <w:color w:val="auto"/>
              </w:rPr>
            </w:pPr>
            <w:r>
              <w:rPr>
                <w:rFonts w:ascii="Arial" w:cs="Arial" w:eastAsia="Arial" w:hAnsi="Arial"/>
                <w:sz w:val="18"/>
                <w:szCs w:val="18"/>
                <w:color w:val="auto"/>
                <w:w w:val="87"/>
              </w:rPr>
              <w:t>June 30</w:t>
            </w:r>
          </w:p>
        </w:tc>
        <w:tc>
          <w:tcPr>
            <w:tcW w:w="620" w:type="dxa"/>
            <w:vAlign w:val="bottom"/>
            <w:tcBorders>
              <w:bottom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0" w:type="dxa"/>
            <w:vAlign w:val="bottom"/>
          </w:tcPr>
          <w:p>
            <w:pPr>
              <w:spacing w:after="0"/>
              <w:rPr>
                <w:sz w:val="20"/>
                <w:szCs w:val="20"/>
                <w:color w:val="auto"/>
              </w:rPr>
            </w:pPr>
          </w:p>
        </w:tc>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Sales by Reportable Segment</w:t>
            </w: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2022</w:t>
            </w: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2023</w:t>
            </w: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2022</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Life Sciences</w:t>
            </w:r>
          </w:p>
        </w:tc>
        <w:tc>
          <w:tcPr>
            <w:tcW w:w="1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40 %</w:t>
            </w:r>
          </w:p>
        </w:tc>
        <w:tc>
          <w:tcPr>
            <w:tcW w:w="78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35 %</w:t>
            </w:r>
          </w:p>
        </w:tc>
        <w:tc>
          <w:tcPr>
            <w:tcW w:w="14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40 %</w:t>
            </w:r>
          </w:p>
        </w:tc>
        <w:tc>
          <w:tcPr>
            <w:tcW w:w="7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35 %</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p>
        </w:tc>
        <w:tc>
          <w:tcPr>
            <w:tcW w:w="4720" w:type="dxa"/>
            <w:vAlign w:val="bottom"/>
          </w:tcPr>
          <w:p>
            <w:pPr>
              <w:ind w:left="20"/>
              <w:spacing w:after="0"/>
              <w:rPr>
                <w:sz w:val="20"/>
                <w:szCs w:val="20"/>
                <w:color w:val="auto"/>
              </w:rPr>
            </w:pPr>
            <w:r>
              <w:rPr>
                <w:rFonts w:ascii="Arial" w:cs="Arial" w:eastAsia="Arial" w:hAnsi="Arial"/>
                <w:sz w:val="18"/>
                <w:szCs w:val="18"/>
                <w:color w:val="auto"/>
              </w:rPr>
              <w:t>Personal Care</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27 %</w:t>
            </w:r>
          </w:p>
        </w:tc>
        <w:tc>
          <w:tcPr>
            <w:tcW w:w="78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27 %</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27 %</w:t>
            </w:r>
          </w:p>
        </w:tc>
        <w:tc>
          <w:tcPr>
            <w:tcW w:w="7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28 %</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00" w:type="dxa"/>
            <w:vAlign w:val="bottom"/>
          </w:tcPr>
          <w:p>
            <w:pPr>
              <w:spacing w:after="0"/>
              <w:rPr>
                <w:sz w:val="22"/>
                <w:szCs w:val="22"/>
                <w:color w:val="auto"/>
              </w:rPr>
            </w:pPr>
          </w:p>
        </w:tc>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Specialty Additives</w:t>
            </w:r>
          </w:p>
        </w:tc>
        <w:tc>
          <w:tcPr>
            <w:tcW w:w="1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28 %</w:t>
            </w:r>
          </w:p>
        </w:tc>
        <w:tc>
          <w:tcPr>
            <w:tcW w:w="780" w:type="dxa"/>
            <w:vAlign w:val="bottom"/>
            <w:shd w:val="clear" w:color="auto" w:fill="CFF0FC"/>
          </w:tcPr>
          <w:p>
            <w:pPr>
              <w:spacing w:after="0"/>
              <w:rPr>
                <w:sz w:val="22"/>
                <w:szCs w:val="22"/>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30 %</w:t>
            </w:r>
          </w:p>
        </w:tc>
        <w:tc>
          <w:tcPr>
            <w:tcW w:w="14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27 %</w:t>
            </w:r>
          </w:p>
        </w:tc>
        <w:tc>
          <w:tcPr>
            <w:tcW w:w="76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30 %</w:t>
            </w: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4720" w:type="dxa"/>
            <w:vAlign w:val="bottom"/>
          </w:tcPr>
          <w:p>
            <w:pPr>
              <w:ind w:left="20"/>
              <w:spacing w:after="0"/>
              <w:rPr>
                <w:sz w:val="20"/>
                <w:szCs w:val="20"/>
                <w:color w:val="auto"/>
              </w:rPr>
            </w:pPr>
            <w:r>
              <w:rPr>
                <w:rFonts w:ascii="Arial" w:cs="Arial" w:eastAsia="Arial" w:hAnsi="Arial"/>
                <w:sz w:val="18"/>
                <w:szCs w:val="18"/>
                <w:color w:val="auto"/>
              </w:rPr>
              <w:t>Intermediates</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5 %</w:t>
            </w:r>
          </w:p>
        </w:tc>
        <w:tc>
          <w:tcPr>
            <w:tcW w:w="780" w:type="dxa"/>
            <w:vAlign w:val="bottom"/>
          </w:tcPr>
          <w:p>
            <w:pPr>
              <w:spacing w:after="0"/>
              <w:rPr>
                <w:sz w:val="21"/>
                <w:szCs w:val="21"/>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8 %</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6 %</w:t>
            </w:r>
          </w:p>
        </w:tc>
        <w:tc>
          <w:tcPr>
            <w:tcW w:w="7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7 %</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00" w:type="dxa"/>
            <w:vAlign w:val="bottom"/>
          </w:tcPr>
          <w:p>
            <w:pPr>
              <w:spacing w:after="0"/>
              <w:rPr>
                <w:sz w:val="23"/>
                <w:szCs w:val="23"/>
                <w:color w:val="auto"/>
              </w:rPr>
            </w:pPr>
          </w:p>
        </w:tc>
        <w:tc>
          <w:tcPr>
            <w:tcW w:w="4720" w:type="dxa"/>
            <w:vAlign w:val="bottom"/>
            <w:shd w:val="clear" w:color="auto" w:fill="CFF0FC"/>
          </w:tcPr>
          <w:p>
            <w:pPr>
              <w:spacing w:after="0"/>
              <w:rPr>
                <w:sz w:val="23"/>
                <w:szCs w:val="23"/>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100 %</w:t>
            </w:r>
          </w:p>
        </w:tc>
        <w:tc>
          <w:tcPr>
            <w:tcW w:w="120" w:type="dxa"/>
            <w:vAlign w:val="bottom"/>
            <w:shd w:val="clear" w:color="auto" w:fill="CFF0FC"/>
          </w:tcPr>
          <w:p>
            <w:pPr>
              <w:spacing w:after="0"/>
              <w:rPr>
                <w:sz w:val="23"/>
                <w:szCs w:val="23"/>
                <w:color w:val="auto"/>
              </w:rPr>
            </w:pPr>
          </w:p>
        </w:tc>
        <w:tc>
          <w:tcPr>
            <w:tcW w:w="780" w:type="dxa"/>
            <w:vAlign w:val="bottom"/>
            <w:shd w:val="clear" w:color="auto" w:fill="CFF0FC"/>
          </w:tcPr>
          <w:p>
            <w:pPr>
              <w:spacing w:after="0"/>
              <w:rPr>
                <w:sz w:val="23"/>
                <w:szCs w:val="23"/>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100 %</w:t>
            </w:r>
          </w:p>
        </w:tc>
        <w:tc>
          <w:tcPr>
            <w:tcW w:w="14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100 %</w:t>
            </w:r>
          </w:p>
        </w:tc>
        <w:tc>
          <w:tcPr>
            <w:tcW w:w="760" w:type="dxa"/>
            <w:vAlign w:val="bottom"/>
            <w:shd w:val="clear" w:color="auto" w:fill="CFF0FC"/>
          </w:tcPr>
          <w:p>
            <w:pPr>
              <w:spacing w:after="0"/>
              <w:rPr>
                <w:sz w:val="23"/>
                <w:szCs w:val="2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100 %</w:t>
            </w:r>
          </w:p>
        </w:tc>
        <w:tc>
          <w:tcPr>
            <w:tcW w:w="4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400" w:type="dxa"/>
            <w:vAlign w:val="bottom"/>
          </w:tcPr>
          <w:p>
            <w:pPr>
              <w:spacing w:after="0"/>
              <w:rPr>
                <w:sz w:val="11"/>
                <w:szCs w:val="11"/>
                <w:color w:val="auto"/>
              </w:rPr>
            </w:pPr>
          </w:p>
        </w:tc>
        <w:tc>
          <w:tcPr>
            <w:tcW w:w="4720" w:type="dxa"/>
            <w:vAlign w:val="bottom"/>
            <w:tcBorders>
              <w:top w:val="single" w:sz="8" w:color="CFF0FC"/>
              <w:bottom w:val="single" w:sz="8" w:color="auto"/>
            </w:tcBorders>
          </w:tcPr>
          <w:p>
            <w:pPr>
              <w:spacing w:after="0"/>
              <w:rPr>
                <w:sz w:val="11"/>
                <w:szCs w:val="11"/>
                <w:color w:val="auto"/>
              </w:rPr>
            </w:pPr>
          </w:p>
        </w:tc>
        <w:tc>
          <w:tcPr>
            <w:tcW w:w="128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CFF0FC"/>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CFF0FC"/>
              <w:bottom w:val="single" w:sz="8" w:color="auto"/>
            </w:tcBorders>
          </w:tcPr>
          <w:p>
            <w:pPr>
              <w:spacing w:after="0"/>
              <w:rPr>
                <w:sz w:val="11"/>
                <w:szCs w:val="11"/>
                <w:color w:val="auto"/>
              </w:rPr>
            </w:pPr>
          </w:p>
        </w:tc>
        <w:tc>
          <w:tcPr>
            <w:tcW w:w="126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CFF0FC"/>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4"/>
        </w:trPr>
        <w:tc>
          <w:tcPr>
            <w:tcW w:w="40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280" w:type="dxa"/>
            <w:vAlign w:val="bottom"/>
          </w:tcPr>
          <w:p>
            <w:pPr>
              <w:jc w:val="right"/>
              <w:ind w:right="59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0" w:type="dxa"/>
            <w:vAlign w:val="bottom"/>
            <w:tcBorders>
              <w:bottom w:val="single" w:sz="8" w:color="9A9A9A"/>
            </w:tcBorders>
          </w:tcPr>
          <w:p>
            <w:pPr>
              <w:spacing w:after="0"/>
              <w:rPr>
                <w:sz w:val="10"/>
                <w:szCs w:val="10"/>
                <w:color w:val="auto"/>
              </w:rPr>
            </w:pPr>
          </w:p>
        </w:tc>
        <w:tc>
          <w:tcPr>
            <w:tcW w:w="47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-556260</wp:posOffset>
            </wp:positionV>
            <wp:extent cx="1937385" cy="1289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937385" cy="1289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9" w:name="page30"/>
    <w:bookmarkEnd w:id="29"/>
    <w:p>
      <w:pPr>
        <w:spacing w:after="0"/>
        <w:rPr>
          <w:sz w:val="20"/>
          <w:szCs w:val="20"/>
          <w:color w:val="auto"/>
        </w:rPr>
      </w:pPr>
      <w:r>
        <w:rPr>
          <w:rFonts w:ascii="Arial" w:cs="Arial" w:eastAsia="Arial" w:hAnsi="Arial"/>
          <w:sz w:val="20"/>
          <w:szCs w:val="20"/>
          <w:b w:val="1"/>
          <w:bCs w:val="1"/>
          <w:color w:val="auto"/>
        </w:rPr>
        <w:t>KEY DEVELOPMENTS</w:t>
      </w:r>
    </w:p>
    <w:p>
      <w:pPr>
        <w:spacing w:after="0" w:line="108"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Business results current quarter</w:t>
      </w:r>
    </w:p>
    <w:p>
      <w:pPr>
        <w:spacing w:after="0" w:line="114" w:lineRule="exact"/>
        <w:rPr>
          <w:sz w:val="20"/>
          <w:szCs w:val="20"/>
          <w:color w:val="auto"/>
        </w:rPr>
      </w:pPr>
    </w:p>
    <w:p>
      <w:pPr>
        <w:jc w:val="both"/>
        <w:ind w:left="380"/>
        <w:spacing w:after="0" w:line="242" w:lineRule="auto"/>
        <w:rPr>
          <w:sz w:val="20"/>
          <w:szCs w:val="20"/>
          <w:color w:val="auto"/>
        </w:rPr>
      </w:pPr>
      <w:r>
        <w:rPr>
          <w:rFonts w:ascii="Arial" w:cs="Arial" w:eastAsia="Arial" w:hAnsi="Arial"/>
          <w:sz w:val="20"/>
          <w:szCs w:val="20"/>
          <w:color w:val="auto"/>
        </w:rPr>
        <w:t>Ashland recorded net income of $50 million (income of $42 million in continuing operations and income of $8 million in discontinued operations) and net income of $36 million (income of $51 million in continuing operations and loss of $15 million in discontinued operations) in the current and prior year quarters, respectively. Ashland’s EBITDA of $130 million decreased by $27 million for the current quarter while Ashland’s Adjusted EBITDA of $133 million decreased by $41 million for the current quarter, compared to the prior year quarter (see U.S. GAAP reconciliation below under consolidated review). The decrease was primarily driven by lower sales volumes from customer de-stocking and higher costs primarily associated with inventory control actions, partially offset by improved pricing and favorable selling, general and administrative expense primarily driven by lower incentive compensation expense.</w:t>
      </w:r>
    </w:p>
    <w:p>
      <w:pPr>
        <w:spacing w:after="0" w:line="83"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Uncertainty relating to the Ukraine and Russia conflict</w:t>
      </w:r>
    </w:p>
    <w:p>
      <w:pPr>
        <w:spacing w:after="0" w:line="114" w:lineRule="exact"/>
        <w:rPr>
          <w:sz w:val="20"/>
          <w:szCs w:val="20"/>
          <w:color w:val="auto"/>
        </w:rPr>
      </w:pPr>
    </w:p>
    <w:p>
      <w:pPr>
        <w:jc w:val="both"/>
        <w:ind w:left="380"/>
        <w:spacing w:after="0" w:line="259" w:lineRule="auto"/>
        <w:rPr>
          <w:sz w:val="20"/>
          <w:szCs w:val="20"/>
          <w:color w:val="auto"/>
        </w:rPr>
      </w:pPr>
      <w:r>
        <w:rPr>
          <w:rFonts w:ascii="Arial" w:cs="Arial" w:eastAsia="Arial" w:hAnsi="Arial"/>
          <w:sz w:val="19"/>
          <w:szCs w:val="19"/>
          <w:color w:val="auto"/>
        </w:rPr>
        <w:t>Business disruptions, including those related to the ongoing conflict between Ukraine and Russia continue to impact businesses around the globe. While it is impossible to predict the effects of the conflict such as possible escalating geopolitical tensions (including the imposition of existing and additional sanctions by the U.S and the European Union on Russia), worsening macroeconomic and general business conditions, supply chain interruptions and unfavorable energy markets, the impact could be material. Ashland is closely monitoring the situation and maintains business continuity plans that are intended to continue operations or mitigate the effects of events that could disrupt its business.</w:t>
      </w:r>
    </w:p>
    <w:p>
      <w:pPr>
        <w:spacing w:after="0" w:line="70" w:lineRule="exact"/>
        <w:rPr>
          <w:sz w:val="20"/>
          <w:szCs w:val="20"/>
          <w:color w:val="auto"/>
        </w:rPr>
      </w:pPr>
    </w:p>
    <w:p>
      <w:pPr>
        <w:jc w:val="both"/>
        <w:ind w:left="380"/>
        <w:spacing w:after="0" w:line="274" w:lineRule="auto"/>
        <w:rPr>
          <w:sz w:val="20"/>
          <w:szCs w:val="20"/>
          <w:color w:val="auto"/>
        </w:rPr>
      </w:pPr>
      <w:r>
        <w:rPr>
          <w:rFonts w:ascii="Arial" w:cs="Arial" w:eastAsia="Arial" w:hAnsi="Arial"/>
          <w:sz w:val="18"/>
          <w:szCs w:val="18"/>
          <w:color w:val="auto"/>
        </w:rPr>
        <w:t>Ashland does not have manufacturing operations in Russia, Ukraine, or Belarus. Ashland sells (or previously sold) additives and specialty ingredients to manufacturers in these countries for their use in pharmaceuticals, personal care, and coatings applications. Sales to Russia and Belarus were previously limited and our products were primarily used in products and applications that are essential to the population's wellbeing and currently support our customers' humanitarian efforts. We have sales controls in place to ensure that future potential sales into the region are only to support critical pharmaceutical or personal hygiene products which are essential for the general population and in accordance with any applicable sanctions. Sales to Ukraine, Russia, and Belarus represent less than 1% of total consolidated sales and less than 1% of total consolidated assets (related to accounts receivable).</w:t>
      </w:r>
    </w:p>
    <w:p>
      <w:pPr>
        <w:spacing w:after="0" w:line="54"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Uncertainty relating to the COVID-19 pandemic</w:t>
      </w:r>
    </w:p>
    <w:p>
      <w:pPr>
        <w:spacing w:after="0" w:line="114" w:lineRule="exact"/>
        <w:rPr>
          <w:sz w:val="20"/>
          <w:szCs w:val="20"/>
          <w:color w:val="auto"/>
        </w:rPr>
      </w:pPr>
    </w:p>
    <w:p>
      <w:pPr>
        <w:jc w:val="both"/>
        <w:ind w:left="380"/>
        <w:spacing w:after="0" w:line="255" w:lineRule="auto"/>
        <w:rPr>
          <w:sz w:val="20"/>
          <w:szCs w:val="20"/>
          <w:color w:val="auto"/>
        </w:rPr>
      </w:pPr>
      <w:r>
        <w:rPr>
          <w:rFonts w:ascii="Arial" w:cs="Arial" w:eastAsia="Arial" w:hAnsi="Arial"/>
          <w:sz w:val="19"/>
          <w:szCs w:val="19"/>
          <w:color w:val="auto"/>
        </w:rPr>
        <w:t>Ashland continues to successfully navigate the uncertain environment associated with the COVID-19 pandemic. Through the third quarter of fiscal 2023, Ashland has not experienced any additional major operating surprises related to the COVID-19 pandemic, continues to maintain supply chains in a challenging environment, had strong safety performance in the face of unprecedented pressures and improved operating discipline across each of its businesses. Ashland's businesses continued to show resiliency in the face of difficult economic circumstances. The COVID-19 impact related to the China re-opening did negatively impact demand during the first and second quarters of fiscal 2023 for both the Specialty Additives and Personal Care business segments. Additionally, Specialty Additives was also impacted by extended unplanned plant shutdowns at its Nanjing, China, facility as a result of these same dynamics during the first half of this fiscal year. Ashland’s overall liquidity remains strong and Ashland is more than able to meet its operating cash needs and other investing and financing cash requirements at this time, including those necessary to grow the business as economic conditions improve.</w:t>
      </w:r>
    </w:p>
    <w:p>
      <w:pPr>
        <w:spacing w:after="0" w:line="76"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Other items</w:t>
      </w:r>
    </w:p>
    <w:p>
      <w:pPr>
        <w:spacing w:after="0" w:line="114" w:lineRule="exact"/>
        <w:rPr>
          <w:sz w:val="20"/>
          <w:szCs w:val="20"/>
          <w:color w:val="auto"/>
        </w:rPr>
      </w:pPr>
    </w:p>
    <w:p>
      <w:pPr>
        <w:ind w:left="380"/>
        <w:spacing w:after="0"/>
        <w:rPr>
          <w:sz w:val="20"/>
          <w:szCs w:val="20"/>
          <w:color w:val="auto"/>
        </w:rPr>
      </w:pPr>
      <w:r>
        <w:rPr>
          <w:rFonts w:ascii="Arial" w:cs="Arial" w:eastAsia="Arial" w:hAnsi="Arial"/>
          <w:sz w:val="20"/>
          <w:szCs w:val="20"/>
          <w:i w:val="1"/>
          <w:iCs w:val="1"/>
          <w:color w:val="auto"/>
        </w:rPr>
        <w:t>2023 Stock Repurchase program</w:t>
      </w:r>
    </w:p>
    <w:p>
      <w:pPr>
        <w:spacing w:after="0" w:line="108" w:lineRule="exact"/>
        <w:rPr>
          <w:sz w:val="20"/>
          <w:szCs w:val="20"/>
          <w:color w:val="auto"/>
        </w:rPr>
      </w:pPr>
    </w:p>
    <w:p>
      <w:pPr>
        <w:jc w:val="both"/>
        <w:ind w:left="380"/>
        <w:spacing w:after="0" w:line="250" w:lineRule="auto"/>
        <w:rPr>
          <w:sz w:val="20"/>
          <w:szCs w:val="20"/>
          <w:color w:val="auto"/>
        </w:rPr>
      </w:pPr>
      <w:r>
        <w:rPr>
          <w:rFonts w:ascii="Arial" w:cs="Arial" w:eastAsia="Arial" w:hAnsi="Arial"/>
          <w:sz w:val="20"/>
          <w:szCs w:val="20"/>
          <w:color w:val="auto"/>
        </w:rPr>
        <w:t>On June 28, 2023, Ashland's board of directors authorized a new evergreen $1 billion common share repurchase program (2023 stock repurchase program). The new authorization terminates and replaces the company's 2022 stock repurchase program, which had $200 million outstanding at the date of termination.</w:t>
      </w:r>
    </w:p>
    <w:p>
      <w:pPr>
        <w:spacing w:after="0" w:line="8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603" w:right="719" w:bottom="1440" w:gutter="0" w:footer="0" w:header="0"/>
        </w:sectPr>
      </w:pPr>
    </w:p>
    <w:bookmarkStart w:id="30" w:name="page31"/>
    <w:bookmarkEnd w:id="30"/>
    <w:p>
      <w:pPr>
        <w:ind w:left="380"/>
        <w:spacing w:after="0"/>
        <w:rPr>
          <w:sz w:val="20"/>
          <w:szCs w:val="20"/>
          <w:color w:val="auto"/>
        </w:rPr>
      </w:pPr>
      <w:r>
        <w:rPr>
          <w:rFonts w:ascii="Arial" w:cs="Arial" w:eastAsia="Arial" w:hAnsi="Arial"/>
          <w:sz w:val="20"/>
          <w:szCs w:val="20"/>
          <w:i w:val="1"/>
          <w:iCs w:val="1"/>
          <w:color w:val="auto"/>
        </w:rPr>
        <w:t>Stock Repurchase program agreements</w:t>
      </w:r>
    </w:p>
    <w:p>
      <w:pPr>
        <w:spacing w:after="0" w:line="108" w:lineRule="exact"/>
        <w:rPr>
          <w:sz w:val="20"/>
          <w:szCs w:val="20"/>
          <w:color w:val="auto"/>
        </w:rPr>
      </w:pPr>
    </w:p>
    <w:p>
      <w:pPr>
        <w:jc w:val="both"/>
        <w:ind w:left="380"/>
        <w:spacing w:after="0" w:line="250" w:lineRule="auto"/>
        <w:rPr>
          <w:sz w:val="20"/>
          <w:szCs w:val="20"/>
          <w:color w:val="auto"/>
        </w:rPr>
      </w:pPr>
      <w:r>
        <w:rPr>
          <w:rFonts w:ascii="Arial" w:cs="Arial" w:eastAsia="Arial" w:hAnsi="Arial"/>
          <w:sz w:val="20"/>
          <w:szCs w:val="20"/>
          <w:color w:val="auto"/>
        </w:rPr>
        <w:t>During May 2023, under the 2022 stock repurchase program, Ashland initiated a Rule 10b5-1 trading plan agreement to repurchase up to $100 million of its outstanding shares. The program was completed during June 2023, when Ashland paid a total of $100 million and received a delivery of 1.1 million shares of common stock.</w:t>
      </w:r>
    </w:p>
    <w:p>
      <w:pPr>
        <w:spacing w:after="0" w:line="78" w:lineRule="exact"/>
        <w:rPr>
          <w:sz w:val="20"/>
          <w:szCs w:val="20"/>
          <w:color w:val="auto"/>
        </w:rPr>
      </w:pPr>
    </w:p>
    <w:p>
      <w:pPr>
        <w:jc w:val="both"/>
        <w:ind w:left="380"/>
        <w:spacing w:after="0" w:line="250" w:lineRule="auto"/>
        <w:rPr>
          <w:sz w:val="20"/>
          <w:szCs w:val="20"/>
          <w:color w:val="auto"/>
        </w:rPr>
      </w:pPr>
      <w:r>
        <w:rPr>
          <w:rFonts w:ascii="Arial" w:cs="Arial" w:eastAsia="Arial" w:hAnsi="Arial"/>
          <w:sz w:val="20"/>
          <w:szCs w:val="20"/>
          <w:color w:val="auto"/>
        </w:rPr>
        <w:t>During March 2023, under the 2022 stock repurchase program, Ashland initiated a Rule 10b5-1 trading plan agreement to repurchase up to $100 million of its outstanding shares. The program was completed during April 2023, when Ashland paid a total of $100 million and received a delivery of 1.0 million shares of common stock.</w:t>
      </w:r>
    </w:p>
    <w:p>
      <w:pPr>
        <w:spacing w:after="0" w:line="78" w:lineRule="exact"/>
        <w:rPr>
          <w:sz w:val="20"/>
          <w:szCs w:val="20"/>
          <w:color w:val="auto"/>
        </w:rPr>
      </w:pPr>
    </w:p>
    <w:p>
      <w:pPr>
        <w:jc w:val="both"/>
        <w:ind w:left="380"/>
        <w:spacing w:after="0" w:line="250" w:lineRule="auto"/>
        <w:rPr>
          <w:sz w:val="20"/>
          <w:szCs w:val="20"/>
          <w:color w:val="auto"/>
        </w:rPr>
      </w:pPr>
      <w:r>
        <w:rPr>
          <w:rFonts w:ascii="Arial" w:cs="Arial" w:eastAsia="Arial" w:hAnsi="Arial"/>
          <w:sz w:val="20"/>
          <w:szCs w:val="20"/>
          <w:color w:val="auto"/>
        </w:rPr>
        <w:t>During February 2023, under the existing 2022 stock repurchase program, Ashland initiated a Rule 10b5-1 trading plan agreement to repurchase up to $100 million of its outstanding shares. The program was completed in February 2023, when Ashland paid a total of $100 million and received a delivery of 1.0 million shares of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 – CONSOLIDATED REVIEW</w:t>
      </w:r>
    </w:p>
    <w:p>
      <w:pPr>
        <w:spacing w:after="0" w:line="114" w:lineRule="exact"/>
        <w:rPr>
          <w:sz w:val="20"/>
          <w:szCs w:val="20"/>
          <w:color w:val="auto"/>
        </w:rPr>
      </w:pPr>
    </w:p>
    <w:p>
      <w:pPr>
        <w:ind w:left="380"/>
        <w:spacing w:after="0"/>
        <w:rPr>
          <w:sz w:val="20"/>
          <w:szCs w:val="20"/>
          <w:color w:val="auto"/>
        </w:rPr>
      </w:pPr>
      <w:r>
        <w:rPr>
          <w:rFonts w:ascii="Arial" w:cs="Arial" w:eastAsia="Arial" w:hAnsi="Arial"/>
          <w:sz w:val="20"/>
          <w:szCs w:val="20"/>
          <w:b w:val="1"/>
          <w:bCs w:val="1"/>
          <w:i w:val="1"/>
          <w:iCs w:val="1"/>
          <w:color w:val="auto"/>
        </w:rPr>
        <w:t>Consolidated review</w:t>
      </w:r>
    </w:p>
    <w:p>
      <w:pPr>
        <w:spacing w:after="0" w:line="108" w:lineRule="exact"/>
        <w:rPr>
          <w:sz w:val="20"/>
          <w:szCs w:val="20"/>
          <w:color w:val="auto"/>
        </w:rPr>
      </w:pPr>
    </w:p>
    <w:p>
      <w:pPr>
        <w:ind w:left="380"/>
        <w:spacing w:after="0"/>
        <w:rPr>
          <w:sz w:val="20"/>
          <w:szCs w:val="20"/>
          <w:color w:val="auto"/>
        </w:rPr>
      </w:pPr>
      <w:r>
        <w:rPr>
          <w:rFonts w:ascii="Arial" w:cs="Arial" w:eastAsia="Arial" w:hAnsi="Arial"/>
          <w:sz w:val="20"/>
          <w:szCs w:val="20"/>
          <w:i w:val="1"/>
          <w:iCs w:val="1"/>
          <w:color w:val="auto"/>
        </w:rPr>
        <w:t>Net income</w:t>
      </w:r>
    </w:p>
    <w:p>
      <w:pPr>
        <w:spacing w:after="0" w:line="108" w:lineRule="exact"/>
        <w:rPr>
          <w:sz w:val="20"/>
          <w:szCs w:val="20"/>
          <w:color w:val="auto"/>
        </w:rPr>
      </w:pPr>
    </w:p>
    <w:p>
      <w:pPr>
        <w:jc w:val="both"/>
        <w:ind w:left="380"/>
        <w:spacing w:after="0" w:line="260" w:lineRule="auto"/>
        <w:rPr>
          <w:sz w:val="20"/>
          <w:szCs w:val="20"/>
          <w:color w:val="auto"/>
        </w:rPr>
      </w:pPr>
      <w:r>
        <w:rPr>
          <w:rFonts w:ascii="Arial" w:cs="Arial" w:eastAsia="Arial" w:hAnsi="Arial"/>
          <w:sz w:val="20"/>
          <w:szCs w:val="20"/>
          <w:color w:val="auto"/>
        </w:rPr>
        <w:t>Ashland’s net income is primarily affected by results within operating income, net interest and other expense (income), income taxes, discontinued operations and other significant events or transactions that are unusual or nonrecurring.</w:t>
      </w:r>
    </w:p>
    <w:p>
      <w:pPr>
        <w:spacing w:after="0" w:line="69" w:lineRule="exact"/>
        <w:rPr>
          <w:sz w:val="20"/>
          <w:szCs w:val="20"/>
          <w:color w:val="auto"/>
        </w:rPr>
      </w:pPr>
    </w:p>
    <w:p>
      <w:pPr>
        <w:ind w:left="380"/>
        <w:spacing w:after="0"/>
        <w:rPr>
          <w:sz w:val="20"/>
          <w:szCs w:val="20"/>
          <w:color w:val="auto"/>
        </w:rPr>
      </w:pPr>
      <w:r>
        <w:rPr>
          <w:rFonts w:ascii="Arial" w:cs="Arial" w:eastAsia="Arial" w:hAnsi="Arial"/>
          <w:sz w:val="20"/>
          <w:szCs w:val="20"/>
          <w:u w:val="single" w:color="auto"/>
          <w:color w:val="auto"/>
        </w:rPr>
        <w:t>Current Quarter</w:t>
      </w:r>
      <w:r>
        <w:rPr>
          <w:rFonts w:ascii="Arial" w:cs="Arial" w:eastAsia="Arial" w:hAnsi="Arial"/>
          <w:sz w:val="20"/>
          <w:szCs w:val="20"/>
          <w:color w:val="auto"/>
        </w:rPr>
        <w:t xml:space="preserve"> - Key financial results for the three months ended June 30, 2023 and 2022 included the following:</w:t>
      </w:r>
    </w:p>
    <w:p>
      <w:pPr>
        <w:spacing w:after="0" w:line="108" w:lineRule="exact"/>
        <w:rPr>
          <w:sz w:val="20"/>
          <w:szCs w:val="20"/>
          <w:color w:val="auto"/>
        </w:rPr>
      </w:pPr>
    </w:p>
    <w:p>
      <w:pPr>
        <w:ind w:left="740" w:hanging="358"/>
        <w:spacing w:after="0" w:line="260" w:lineRule="auto"/>
        <w:tabs>
          <w:tab w:leader="none" w:pos="740" w:val="left"/>
        </w:tabs>
        <w:numPr>
          <w:ilvl w:val="0"/>
          <w:numId w:val="21"/>
        </w:numPr>
        <w:rPr>
          <w:rFonts w:ascii="Arial" w:cs="Arial" w:eastAsia="Arial" w:hAnsi="Arial"/>
          <w:sz w:val="20"/>
          <w:szCs w:val="20"/>
          <w:color w:val="auto"/>
        </w:rPr>
      </w:pPr>
      <w:r>
        <w:rPr>
          <w:rFonts w:ascii="Arial" w:cs="Arial" w:eastAsia="Arial" w:hAnsi="Arial"/>
          <w:sz w:val="20"/>
          <w:szCs w:val="20"/>
          <w:color w:val="auto"/>
        </w:rPr>
        <w:t>Ashland’s net income amounted to $50 million compared to $36 million for the three months ended June 30, 2023 and 2022, respectively, or income of $0.94 and $0.65 diluted earnings per share, respectively.</w:t>
      </w:r>
    </w:p>
    <w:p>
      <w:pPr>
        <w:spacing w:after="0" w:line="68" w:lineRule="exact"/>
        <w:rPr>
          <w:rFonts w:ascii="Arial" w:cs="Arial" w:eastAsia="Arial" w:hAnsi="Arial"/>
          <w:sz w:val="20"/>
          <w:szCs w:val="20"/>
          <w:color w:val="auto"/>
        </w:rPr>
      </w:pPr>
    </w:p>
    <w:p>
      <w:pPr>
        <w:ind w:left="740" w:hanging="358"/>
        <w:spacing w:after="0" w:line="260" w:lineRule="auto"/>
        <w:tabs>
          <w:tab w:leader="none" w:pos="740" w:val="left"/>
        </w:tabs>
        <w:numPr>
          <w:ilvl w:val="0"/>
          <w:numId w:val="21"/>
        </w:numPr>
        <w:rPr>
          <w:rFonts w:ascii="Arial" w:cs="Arial" w:eastAsia="Arial" w:hAnsi="Arial"/>
          <w:sz w:val="20"/>
          <w:szCs w:val="20"/>
          <w:color w:val="auto"/>
        </w:rPr>
      </w:pPr>
      <w:r>
        <w:rPr>
          <w:rFonts w:ascii="Arial" w:cs="Arial" w:eastAsia="Arial" w:hAnsi="Arial"/>
          <w:sz w:val="20"/>
          <w:szCs w:val="20"/>
          <w:color w:val="auto"/>
        </w:rPr>
        <w:t>Discontinued operations, which are reported net of taxes, resulted in income of $8 million and a loss of $15 million during the three months ended June 30, 2023 and 2022, respectively.</w:t>
      </w:r>
    </w:p>
    <w:p>
      <w:pPr>
        <w:spacing w:after="0" w:line="68" w:lineRule="exact"/>
        <w:rPr>
          <w:rFonts w:ascii="Arial" w:cs="Arial" w:eastAsia="Arial" w:hAnsi="Arial"/>
          <w:sz w:val="20"/>
          <w:szCs w:val="20"/>
          <w:color w:val="auto"/>
        </w:rPr>
      </w:pPr>
    </w:p>
    <w:p>
      <w:pPr>
        <w:ind w:left="740" w:hanging="358"/>
        <w:spacing w:after="0" w:line="260" w:lineRule="auto"/>
        <w:tabs>
          <w:tab w:leader="none" w:pos="740" w:val="left"/>
        </w:tabs>
        <w:numPr>
          <w:ilvl w:val="0"/>
          <w:numId w:val="21"/>
        </w:numPr>
        <w:rPr>
          <w:rFonts w:ascii="Arial" w:cs="Arial" w:eastAsia="Arial" w:hAnsi="Arial"/>
          <w:sz w:val="20"/>
          <w:szCs w:val="20"/>
          <w:color w:val="auto"/>
        </w:rPr>
      </w:pPr>
      <w:r>
        <w:rPr>
          <w:rFonts w:ascii="Arial" w:cs="Arial" w:eastAsia="Arial" w:hAnsi="Arial"/>
          <w:sz w:val="20"/>
          <w:szCs w:val="20"/>
          <w:color w:val="auto"/>
        </w:rPr>
        <w:t>Income from continuing operations, which excludes results from discontinued operations, amounted to income of $42 million and $51 million for the three months ended June 30, 2023 and 2022, respectively.</w:t>
      </w:r>
    </w:p>
    <w:p>
      <w:pPr>
        <w:spacing w:after="0" w:line="68" w:lineRule="exact"/>
        <w:rPr>
          <w:rFonts w:ascii="Arial" w:cs="Arial" w:eastAsia="Arial" w:hAnsi="Arial"/>
          <w:sz w:val="20"/>
          <w:szCs w:val="20"/>
          <w:color w:val="auto"/>
        </w:rPr>
      </w:pPr>
    </w:p>
    <w:p>
      <w:pPr>
        <w:ind w:left="740" w:hanging="358"/>
        <w:spacing w:after="0" w:line="287" w:lineRule="auto"/>
        <w:tabs>
          <w:tab w:leader="none" w:pos="740" w:val="left"/>
        </w:tabs>
        <w:numPr>
          <w:ilvl w:val="0"/>
          <w:numId w:val="21"/>
        </w:numPr>
        <w:rPr>
          <w:rFonts w:ascii="Arial" w:cs="Arial" w:eastAsia="Arial" w:hAnsi="Arial"/>
          <w:sz w:val="19"/>
          <w:szCs w:val="19"/>
          <w:color w:val="auto"/>
        </w:rPr>
      </w:pPr>
      <w:r>
        <w:rPr>
          <w:rFonts w:ascii="Arial" w:cs="Arial" w:eastAsia="Arial" w:hAnsi="Arial"/>
          <w:sz w:val="19"/>
          <w:szCs w:val="19"/>
          <w:color w:val="auto"/>
        </w:rPr>
        <w:t>The effective income tax rates were expense of 26% and 2% for the three months ended June 30, 2023 and 2022, respectively, and were significantly impacted by certain tax discrete items in both the current and prior year quarters.</w:t>
      </w:r>
    </w:p>
    <w:p>
      <w:pPr>
        <w:spacing w:after="0" w:line="44" w:lineRule="exact"/>
        <w:rPr>
          <w:rFonts w:ascii="Arial" w:cs="Arial" w:eastAsia="Arial" w:hAnsi="Arial"/>
          <w:sz w:val="19"/>
          <w:szCs w:val="19"/>
          <w:color w:val="auto"/>
        </w:rPr>
      </w:pPr>
    </w:p>
    <w:p>
      <w:pPr>
        <w:jc w:val="both"/>
        <w:ind w:left="740" w:hanging="358"/>
        <w:spacing w:after="0" w:line="250" w:lineRule="auto"/>
        <w:tabs>
          <w:tab w:leader="none" w:pos="740" w:val="left"/>
        </w:tabs>
        <w:numPr>
          <w:ilvl w:val="0"/>
          <w:numId w:val="21"/>
        </w:numPr>
        <w:rPr>
          <w:rFonts w:ascii="Arial" w:cs="Arial" w:eastAsia="Arial" w:hAnsi="Arial"/>
          <w:sz w:val="20"/>
          <w:szCs w:val="20"/>
          <w:color w:val="auto"/>
        </w:rPr>
      </w:pPr>
      <w:r>
        <w:rPr>
          <w:rFonts w:ascii="Arial" w:cs="Arial" w:eastAsia="Arial" w:hAnsi="Arial"/>
          <w:sz w:val="20"/>
          <w:szCs w:val="20"/>
          <w:color w:val="auto"/>
        </w:rPr>
        <w:t>Ashland incurred pretax net interest and other expense of $3 million and $59 million for the three months ended June 30, 2023 and 2022, respectively. This includes a gain of $6 million and a loss of $48 million on restricted investments, respectively, for the current and prior year quarters.</w:t>
      </w:r>
    </w:p>
    <w:p>
      <w:pPr>
        <w:spacing w:after="0" w:line="77" w:lineRule="exact"/>
        <w:rPr>
          <w:rFonts w:ascii="Arial" w:cs="Arial" w:eastAsia="Arial" w:hAnsi="Arial"/>
          <w:sz w:val="20"/>
          <w:szCs w:val="20"/>
          <w:color w:val="auto"/>
        </w:rPr>
      </w:pPr>
    </w:p>
    <w:p>
      <w:pPr>
        <w:ind w:left="740" w:hanging="358"/>
        <w:spacing w:after="0" w:line="260" w:lineRule="auto"/>
        <w:tabs>
          <w:tab w:leader="none" w:pos="740" w:val="left"/>
        </w:tabs>
        <w:numPr>
          <w:ilvl w:val="0"/>
          <w:numId w:val="21"/>
        </w:numPr>
        <w:rPr>
          <w:rFonts w:ascii="Arial" w:cs="Arial" w:eastAsia="Arial" w:hAnsi="Arial"/>
          <w:sz w:val="20"/>
          <w:szCs w:val="20"/>
          <w:color w:val="auto"/>
        </w:rPr>
      </w:pPr>
      <w:r>
        <w:rPr>
          <w:rFonts w:ascii="Arial" w:cs="Arial" w:eastAsia="Arial" w:hAnsi="Arial"/>
          <w:sz w:val="20"/>
          <w:szCs w:val="20"/>
          <w:color w:val="auto"/>
        </w:rPr>
        <w:t>Other net periodic benefit loss resulted in losses of $2 million and $1 million during the three months ended June 30, 2023 and 2022, respectively.</w:t>
      </w:r>
    </w:p>
    <w:p>
      <w:pPr>
        <w:spacing w:after="0" w:line="68" w:lineRule="exact"/>
        <w:rPr>
          <w:rFonts w:ascii="Arial" w:cs="Arial" w:eastAsia="Arial" w:hAnsi="Arial"/>
          <w:sz w:val="20"/>
          <w:szCs w:val="20"/>
          <w:color w:val="auto"/>
        </w:rPr>
      </w:pPr>
    </w:p>
    <w:p>
      <w:pPr>
        <w:ind w:left="740" w:hanging="358"/>
        <w:spacing w:after="0"/>
        <w:tabs>
          <w:tab w:leader="none" w:pos="740" w:val="left"/>
        </w:tabs>
        <w:numPr>
          <w:ilvl w:val="0"/>
          <w:numId w:val="21"/>
        </w:numPr>
        <w:rPr>
          <w:rFonts w:ascii="Arial" w:cs="Arial" w:eastAsia="Arial" w:hAnsi="Arial"/>
          <w:sz w:val="19"/>
          <w:szCs w:val="19"/>
          <w:color w:val="auto"/>
        </w:rPr>
      </w:pPr>
      <w:r>
        <w:rPr>
          <w:rFonts w:ascii="Arial" w:cs="Arial" w:eastAsia="Arial" w:hAnsi="Arial"/>
          <w:sz w:val="19"/>
          <w:szCs w:val="19"/>
          <w:color w:val="auto"/>
        </w:rPr>
        <w:t>Operating income was $62 million and $112 million for the three months ended June 30, 2023 and 2022, respectively.</w:t>
      </w:r>
    </w:p>
    <w:p>
      <w:pPr>
        <w:spacing w:after="0" w:line="119" w:lineRule="exact"/>
        <w:rPr>
          <w:sz w:val="20"/>
          <w:szCs w:val="20"/>
          <w:color w:val="auto"/>
        </w:rPr>
      </w:pPr>
    </w:p>
    <w:p>
      <w:pPr>
        <w:ind w:left="380"/>
        <w:spacing w:after="0"/>
        <w:rPr>
          <w:sz w:val="20"/>
          <w:szCs w:val="20"/>
          <w:color w:val="auto"/>
        </w:rPr>
      </w:pPr>
      <w:r>
        <w:rPr>
          <w:rFonts w:ascii="Arial" w:cs="Arial" w:eastAsia="Arial" w:hAnsi="Arial"/>
          <w:sz w:val="20"/>
          <w:szCs w:val="20"/>
          <w:u w:val="single" w:color="auto"/>
          <w:color w:val="auto"/>
        </w:rPr>
        <w:t>Year-to-date</w:t>
      </w:r>
      <w:r>
        <w:rPr>
          <w:rFonts w:ascii="Arial" w:cs="Arial" w:eastAsia="Arial" w:hAnsi="Arial"/>
          <w:sz w:val="20"/>
          <w:szCs w:val="20"/>
          <w:color w:val="auto"/>
        </w:rPr>
        <w:t xml:space="preserve"> - Key financial results for the nine months ended June 30, 2023 and 2022 included the following:</w:t>
      </w:r>
    </w:p>
    <w:p>
      <w:pPr>
        <w:spacing w:after="0" w:line="108" w:lineRule="exact"/>
        <w:rPr>
          <w:sz w:val="20"/>
          <w:szCs w:val="20"/>
          <w:color w:val="auto"/>
        </w:rPr>
      </w:pPr>
    </w:p>
    <w:p>
      <w:pPr>
        <w:ind w:left="740" w:hanging="358"/>
        <w:spacing w:after="0" w:line="260" w:lineRule="auto"/>
        <w:tabs>
          <w:tab w:leader="none" w:pos="740" w:val="left"/>
        </w:tabs>
        <w:numPr>
          <w:ilvl w:val="0"/>
          <w:numId w:val="22"/>
        </w:numPr>
        <w:rPr>
          <w:rFonts w:ascii="Arial" w:cs="Arial" w:eastAsia="Arial" w:hAnsi="Arial"/>
          <w:sz w:val="20"/>
          <w:szCs w:val="20"/>
          <w:color w:val="auto"/>
        </w:rPr>
      </w:pPr>
      <w:r>
        <w:rPr>
          <w:rFonts w:ascii="Arial" w:cs="Arial" w:eastAsia="Arial" w:hAnsi="Arial"/>
          <w:sz w:val="20"/>
          <w:szCs w:val="20"/>
          <w:color w:val="auto"/>
        </w:rPr>
        <w:t>Ashland’s net income amounted to $182 million compared to $870 million for the nine months ended June 30, 2023 and 2022, respectively, or income of $3.35 and $15.28 diluted earnings per share, respectively.</w:t>
      </w:r>
    </w:p>
    <w:p>
      <w:pPr>
        <w:spacing w:after="0" w:line="68" w:lineRule="exact"/>
        <w:rPr>
          <w:rFonts w:ascii="Arial" w:cs="Arial" w:eastAsia="Arial" w:hAnsi="Arial"/>
          <w:sz w:val="20"/>
          <w:szCs w:val="20"/>
          <w:color w:val="auto"/>
        </w:rPr>
      </w:pPr>
    </w:p>
    <w:p>
      <w:pPr>
        <w:jc w:val="both"/>
        <w:ind w:left="740" w:hanging="358"/>
        <w:spacing w:after="0" w:line="250" w:lineRule="auto"/>
        <w:tabs>
          <w:tab w:leader="none" w:pos="740" w:val="left"/>
        </w:tabs>
        <w:numPr>
          <w:ilvl w:val="0"/>
          <w:numId w:val="22"/>
        </w:numPr>
        <w:rPr>
          <w:rFonts w:ascii="Arial" w:cs="Arial" w:eastAsia="Arial" w:hAnsi="Arial"/>
          <w:sz w:val="20"/>
          <w:szCs w:val="20"/>
          <w:color w:val="auto"/>
        </w:rPr>
      </w:pPr>
      <w:r>
        <w:rPr>
          <w:rFonts w:ascii="Arial" w:cs="Arial" w:eastAsia="Arial" w:hAnsi="Arial"/>
          <w:sz w:val="20"/>
          <w:szCs w:val="20"/>
          <w:color w:val="auto"/>
        </w:rPr>
        <w:t>Discontinued operations, which are reported net of taxes, resulted in income of $6 million and $749 million during the nine months ended June 30, 2023 and 2022, respectively. The prior year period includes a $732 million gain on the sale of the Performance Adhesives business segment.</w:t>
      </w:r>
    </w:p>
    <w:p>
      <w:pPr>
        <w:spacing w:after="0" w:line="77" w:lineRule="exact"/>
        <w:rPr>
          <w:rFonts w:ascii="Arial" w:cs="Arial" w:eastAsia="Arial" w:hAnsi="Arial"/>
          <w:sz w:val="20"/>
          <w:szCs w:val="20"/>
          <w:color w:val="auto"/>
        </w:rPr>
      </w:pPr>
    </w:p>
    <w:p>
      <w:pPr>
        <w:ind w:left="740" w:hanging="358"/>
        <w:spacing w:after="0" w:line="260" w:lineRule="auto"/>
        <w:tabs>
          <w:tab w:leader="none" w:pos="740" w:val="left"/>
        </w:tabs>
        <w:numPr>
          <w:ilvl w:val="0"/>
          <w:numId w:val="22"/>
        </w:numPr>
        <w:rPr>
          <w:rFonts w:ascii="Arial" w:cs="Arial" w:eastAsia="Arial" w:hAnsi="Arial"/>
          <w:sz w:val="20"/>
          <w:szCs w:val="20"/>
          <w:color w:val="auto"/>
        </w:rPr>
      </w:pPr>
      <w:r>
        <w:rPr>
          <w:rFonts w:ascii="Arial" w:cs="Arial" w:eastAsia="Arial" w:hAnsi="Arial"/>
          <w:sz w:val="20"/>
          <w:szCs w:val="20"/>
          <w:color w:val="auto"/>
        </w:rPr>
        <w:t>Income from continuing operations, which excludes results from discontinued operations, amounted to income of $176 million and $121 million for the nine months ended June 30, 2023 and 2022, respectively.</w:t>
      </w:r>
    </w:p>
    <w:p>
      <w:pPr>
        <w:spacing w:after="0" w:line="7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447" w:right="719" w:bottom="1440" w:gutter="0" w:footer="0" w:header="0"/>
        </w:sectPr>
      </w:pPr>
    </w:p>
    <w:bookmarkStart w:id="31" w:name="page32"/>
    <w:bookmarkEnd w:id="31"/>
    <w:p>
      <w:pPr>
        <w:ind w:left="360" w:hanging="358"/>
        <w:spacing w:after="0" w:line="287" w:lineRule="auto"/>
        <w:tabs>
          <w:tab w:leader="none" w:pos="360" w:val="left"/>
        </w:tabs>
        <w:numPr>
          <w:ilvl w:val="0"/>
          <w:numId w:val="23"/>
        </w:numPr>
        <w:rPr>
          <w:rFonts w:ascii="Arial" w:cs="Arial" w:eastAsia="Arial" w:hAnsi="Arial"/>
          <w:sz w:val="19"/>
          <w:szCs w:val="19"/>
          <w:color w:val="auto"/>
        </w:rPr>
      </w:pPr>
      <w:r>
        <w:rPr>
          <w:rFonts w:ascii="Arial" w:cs="Arial" w:eastAsia="Arial" w:hAnsi="Arial"/>
          <w:sz w:val="19"/>
          <w:szCs w:val="19"/>
          <w:color w:val="auto"/>
        </w:rPr>
        <w:t>The effective income tax rates were an expense of 11% and 17% for the nine months ended June 30, 2023 and 2022, respectively, and were significantly impacted by certain tax discrete items in both the current and prior year periods.</w:t>
      </w:r>
    </w:p>
    <w:p>
      <w:pPr>
        <w:spacing w:after="0" w:line="44" w:lineRule="exact"/>
        <w:rPr>
          <w:rFonts w:ascii="Arial" w:cs="Arial" w:eastAsia="Arial" w:hAnsi="Arial"/>
          <w:sz w:val="19"/>
          <w:szCs w:val="19"/>
          <w:color w:val="auto"/>
        </w:rPr>
      </w:pPr>
    </w:p>
    <w:p>
      <w:pPr>
        <w:jc w:val="both"/>
        <w:ind w:left="360" w:hanging="358"/>
        <w:spacing w:after="0" w:line="250" w:lineRule="auto"/>
        <w:tabs>
          <w:tab w:leader="none" w:pos="3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Ashland incurred pretax net interest and other income of $21 million and expense $108 million for the nine months ended June 30, 2023 and 2022, respectively. This includes a gain of $47 million and a loss of $72 million on restricted investments, respectively, for the current and prior year periods.</w:t>
      </w:r>
    </w:p>
    <w:p>
      <w:pPr>
        <w:spacing w:after="0" w:line="77" w:lineRule="exact"/>
        <w:rPr>
          <w:rFonts w:ascii="Arial" w:cs="Arial" w:eastAsia="Arial" w:hAnsi="Arial"/>
          <w:sz w:val="20"/>
          <w:szCs w:val="20"/>
          <w:color w:val="auto"/>
        </w:rPr>
      </w:pPr>
    </w:p>
    <w:p>
      <w:pPr>
        <w:ind w:left="360" w:hanging="358"/>
        <w:spacing w:after="0" w:line="260" w:lineRule="auto"/>
        <w:tabs>
          <w:tab w:leader="none" w:pos="3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Other net periodic benefit loss resulted in a loss of $6 million during the nine months ended June 30, 2023, and zero for the prior year period. See Note K for more information.</w:t>
      </w:r>
    </w:p>
    <w:p>
      <w:pPr>
        <w:spacing w:after="0" w:line="68" w:lineRule="exact"/>
        <w:rPr>
          <w:rFonts w:ascii="Arial" w:cs="Arial" w:eastAsia="Arial" w:hAnsi="Arial"/>
          <w:sz w:val="20"/>
          <w:szCs w:val="20"/>
          <w:color w:val="auto"/>
        </w:rPr>
      </w:pPr>
    </w:p>
    <w:p>
      <w:pPr>
        <w:ind w:left="360" w:hanging="358"/>
        <w:spacing w:after="0"/>
        <w:tabs>
          <w:tab w:leader="none" w:pos="360" w:val="left"/>
        </w:tabs>
        <w:numPr>
          <w:ilvl w:val="0"/>
          <w:numId w:val="23"/>
        </w:numPr>
        <w:rPr>
          <w:rFonts w:ascii="Arial" w:cs="Arial" w:eastAsia="Arial" w:hAnsi="Arial"/>
          <w:sz w:val="19"/>
          <w:szCs w:val="19"/>
          <w:color w:val="auto"/>
        </w:rPr>
      </w:pPr>
      <w:r>
        <w:rPr>
          <w:rFonts w:ascii="Arial" w:cs="Arial" w:eastAsia="Arial" w:hAnsi="Arial"/>
          <w:sz w:val="19"/>
          <w:szCs w:val="19"/>
          <w:color w:val="auto"/>
        </w:rPr>
        <w:t>Operating income was $182 million and $254 million for the nine months ended June 30, 2023 and 2022, respectively.</w:t>
      </w:r>
    </w:p>
    <w:p>
      <w:pPr>
        <w:spacing w:after="0" w:line="11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For further information on the items reported above, see the discussion in the comparative Statements of Consolidated Comprehensive Income (Loss) caption review analysis.</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Operating income</w:t>
      </w:r>
    </w:p>
    <w:p>
      <w:pPr>
        <w:spacing w:after="0" w:line="10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u w:val="single" w:color="auto"/>
          <w:color w:val="auto"/>
        </w:rPr>
        <w:t>Current Quarter</w:t>
      </w:r>
      <w:r>
        <w:rPr>
          <w:rFonts w:ascii="Arial" w:cs="Arial" w:eastAsia="Arial" w:hAnsi="Arial"/>
          <w:sz w:val="20"/>
          <w:szCs w:val="20"/>
          <w:color w:val="auto"/>
        </w:rPr>
        <w:t xml:space="preserve"> - Operating income amounted to $62 million and $112 million for the three months ended June 30, 2023 and 2022, respectively. The current and prior year quarters’ operating income included certain key items that were excluded to arrive at Adjusted EBITDA and are quantified in the table below in the “EBITDA and Adjusted EBITDA” section. These operating key items for the applicable periods are summarized as follows:</w:t>
      </w:r>
    </w:p>
    <w:p>
      <w:pPr>
        <w:spacing w:after="0" w:line="83" w:lineRule="exact"/>
        <w:rPr>
          <w:sz w:val="20"/>
          <w:szCs w:val="20"/>
          <w:color w:val="auto"/>
        </w:rPr>
      </w:pPr>
    </w:p>
    <w:p>
      <w:pPr>
        <w:jc w:val="both"/>
        <w:ind w:left="360" w:hanging="358"/>
        <w:spacing w:after="0" w:line="282" w:lineRule="auto"/>
        <w:tabs>
          <w:tab w:leader="none" w:pos="3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Restructuring, separation and other costs – Ashland periodically implements cost reduction programs related to acquisitions, divestitures and other cost reduction programs in order to enhance profitability through streamlined operations and an improved overall cost structure. Ashland often incurs severance, facility and integration costs associated with these programs. See Note D in the Notes to Condensed Consolidated Financial Statements for further information on the restructuring activities.</w:t>
      </w:r>
    </w:p>
    <w:p>
      <w:pPr>
        <w:spacing w:after="0" w:line="53" w:lineRule="exact"/>
        <w:rPr>
          <w:rFonts w:ascii="Arial" w:cs="Arial" w:eastAsia="Arial" w:hAnsi="Arial"/>
          <w:sz w:val="18"/>
          <w:szCs w:val="18"/>
          <w:color w:val="auto"/>
        </w:rPr>
      </w:pPr>
    </w:p>
    <w:p>
      <w:pPr>
        <w:jc w:val="both"/>
        <w:ind w:left="360" w:hanging="358"/>
        <w:spacing w:after="0" w:line="260" w:lineRule="auto"/>
        <w:tabs>
          <w:tab w:leader="none" w:pos="360" w:val="left"/>
        </w:tabs>
        <w:numPr>
          <w:ilvl w:val="0"/>
          <w:numId w:val="24"/>
        </w:numPr>
        <w:rPr>
          <w:rFonts w:ascii="Arial" w:cs="Arial" w:eastAsia="Arial" w:hAnsi="Arial"/>
          <w:sz w:val="19"/>
          <w:szCs w:val="19"/>
          <w:color w:val="auto"/>
        </w:rPr>
      </w:pPr>
      <w:r>
        <w:rPr>
          <w:rFonts w:ascii="Arial" w:cs="Arial" w:eastAsia="Arial" w:hAnsi="Arial"/>
          <w:sz w:val="19"/>
          <w:szCs w:val="19"/>
          <w:color w:val="auto"/>
        </w:rPr>
        <w:t>Environmental reserve adjustments – Ashland is subject to various federal, state and local environmental laws and regulations that require environmental assessment or remediation efforts (collectively environmental remediation) at multiple locations. As a result of these activities, Ashland recorded adjustments during the current and prior year quarters to its environmental liabilities and receivables primarily related to previously divested businesses or non-operational sites. See Note L of the Notes to Condensed Consolidated Financial Statements for more information.</w:t>
      </w:r>
    </w:p>
    <w:p>
      <w:pPr>
        <w:spacing w:after="0" w:line="72" w:lineRule="exact"/>
        <w:rPr>
          <w:rFonts w:ascii="Arial" w:cs="Arial" w:eastAsia="Arial" w:hAnsi="Arial"/>
          <w:sz w:val="19"/>
          <w:szCs w:val="19"/>
          <w:color w:val="auto"/>
        </w:rPr>
      </w:pPr>
    </w:p>
    <w:p>
      <w:pPr>
        <w:jc w:val="both"/>
        <w:ind w:left="360" w:hanging="358"/>
        <w:spacing w:after="0" w:line="259" w:lineRule="auto"/>
        <w:tabs>
          <w:tab w:leader="none" w:pos="360" w:val="left"/>
        </w:tabs>
        <w:numPr>
          <w:ilvl w:val="0"/>
          <w:numId w:val="24"/>
        </w:numPr>
        <w:rPr>
          <w:rFonts w:ascii="Arial" w:cs="Arial" w:eastAsia="Arial" w:hAnsi="Arial"/>
          <w:sz w:val="19"/>
          <w:szCs w:val="19"/>
          <w:color w:val="auto"/>
        </w:rPr>
      </w:pPr>
      <w:r>
        <w:rPr>
          <w:rFonts w:ascii="Arial" w:cs="Arial" w:eastAsia="Arial" w:hAnsi="Arial"/>
          <w:sz w:val="19"/>
          <w:szCs w:val="19"/>
          <w:color w:val="auto"/>
        </w:rPr>
        <w:t>ICMS Brazil tax credit – In 2017, the Federal Supreme Court of Brazil ruled in a leading case that a Brazil value-added tax (ICMS) should not be included in the base used to calculate a taxpayer's federal contribution on total revenue known as PIS/COFINS (2017 Decision). Following favorable court rulings from lawsuits previously filed by two of Ashland's Brazilian subsidiaries challenging the inclusion of ICMS in Ashland's calculation of PIS/COFINS, Ashland received acknowledgment from the Brazilian tax authorities that allows Ashland to begin the process to recover the taxes. See Note L of the Notes to Condensed Consolidated Financial Statements for more information.</w:t>
      </w:r>
    </w:p>
    <w:p>
      <w:pPr>
        <w:spacing w:after="0" w:line="70" w:lineRule="exact"/>
        <w:rPr>
          <w:rFonts w:ascii="Arial" w:cs="Arial" w:eastAsia="Arial" w:hAnsi="Arial"/>
          <w:sz w:val="19"/>
          <w:szCs w:val="19"/>
          <w:color w:val="auto"/>
        </w:rPr>
      </w:pPr>
    </w:p>
    <w:p>
      <w:pPr>
        <w:jc w:val="both"/>
        <w:ind w:left="360" w:hanging="358"/>
        <w:spacing w:after="0" w:line="250" w:lineRule="auto"/>
        <w:tabs>
          <w:tab w:leader="none" w:pos="3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Gain on acquisitions and divestitures – Ashland recorded income of $35 million during the three months ended June 30, 2022, related to the sale of excess land during the three months ended June 30, 2022. See Note B of the Notes to Condensed Consolidated Financial Statements for more information.</w:t>
      </w:r>
    </w:p>
    <w:p>
      <w:pPr>
        <w:spacing w:after="0" w:line="7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Operating income for the three months ended June 30, 2023 and 2022 included depreciation and amortization of $62 million and $61 million, respectively.</w:t>
      </w:r>
    </w:p>
    <w:p>
      <w:pPr>
        <w:spacing w:after="0" w:line="6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u w:val="single" w:color="auto"/>
          <w:color w:val="auto"/>
        </w:rPr>
        <w:t>Year-to-date</w:t>
      </w:r>
      <w:r>
        <w:rPr>
          <w:rFonts w:ascii="Arial" w:cs="Arial" w:eastAsia="Arial" w:hAnsi="Arial"/>
          <w:sz w:val="20"/>
          <w:szCs w:val="20"/>
          <w:color w:val="auto"/>
        </w:rPr>
        <w:t xml:space="preserve"> - Operating income amounted to $182 million and $254 million for the nine months ended June 30, 2023 and 2022, respectively. The current and prior year periods' operating income included certain key items that were excluded to arrive at Adjusted EBITDA and are quantified in the table below in the “EBITDA and Adjusted EBITDA” section. These operating key items for the applicable periods are summarized as follows:</w:t>
      </w:r>
    </w:p>
    <w:p>
      <w:pPr>
        <w:spacing w:after="0" w:line="83" w:lineRule="exact"/>
        <w:rPr>
          <w:sz w:val="20"/>
          <w:szCs w:val="20"/>
          <w:color w:val="auto"/>
        </w:rPr>
      </w:pPr>
    </w:p>
    <w:p>
      <w:pPr>
        <w:jc w:val="both"/>
        <w:ind w:left="360" w:hanging="358"/>
        <w:spacing w:after="0" w:line="250" w:lineRule="auto"/>
        <w:tabs>
          <w:tab w:leader="none" w:pos="360" w:val="left"/>
        </w:tabs>
        <w:numPr>
          <w:ilvl w:val="0"/>
          <w:numId w:val="25"/>
        </w:numPr>
        <w:rPr>
          <w:rFonts w:ascii="Arial" w:cs="Arial" w:eastAsia="Arial" w:hAnsi="Arial"/>
          <w:sz w:val="20"/>
          <w:szCs w:val="20"/>
          <w:color w:val="auto"/>
        </w:rPr>
      </w:pPr>
      <w:r>
        <w:rPr>
          <w:rFonts w:ascii="Arial" w:cs="Arial" w:eastAsia="Arial" w:hAnsi="Arial"/>
          <w:sz w:val="20"/>
          <w:szCs w:val="20"/>
          <w:color w:val="auto"/>
        </w:rPr>
        <w:t>Restructuring, separation and other costs – Ashland periodically implements cost reduction programs related to acquisitions, divestitures and other cost reduction programs in order to enhance profitability through streamlined operations and an improved overall cost structure. Ashland often incurs severance, facility and</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447" w:right="719" w:bottom="1440" w:gutter="0" w:footer="0" w:header="0"/>
        </w:sectPr>
      </w:pPr>
    </w:p>
    <w:bookmarkStart w:id="32" w:name="page33"/>
    <w:bookmarkEnd w:id="32"/>
    <w:p>
      <w:pPr>
        <w:ind w:left="360"/>
        <w:spacing w:after="0" w:line="260" w:lineRule="auto"/>
        <w:rPr>
          <w:sz w:val="20"/>
          <w:szCs w:val="20"/>
          <w:color w:val="auto"/>
        </w:rPr>
      </w:pPr>
      <w:r>
        <w:rPr>
          <w:rFonts w:ascii="Arial" w:cs="Arial" w:eastAsia="Arial" w:hAnsi="Arial"/>
          <w:sz w:val="20"/>
          <w:szCs w:val="20"/>
          <w:color w:val="auto"/>
        </w:rPr>
        <w:t>integration costs associated with these programs. See Note D in the Notes to Condensed Consolidated Financial Statements for further information on the restructuring activities.</w:t>
      </w:r>
    </w:p>
    <w:p>
      <w:pPr>
        <w:spacing w:after="0" w:line="69" w:lineRule="exact"/>
        <w:rPr>
          <w:sz w:val="20"/>
          <w:szCs w:val="20"/>
          <w:color w:val="auto"/>
        </w:rPr>
      </w:pPr>
    </w:p>
    <w:p>
      <w:pPr>
        <w:jc w:val="both"/>
        <w:ind w:left="360" w:hanging="358"/>
        <w:spacing w:after="0" w:line="250" w:lineRule="auto"/>
        <w:tabs>
          <w:tab w:leader="none" w:pos="360" w:val="left"/>
        </w:tabs>
        <w:numPr>
          <w:ilvl w:val="0"/>
          <w:numId w:val="26"/>
        </w:numPr>
        <w:rPr>
          <w:rFonts w:ascii="Arial" w:cs="Arial" w:eastAsia="Arial" w:hAnsi="Arial"/>
          <w:sz w:val="20"/>
          <w:szCs w:val="20"/>
          <w:color w:val="auto"/>
        </w:rPr>
      </w:pPr>
      <w:r>
        <w:rPr>
          <w:rFonts w:ascii="Arial" w:cs="Arial" w:eastAsia="Arial" w:hAnsi="Arial"/>
          <w:sz w:val="20"/>
          <w:szCs w:val="20"/>
          <w:color w:val="auto"/>
        </w:rPr>
        <w:t>Asset impairments - During the nine months ended June 30, 2023, Ashland incurred an impairment charge associated with the sale of a Specialty Additives manufacturing facility. See Note B of the Notes to Condensed Consolidated Financial Statements for more information.</w:t>
      </w:r>
    </w:p>
    <w:p>
      <w:pPr>
        <w:spacing w:after="0" w:line="77" w:lineRule="exact"/>
        <w:rPr>
          <w:rFonts w:ascii="Arial" w:cs="Arial" w:eastAsia="Arial" w:hAnsi="Arial"/>
          <w:sz w:val="20"/>
          <w:szCs w:val="20"/>
          <w:color w:val="auto"/>
        </w:rPr>
      </w:pPr>
    </w:p>
    <w:p>
      <w:pPr>
        <w:jc w:val="both"/>
        <w:ind w:left="360" w:hanging="358"/>
        <w:spacing w:after="0" w:line="260" w:lineRule="auto"/>
        <w:tabs>
          <w:tab w:leader="none" w:pos="360" w:val="left"/>
        </w:tabs>
        <w:numPr>
          <w:ilvl w:val="0"/>
          <w:numId w:val="26"/>
        </w:numPr>
        <w:rPr>
          <w:rFonts w:ascii="Arial" w:cs="Arial" w:eastAsia="Arial" w:hAnsi="Arial"/>
          <w:sz w:val="19"/>
          <w:szCs w:val="19"/>
          <w:color w:val="auto"/>
        </w:rPr>
      </w:pPr>
      <w:r>
        <w:rPr>
          <w:rFonts w:ascii="Arial" w:cs="Arial" w:eastAsia="Arial" w:hAnsi="Arial"/>
          <w:sz w:val="19"/>
          <w:szCs w:val="19"/>
          <w:color w:val="auto"/>
        </w:rPr>
        <w:t>Environmental reserve adjustments – Ashland is subject to various federal, state and local environmental laws and regulations that require environmental assessment or remediation efforts (collectively environmental remediation) at multiple locations. As a result of these activities, Ashland recorded adjustments during the current and prior year periods to its environmental liabilities and receivables primarily related to previously divested businesses or non-operational sites. See Note L of the Notes to Condensed Consolidated Financial Statements for more information.</w:t>
      </w:r>
    </w:p>
    <w:p>
      <w:pPr>
        <w:spacing w:after="0" w:line="72" w:lineRule="exact"/>
        <w:rPr>
          <w:rFonts w:ascii="Arial" w:cs="Arial" w:eastAsia="Arial" w:hAnsi="Arial"/>
          <w:sz w:val="19"/>
          <w:szCs w:val="19"/>
          <w:color w:val="auto"/>
        </w:rPr>
      </w:pPr>
    </w:p>
    <w:p>
      <w:pPr>
        <w:jc w:val="both"/>
        <w:ind w:left="360" w:hanging="358"/>
        <w:spacing w:after="0" w:line="259" w:lineRule="auto"/>
        <w:tabs>
          <w:tab w:leader="none" w:pos="360" w:val="left"/>
        </w:tabs>
        <w:numPr>
          <w:ilvl w:val="0"/>
          <w:numId w:val="26"/>
        </w:numPr>
        <w:rPr>
          <w:rFonts w:ascii="Arial" w:cs="Arial" w:eastAsia="Arial" w:hAnsi="Arial"/>
          <w:sz w:val="19"/>
          <w:szCs w:val="19"/>
          <w:color w:val="auto"/>
        </w:rPr>
      </w:pPr>
      <w:r>
        <w:rPr>
          <w:rFonts w:ascii="Arial" w:cs="Arial" w:eastAsia="Arial" w:hAnsi="Arial"/>
          <w:sz w:val="19"/>
          <w:szCs w:val="19"/>
          <w:color w:val="auto"/>
        </w:rPr>
        <w:t>ICMS Brazil tax credit – In 2017, the Federal Supreme Court of Brazil ruled in a leading case that a Brazil value-added tax (ICMS) should not be included in the base used to calculate a taxpayer's federal contribution on total revenue known as PIS/COFINS (2017 Decision). Following favorable court rulings from lawsuits previously filed by two of Ashland's Brazilian subsidiaries challenging the inclusion of ICMS in Ashland's calculation of PIS/COFINS, Ashland received acknowledgment from the Brazilian tax authorities that allows Ashland to begin the process to recover the taxes. See Note L of the Notes to Condensed Consolidated Financial Statements for more information.</w:t>
      </w:r>
    </w:p>
    <w:p>
      <w:pPr>
        <w:spacing w:after="0" w:line="70" w:lineRule="exact"/>
        <w:rPr>
          <w:rFonts w:ascii="Arial" w:cs="Arial" w:eastAsia="Arial" w:hAnsi="Arial"/>
          <w:sz w:val="19"/>
          <w:szCs w:val="19"/>
          <w:color w:val="auto"/>
        </w:rPr>
      </w:pPr>
    </w:p>
    <w:p>
      <w:pPr>
        <w:jc w:val="both"/>
        <w:ind w:left="360" w:hanging="358"/>
        <w:spacing w:after="0" w:line="250" w:lineRule="auto"/>
        <w:tabs>
          <w:tab w:leader="none" w:pos="360" w:val="left"/>
        </w:tabs>
        <w:numPr>
          <w:ilvl w:val="0"/>
          <w:numId w:val="26"/>
        </w:numPr>
        <w:rPr>
          <w:rFonts w:ascii="Arial" w:cs="Arial" w:eastAsia="Arial" w:hAnsi="Arial"/>
          <w:sz w:val="20"/>
          <w:szCs w:val="20"/>
          <w:color w:val="auto"/>
        </w:rPr>
      </w:pPr>
      <w:r>
        <w:rPr>
          <w:rFonts w:ascii="Arial" w:cs="Arial" w:eastAsia="Arial" w:hAnsi="Arial"/>
          <w:sz w:val="20"/>
          <w:szCs w:val="20"/>
          <w:color w:val="auto"/>
        </w:rPr>
        <w:t>Gain on acquisitions and divestitures – Ashland recorded income of $42 million during the nine months ended June 30, 2022, related to the sale of excess land during the nine months ended June 30, 2022. See Note B of the Notes to Condensed Consolidated Financial Statements for more information.</w:t>
      </w:r>
    </w:p>
    <w:p>
      <w:pPr>
        <w:spacing w:after="0" w:line="7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Operating income for the nine months ended June 30, 2023 and 2022 included depreciation and amortization of $181 million and $182 million, respectively.</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Statements of Consolidated Comprehensive Income (Loss) – caption review</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 comparative analysis of the Statements of Consolidated Comprehensive Income (Loss) by caption is provided as follows for the three and nine months ended June 30, 2023 and 2022.</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250"/>
        </w:trPr>
        <w:tc>
          <w:tcPr>
            <w:tcW w:w="2880" w:type="dxa"/>
            <w:vAlign w:val="bottom"/>
            <w:tcBorders>
              <w:top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2540" w:type="dxa"/>
            <w:vAlign w:val="bottom"/>
            <w:tcBorders>
              <w:top w:val="single" w:sz="8" w:color="auto"/>
              <w:bottom w:val="single" w:sz="8" w:color="auto"/>
            </w:tcBorders>
            <w:gridSpan w:val="4"/>
          </w:tcPr>
          <w:p>
            <w:pPr>
              <w:jc w:val="right"/>
              <w:ind w:right="10"/>
              <w:spacing w:after="0"/>
              <w:rPr>
                <w:sz w:val="20"/>
                <w:szCs w:val="20"/>
                <w:color w:val="auto"/>
              </w:rPr>
            </w:pPr>
            <w:r>
              <w:rPr>
                <w:rFonts w:ascii="Arial" w:cs="Arial" w:eastAsia="Arial" w:hAnsi="Arial"/>
                <w:sz w:val="18"/>
                <w:szCs w:val="18"/>
                <w:color w:val="auto"/>
              </w:rPr>
              <w:t>Three months ended June 30</w:t>
            </w:r>
          </w:p>
        </w:tc>
        <w:tc>
          <w:tcPr>
            <w:tcW w:w="78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2560" w:type="dxa"/>
            <w:vAlign w:val="bottom"/>
            <w:tcBorders>
              <w:top w:val="single" w:sz="8" w:color="auto"/>
              <w:bottom w:val="single" w:sz="8" w:color="auto"/>
            </w:tcBorders>
            <w:gridSpan w:val="4"/>
          </w:tcPr>
          <w:p>
            <w:pPr>
              <w:jc w:val="right"/>
              <w:ind w:right="30"/>
              <w:spacing w:after="0"/>
              <w:rPr>
                <w:sz w:val="20"/>
                <w:szCs w:val="20"/>
                <w:color w:val="auto"/>
              </w:rPr>
            </w:pPr>
            <w:r>
              <w:rPr>
                <w:rFonts w:ascii="Arial" w:cs="Arial" w:eastAsia="Arial" w:hAnsi="Arial"/>
                <w:sz w:val="18"/>
                <w:szCs w:val="18"/>
                <w:color w:val="auto"/>
              </w:rPr>
              <w:t>Nine months ended June 30</w:t>
            </w:r>
          </w:p>
        </w:tc>
        <w:tc>
          <w:tcPr>
            <w:tcW w:w="800" w:type="dxa"/>
            <w:vAlign w:val="bottom"/>
            <w:tcBorders>
              <w:top w:val="single" w:sz="8" w:color="auto"/>
              <w:bottom w:val="single" w:sz="8" w:color="auto"/>
            </w:tcBorders>
          </w:tcPr>
          <w:p>
            <w:pPr>
              <w:spacing w:after="0"/>
              <w:rPr>
                <w:sz w:val="21"/>
                <w:szCs w:val="21"/>
                <w:color w:val="auto"/>
              </w:rPr>
            </w:pPr>
          </w:p>
        </w:tc>
      </w:tr>
      <w:tr>
        <w:trPr>
          <w:trHeight w:val="237"/>
        </w:trPr>
        <w:tc>
          <w:tcPr>
            <w:tcW w:w="2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2023</w:t>
            </w:r>
          </w:p>
        </w:tc>
        <w:tc>
          <w:tcPr>
            <w:tcW w:w="5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2022</w:t>
            </w:r>
          </w:p>
        </w:tc>
        <w:tc>
          <w:tcPr>
            <w:tcW w:w="4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Change</w:t>
            </w:r>
          </w:p>
        </w:tc>
        <w:tc>
          <w:tcPr>
            <w:tcW w:w="1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2023</w:t>
            </w:r>
          </w:p>
        </w:tc>
        <w:tc>
          <w:tcPr>
            <w:tcW w:w="5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2022</w:t>
            </w:r>
          </w:p>
        </w:tc>
        <w:tc>
          <w:tcPr>
            <w:tcW w:w="4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Change</w:t>
            </w:r>
          </w:p>
        </w:tc>
      </w:tr>
      <w:tr>
        <w:trPr>
          <w:trHeight w:val="243"/>
        </w:trPr>
        <w:tc>
          <w:tcPr>
            <w:tcW w:w="28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Sales</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546</w:t>
            </w:r>
          </w:p>
        </w:tc>
        <w:tc>
          <w:tcPr>
            <w:tcW w:w="5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644</w:t>
            </w:r>
          </w:p>
        </w:tc>
        <w:tc>
          <w:tcPr>
            <w:tcW w:w="48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(98 )  $</w:t>
            </w:r>
          </w:p>
        </w:tc>
        <w:tc>
          <w:tcPr>
            <w:tcW w:w="8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1,674</w:t>
            </w:r>
          </w:p>
        </w:tc>
        <w:tc>
          <w:tcPr>
            <w:tcW w:w="50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1,759</w:t>
            </w:r>
          </w:p>
        </w:tc>
        <w:tc>
          <w:tcPr>
            <w:tcW w:w="4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(85 )</w:t>
            </w:r>
          </w:p>
        </w:tc>
      </w:tr>
    </w:tbl>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the change in sales for the three and nine months ended June 30, 2023 and 2022.</w:t>
      </w:r>
    </w:p>
    <w:p>
      <w:pPr>
        <w:spacing w:after="0" w:line="168" w:lineRule="exact"/>
        <w:rPr>
          <w:sz w:val="20"/>
          <w:szCs w:val="20"/>
          <w:color w:val="auto"/>
        </w:rPr>
      </w:pPr>
    </w:p>
    <w:tbl>
      <w:tblPr>
        <w:tblLayout w:type="fixed"/>
        <w:tblInd w:w="20" w:type="dxa"/>
        <w:tblCellMar>
          <w:top w:w="0" w:type="dxa"/>
          <w:left w:w="0" w:type="dxa"/>
          <w:bottom w:w="0" w:type="dxa"/>
          <w:right w:w="0" w:type="dxa"/>
        </w:tblCellMar>
      </w:tblPr>
      <w:tr>
        <w:trPr>
          <w:trHeight w:val="244"/>
        </w:trPr>
        <w:tc>
          <w:tcPr>
            <w:tcW w:w="626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8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89"/>
              </w:rPr>
              <w:t>Three months ended</w:t>
            </w:r>
          </w:p>
        </w:tc>
        <w:tc>
          <w:tcPr>
            <w:tcW w:w="2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82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2"/>
              </w:rPr>
              <w:t>Nine months ended</w:t>
            </w:r>
          </w:p>
        </w:tc>
      </w:tr>
      <w:tr>
        <w:trPr>
          <w:trHeight w:val="249"/>
        </w:trPr>
        <w:tc>
          <w:tcPr>
            <w:tcW w:w="6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16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June 30, 2023</w:t>
            </w:r>
          </w:p>
        </w:tc>
        <w:tc>
          <w:tcPr>
            <w:tcW w:w="2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June 30, 2023</w:t>
            </w:r>
          </w:p>
        </w:tc>
      </w:tr>
      <w:tr>
        <w:trPr>
          <w:trHeight w:val="243"/>
        </w:trPr>
        <w:tc>
          <w:tcPr>
            <w:tcW w:w="6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Volume</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(134 )</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(221 )</w:t>
            </w:r>
          </w:p>
        </w:tc>
      </w:tr>
      <w:tr>
        <w:trPr>
          <w:trHeight w:val="237"/>
        </w:trPr>
        <w:tc>
          <w:tcPr>
            <w:tcW w:w="6260" w:type="dxa"/>
            <w:vAlign w:val="bottom"/>
          </w:tcPr>
          <w:p>
            <w:pPr>
              <w:ind w:left="20"/>
              <w:spacing w:after="0"/>
              <w:rPr>
                <w:sz w:val="20"/>
                <w:szCs w:val="20"/>
                <w:color w:val="auto"/>
              </w:rPr>
            </w:pPr>
            <w:r>
              <w:rPr>
                <w:rFonts w:ascii="Arial" w:cs="Arial" w:eastAsia="Arial" w:hAnsi="Arial"/>
                <w:sz w:val="18"/>
                <w:szCs w:val="18"/>
                <w:color w:val="auto"/>
              </w:rPr>
              <w:t>Pricing</w:t>
            </w:r>
          </w:p>
        </w:tc>
        <w:tc>
          <w:tcPr>
            <w:tcW w:w="160" w:type="dxa"/>
            <w:vAlign w:val="bottom"/>
          </w:tcPr>
          <w:p>
            <w:pPr>
              <w:spacing w:after="0"/>
              <w:rPr>
                <w:sz w:val="20"/>
                <w:szCs w:val="20"/>
                <w:color w:val="auto"/>
              </w:rPr>
            </w:pPr>
          </w:p>
        </w:tc>
        <w:tc>
          <w:tcPr>
            <w:tcW w:w="1820" w:type="dxa"/>
            <w:vAlign w:val="bottom"/>
          </w:tcPr>
          <w:p>
            <w:pPr>
              <w:jc w:val="right"/>
              <w:ind w:right="50"/>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20" w:type="dxa"/>
            <w:vAlign w:val="bottom"/>
          </w:tcPr>
          <w:p>
            <w:pPr>
              <w:jc w:val="right"/>
              <w:ind w:right="50"/>
              <w:spacing w:after="0"/>
              <w:rPr>
                <w:sz w:val="20"/>
                <w:szCs w:val="20"/>
                <w:color w:val="auto"/>
              </w:rPr>
            </w:pPr>
            <w:r>
              <w:rPr>
                <w:rFonts w:ascii="Arial" w:cs="Arial" w:eastAsia="Arial" w:hAnsi="Arial"/>
                <w:sz w:val="18"/>
                <w:szCs w:val="18"/>
                <w:color w:val="auto"/>
              </w:rPr>
              <w:t>170</w:t>
            </w:r>
          </w:p>
        </w:tc>
      </w:tr>
      <w:tr>
        <w:trPr>
          <w:trHeight w:val="249"/>
        </w:trPr>
        <w:tc>
          <w:tcPr>
            <w:tcW w:w="6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Foreign currency exchange</w:t>
            </w:r>
          </w:p>
        </w:tc>
        <w:tc>
          <w:tcPr>
            <w:tcW w:w="160" w:type="dxa"/>
            <w:vAlign w:val="bottom"/>
            <w:tcBorders>
              <w:bottom w:val="single" w:sz="8" w:color="auto"/>
            </w:tcBorders>
            <w:shd w:val="clear" w:color="auto" w:fill="CFF0FC"/>
          </w:tcPr>
          <w:p>
            <w:pPr>
              <w:spacing w:after="0"/>
              <w:rPr>
                <w:sz w:val="21"/>
                <w:szCs w:val="21"/>
                <w:color w:val="auto"/>
              </w:rPr>
            </w:pPr>
          </w:p>
        </w:tc>
        <w:tc>
          <w:tcPr>
            <w:tcW w:w="18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(34 )</w:t>
            </w:r>
          </w:p>
        </w:tc>
      </w:tr>
      <w:tr>
        <w:trPr>
          <w:trHeight w:val="237"/>
        </w:trPr>
        <w:tc>
          <w:tcPr>
            <w:tcW w:w="6260" w:type="dxa"/>
            <w:vAlign w:val="bottom"/>
          </w:tcPr>
          <w:p>
            <w:pPr>
              <w:ind w:left="20"/>
              <w:spacing w:after="0"/>
              <w:rPr>
                <w:sz w:val="20"/>
                <w:szCs w:val="20"/>
                <w:color w:val="auto"/>
              </w:rPr>
            </w:pPr>
            <w:r>
              <w:rPr>
                <w:rFonts w:ascii="Arial" w:cs="Arial" w:eastAsia="Arial" w:hAnsi="Arial"/>
                <w:sz w:val="18"/>
                <w:szCs w:val="18"/>
                <w:color w:val="auto"/>
              </w:rPr>
              <w:t>Change in sales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(98 )</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(85 )</w:t>
            </w:r>
          </w:p>
        </w:tc>
      </w:tr>
      <w:tr>
        <w:trPr>
          <w:trHeight w:val="20"/>
        </w:trPr>
        <w:tc>
          <w:tcPr>
            <w:tcW w:w="6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5250180</wp:posOffset>
            </wp:positionH>
            <wp:positionV relativeFrom="paragraph">
              <wp:posOffset>-187960</wp:posOffset>
            </wp:positionV>
            <wp:extent cx="137160" cy="18859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37160" cy="188595"/>
                    </a:xfrm>
                    <a:prstGeom prst="rect">
                      <a:avLst/>
                    </a:prstGeom>
                    <a:noFill/>
                  </pic:spPr>
                </pic:pic>
              </a:graphicData>
            </a:graphic>
          </wp:anchor>
        </w:drawing>
      </w:r>
    </w:p>
    <w:p>
      <w:pPr>
        <w:spacing w:after="0" w:line="98" w:lineRule="exact"/>
        <w:rPr>
          <w:sz w:val="20"/>
          <w:szCs w:val="20"/>
          <w:color w:val="auto"/>
        </w:rPr>
      </w:pPr>
    </w:p>
    <w:p>
      <w:pPr>
        <w:jc w:val="both"/>
        <w:spacing w:after="0" w:line="291" w:lineRule="auto"/>
        <w:rPr>
          <w:sz w:val="20"/>
          <w:szCs w:val="20"/>
          <w:color w:val="auto"/>
        </w:rPr>
      </w:pPr>
      <w:r>
        <w:rPr>
          <w:rFonts w:ascii="Arial" w:cs="Arial" w:eastAsia="Arial" w:hAnsi="Arial"/>
          <w:sz w:val="18"/>
          <w:szCs w:val="18"/>
          <w:u w:val="single" w:color="auto"/>
          <w:color w:val="auto"/>
        </w:rPr>
        <w:t>Current Quarter</w:t>
      </w:r>
      <w:r>
        <w:rPr>
          <w:rFonts w:ascii="Arial" w:cs="Arial" w:eastAsia="Arial" w:hAnsi="Arial"/>
          <w:sz w:val="18"/>
          <w:szCs w:val="18"/>
          <w:color w:val="auto"/>
        </w:rPr>
        <w:t xml:space="preserve"> - Sales for the current quarter decreased $98 million compared to the prior year quarter. Lower sales volume primarily from customer de-stocking of $134 million was partially offset by favorable product pricing associated with cost inflation pricing actions and favorable foreign currency exchange, which increased sales by $33 million and $3 million, respectively.</w:t>
      </w:r>
    </w:p>
    <w:p>
      <w:pPr>
        <w:spacing w:after="0" w:line="44" w:lineRule="exact"/>
        <w:rPr>
          <w:sz w:val="20"/>
          <w:szCs w:val="20"/>
          <w:color w:val="auto"/>
        </w:rPr>
      </w:pPr>
    </w:p>
    <w:p>
      <w:pPr>
        <w:jc w:val="both"/>
        <w:spacing w:after="0" w:line="269" w:lineRule="auto"/>
        <w:rPr>
          <w:sz w:val="20"/>
          <w:szCs w:val="20"/>
          <w:color w:val="auto"/>
        </w:rPr>
      </w:pPr>
      <w:r>
        <w:rPr>
          <w:rFonts w:ascii="Arial" w:cs="Arial" w:eastAsia="Arial" w:hAnsi="Arial"/>
          <w:sz w:val="19"/>
          <w:szCs w:val="19"/>
          <w:u w:val="single" w:color="auto"/>
          <w:color w:val="auto"/>
        </w:rPr>
        <w:t>Year-to-date</w:t>
      </w:r>
      <w:r>
        <w:rPr>
          <w:rFonts w:ascii="Arial" w:cs="Arial" w:eastAsia="Arial" w:hAnsi="Arial"/>
          <w:sz w:val="19"/>
          <w:szCs w:val="19"/>
          <w:color w:val="auto"/>
        </w:rPr>
        <w:t xml:space="preserve"> - Sales for the current year decreased $85 million compared to the prior year period. Lower sales volume primarily from customer de-stocking of $221 million and unfavorable foreign currency exchange of $34 million were partially offset by favorable product pricing associated with cost inflation pricing actions which increased sales by $170 million.</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447" w:right="719" w:bottom="1440" w:gutter="0" w:footer="0" w:header="0"/>
        </w:sectPr>
      </w:pPr>
    </w:p>
    <w:bookmarkStart w:id="33" w:name="page34"/>
    <w:bookmarkEnd w:id="33"/>
    <w:tbl>
      <w:tblPr>
        <w:tblLayout w:type="fixed"/>
        <w:tblInd w:w="20" w:type="dxa"/>
        <w:tblCellMar>
          <w:top w:w="0" w:type="dxa"/>
          <w:left w:w="0" w:type="dxa"/>
          <w:bottom w:w="0" w:type="dxa"/>
          <w:right w:w="0" w:type="dxa"/>
        </w:tblCellMar>
      </w:tblPr>
      <w:tr>
        <w:trPr>
          <w:trHeight w:val="250"/>
        </w:trPr>
        <w:tc>
          <w:tcPr>
            <w:tcW w:w="422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3160" w:type="dxa"/>
            <w:vAlign w:val="bottom"/>
            <w:tcBorders>
              <w:top w:val="single" w:sz="8" w:color="auto"/>
            </w:tcBorders>
            <w:gridSpan w:val="7"/>
          </w:tcPr>
          <w:p>
            <w:pPr>
              <w:jc w:val="right"/>
              <w:ind w:right="920"/>
              <w:spacing w:after="0"/>
              <w:rPr>
                <w:sz w:val="20"/>
                <w:szCs w:val="20"/>
                <w:color w:val="auto"/>
              </w:rPr>
            </w:pPr>
            <w:r>
              <w:rPr>
                <w:rFonts w:ascii="Arial" w:cs="Arial" w:eastAsia="Arial" w:hAnsi="Arial"/>
                <w:sz w:val="18"/>
                <w:szCs w:val="18"/>
                <w:color w:val="auto"/>
                <w:w w:val="94"/>
              </w:rPr>
              <w:t>Three months ended June 30</w:t>
            </w:r>
          </w:p>
        </w:tc>
        <w:tc>
          <w:tcPr>
            <w:tcW w:w="2800" w:type="dxa"/>
            <w:vAlign w:val="bottom"/>
            <w:tcBorders>
              <w:top w:val="single" w:sz="8" w:color="auto"/>
            </w:tcBorders>
            <w:gridSpan w:val="4"/>
          </w:tcPr>
          <w:p>
            <w:pPr>
              <w:jc w:val="right"/>
              <w:ind w:right="490"/>
              <w:spacing w:after="0"/>
              <w:rPr>
                <w:sz w:val="20"/>
                <w:szCs w:val="20"/>
                <w:color w:val="auto"/>
              </w:rPr>
            </w:pPr>
            <w:r>
              <w:rPr>
                <w:rFonts w:ascii="Arial" w:cs="Arial" w:eastAsia="Arial" w:hAnsi="Arial"/>
                <w:sz w:val="18"/>
                <w:szCs w:val="18"/>
                <w:color w:val="auto"/>
                <w:w w:val="97"/>
              </w:rPr>
              <w:t>Nine months ended June 30</w:t>
            </w:r>
          </w:p>
        </w:tc>
      </w:tr>
      <w:tr>
        <w:trPr>
          <w:trHeight w:val="237"/>
        </w:trPr>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26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2023</w:t>
            </w:r>
          </w:p>
        </w:tc>
        <w:tc>
          <w:tcPr>
            <w:tcW w:w="3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2022</w:t>
            </w:r>
          </w:p>
        </w:tc>
        <w:tc>
          <w:tcPr>
            <w:tcW w:w="2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Change</w:t>
            </w:r>
          </w:p>
        </w:tc>
        <w:tc>
          <w:tcPr>
            <w:tcW w:w="120" w:type="dxa"/>
            <w:vAlign w:val="bottom"/>
            <w:tcBorders>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2023</w:t>
            </w:r>
          </w:p>
        </w:tc>
        <w:tc>
          <w:tcPr>
            <w:tcW w:w="10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2022</w:t>
            </w:r>
          </w:p>
        </w:tc>
        <w:tc>
          <w:tcPr>
            <w:tcW w:w="18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85"/>
              </w:rPr>
              <w:t>Change</w:t>
            </w:r>
          </w:p>
        </w:tc>
      </w:tr>
      <w:tr>
        <w:trPr>
          <w:trHeight w:val="243"/>
        </w:trPr>
        <w:tc>
          <w:tcPr>
            <w:tcW w:w="42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Cost of sales</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368</w:t>
            </w:r>
          </w:p>
        </w:tc>
        <w:tc>
          <w:tcPr>
            <w:tcW w:w="3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404</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(36 )  $</w:t>
            </w:r>
          </w:p>
        </w:tc>
        <w:tc>
          <w:tcPr>
            <w:tcW w:w="7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1,134</w:t>
            </w:r>
          </w:p>
        </w:tc>
        <w:tc>
          <w:tcPr>
            <w:tcW w:w="10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   1,139</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(5 )</w:t>
            </w:r>
          </w:p>
        </w:tc>
      </w:tr>
      <w:tr>
        <w:trPr>
          <w:trHeight w:val="257"/>
        </w:trPr>
        <w:tc>
          <w:tcPr>
            <w:tcW w:w="4220" w:type="dxa"/>
            <w:vAlign w:val="bottom"/>
          </w:tcPr>
          <w:p>
            <w:pPr>
              <w:ind w:left="20"/>
              <w:spacing w:after="0"/>
              <w:rPr>
                <w:sz w:val="20"/>
                <w:szCs w:val="20"/>
                <w:color w:val="auto"/>
              </w:rPr>
            </w:pPr>
            <w:r>
              <w:rPr>
                <w:rFonts w:ascii="Arial" w:cs="Arial" w:eastAsia="Arial" w:hAnsi="Arial"/>
                <w:sz w:val="18"/>
                <w:szCs w:val="18"/>
                <w:b w:val="1"/>
                <w:bCs w:val="1"/>
                <w:color w:val="auto"/>
              </w:rPr>
              <w:t>Gross profit as a percent of sales</w:t>
            </w:r>
          </w:p>
        </w:tc>
        <w:tc>
          <w:tcPr>
            <w:tcW w:w="2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32.6 %</w:t>
            </w:r>
          </w:p>
        </w:tc>
        <w:tc>
          <w:tcPr>
            <w:tcW w:w="3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37.3 %</w:t>
            </w: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32.3 %</w:t>
            </w:r>
          </w:p>
        </w:tc>
        <w:tc>
          <w:tcPr>
            <w:tcW w:w="1020" w:type="dxa"/>
            <w:vAlign w:val="bottom"/>
          </w:tcPr>
          <w:p>
            <w:pPr>
              <w:jc w:val="right"/>
              <w:spacing w:after="0"/>
              <w:rPr>
                <w:sz w:val="20"/>
                <w:szCs w:val="20"/>
                <w:color w:val="auto"/>
              </w:rPr>
            </w:pPr>
            <w:r>
              <w:rPr>
                <w:rFonts w:ascii="Arial" w:cs="Arial" w:eastAsia="Arial" w:hAnsi="Arial"/>
                <w:sz w:val="18"/>
                <w:szCs w:val="18"/>
                <w:color w:val="auto"/>
              </w:rPr>
              <w:t>35.2 %</w:t>
            </w: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r>
    </w:tbl>
    <w:p>
      <w:pPr>
        <w:spacing w:after="0" w:line="11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table provides a reconciliation of the change in cost of sales between the three and nine months ended June 30, 2023 and 2022.</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244"/>
        </w:trPr>
        <w:tc>
          <w:tcPr>
            <w:tcW w:w="626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8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89"/>
              </w:rPr>
              <w:t>Three months ended</w:t>
            </w:r>
          </w:p>
        </w:tc>
        <w:tc>
          <w:tcPr>
            <w:tcW w:w="2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82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2"/>
              </w:rPr>
              <w:t>Nine months ended</w:t>
            </w:r>
          </w:p>
        </w:tc>
      </w:tr>
      <w:tr>
        <w:trPr>
          <w:trHeight w:val="249"/>
        </w:trPr>
        <w:tc>
          <w:tcPr>
            <w:tcW w:w="6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16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June 30, 2023</w:t>
            </w:r>
          </w:p>
        </w:tc>
        <w:tc>
          <w:tcPr>
            <w:tcW w:w="2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June 30, 2023</w:t>
            </w:r>
          </w:p>
        </w:tc>
      </w:tr>
      <w:tr>
        <w:trPr>
          <w:trHeight w:val="243"/>
        </w:trPr>
        <w:tc>
          <w:tcPr>
            <w:tcW w:w="6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Changes in:</w:t>
            </w:r>
          </w:p>
        </w:tc>
        <w:tc>
          <w:tcPr>
            <w:tcW w:w="160" w:type="dxa"/>
            <w:vAlign w:val="bottom"/>
            <w:shd w:val="clear" w:color="auto" w:fill="CFF0FC"/>
          </w:tcPr>
          <w:p>
            <w:pPr>
              <w:spacing w:after="0"/>
              <w:rPr>
                <w:sz w:val="21"/>
                <w:szCs w:val="21"/>
                <w:color w:val="auto"/>
              </w:rPr>
            </w:pPr>
          </w:p>
        </w:tc>
        <w:tc>
          <w:tcPr>
            <w:tcW w:w="18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20" w:type="dxa"/>
            <w:vAlign w:val="bottom"/>
            <w:shd w:val="clear" w:color="auto" w:fill="CFF0FC"/>
          </w:tcPr>
          <w:p>
            <w:pPr>
              <w:spacing w:after="0"/>
              <w:rPr>
                <w:sz w:val="21"/>
                <w:szCs w:val="21"/>
                <w:color w:val="auto"/>
              </w:rPr>
            </w:pPr>
          </w:p>
        </w:tc>
      </w:tr>
      <w:tr>
        <w:trPr>
          <w:trHeight w:val="237"/>
        </w:trPr>
        <w:tc>
          <w:tcPr>
            <w:tcW w:w="6260" w:type="dxa"/>
            <w:vAlign w:val="bottom"/>
          </w:tcPr>
          <w:p>
            <w:pPr>
              <w:ind w:left="200"/>
              <w:spacing w:after="0"/>
              <w:rPr>
                <w:sz w:val="20"/>
                <w:szCs w:val="20"/>
                <w:color w:val="auto"/>
              </w:rPr>
            </w:pPr>
            <w:r>
              <w:rPr>
                <w:rFonts w:ascii="Arial" w:cs="Arial" w:eastAsia="Arial" w:hAnsi="Arial"/>
                <w:sz w:val="18"/>
                <w:szCs w:val="18"/>
                <w:color w:val="auto"/>
              </w:rPr>
              <w:t>Volume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(86 )</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(151 )</w:t>
            </w:r>
          </w:p>
        </w:tc>
      </w:tr>
      <w:tr>
        <w:trPr>
          <w:trHeight w:val="249"/>
        </w:trPr>
        <w:tc>
          <w:tcPr>
            <w:tcW w:w="62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Price/mix</w:t>
            </w:r>
          </w:p>
        </w:tc>
        <w:tc>
          <w:tcPr>
            <w:tcW w:w="160" w:type="dxa"/>
            <w:vAlign w:val="bottom"/>
            <w:shd w:val="clear" w:color="auto" w:fill="CFF0FC"/>
          </w:tcPr>
          <w:p>
            <w:pPr>
              <w:spacing w:after="0"/>
              <w:rPr>
                <w:sz w:val="21"/>
                <w:szCs w:val="21"/>
                <w:color w:val="auto"/>
              </w:rPr>
            </w:pPr>
          </w:p>
        </w:tc>
        <w:tc>
          <w:tcPr>
            <w:tcW w:w="18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32</w:t>
            </w:r>
          </w:p>
        </w:tc>
      </w:tr>
      <w:tr>
        <w:trPr>
          <w:trHeight w:val="237"/>
        </w:trPr>
        <w:tc>
          <w:tcPr>
            <w:tcW w:w="6260" w:type="dxa"/>
            <w:vAlign w:val="bottom"/>
          </w:tcPr>
          <w:p>
            <w:pPr>
              <w:ind w:left="200"/>
              <w:spacing w:after="0"/>
              <w:rPr>
                <w:sz w:val="20"/>
                <w:szCs w:val="20"/>
                <w:color w:val="auto"/>
              </w:rPr>
            </w:pPr>
            <w:r>
              <w:rPr>
                <w:rFonts w:ascii="Arial" w:cs="Arial" w:eastAsia="Arial" w:hAnsi="Arial"/>
                <w:sz w:val="18"/>
                <w:szCs w:val="18"/>
                <w:color w:val="auto"/>
              </w:rPr>
              <w:t>Foreign currency exchange</w:t>
            </w:r>
          </w:p>
        </w:tc>
        <w:tc>
          <w:tcPr>
            <w:tcW w:w="160" w:type="dxa"/>
            <w:vAlign w:val="bottom"/>
          </w:tcPr>
          <w:p>
            <w:pPr>
              <w:spacing w:after="0"/>
              <w:rPr>
                <w:sz w:val="20"/>
                <w:szCs w:val="20"/>
                <w:color w:val="auto"/>
              </w:rPr>
            </w:pPr>
          </w:p>
        </w:tc>
        <w:tc>
          <w:tcPr>
            <w:tcW w:w="182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(15 )</w:t>
            </w:r>
          </w:p>
        </w:tc>
      </w:tr>
      <w:tr>
        <w:trPr>
          <w:trHeight w:val="243"/>
        </w:trPr>
        <w:tc>
          <w:tcPr>
            <w:tcW w:w="62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Operating Costs</w:t>
            </w:r>
          </w:p>
        </w:tc>
        <w:tc>
          <w:tcPr>
            <w:tcW w:w="160" w:type="dxa"/>
            <w:vAlign w:val="bottom"/>
            <w:tcBorders>
              <w:bottom w:val="single" w:sz="8" w:color="auto"/>
            </w:tcBorders>
            <w:shd w:val="clear" w:color="auto" w:fill="CFF0FC"/>
          </w:tcPr>
          <w:p>
            <w:pPr>
              <w:spacing w:after="0"/>
              <w:rPr>
                <w:sz w:val="21"/>
                <w:szCs w:val="21"/>
                <w:color w:val="auto"/>
              </w:rPr>
            </w:pPr>
          </w:p>
        </w:tc>
        <w:tc>
          <w:tcPr>
            <w:tcW w:w="18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45</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8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129</w:t>
            </w:r>
          </w:p>
        </w:tc>
      </w:tr>
      <w:tr>
        <w:trPr>
          <w:trHeight w:val="243"/>
        </w:trPr>
        <w:tc>
          <w:tcPr>
            <w:tcW w:w="6260" w:type="dxa"/>
            <w:vAlign w:val="bottom"/>
          </w:tcPr>
          <w:p>
            <w:pPr>
              <w:ind w:left="20"/>
              <w:spacing w:after="0"/>
              <w:rPr>
                <w:sz w:val="20"/>
                <w:szCs w:val="20"/>
                <w:color w:val="auto"/>
              </w:rPr>
            </w:pPr>
            <w:r>
              <w:rPr>
                <w:rFonts w:ascii="Arial" w:cs="Arial" w:eastAsia="Arial" w:hAnsi="Arial"/>
                <w:sz w:val="18"/>
                <w:szCs w:val="18"/>
                <w:color w:val="auto"/>
              </w:rPr>
              <w:t>Change in cost of sales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(36 )</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(5 )</w:t>
            </w:r>
          </w:p>
        </w:tc>
      </w:tr>
      <w:tr>
        <w:trPr>
          <w:trHeight w:val="20"/>
        </w:trPr>
        <w:tc>
          <w:tcPr>
            <w:tcW w:w="6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5250180</wp:posOffset>
            </wp:positionH>
            <wp:positionV relativeFrom="paragraph">
              <wp:posOffset>-187960</wp:posOffset>
            </wp:positionV>
            <wp:extent cx="137160" cy="18859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37160" cy="188595"/>
                    </a:xfrm>
                    <a:prstGeom prst="rect">
                      <a:avLst/>
                    </a:prstGeom>
                    <a:noFill/>
                  </pic:spPr>
                </pic:pic>
              </a:graphicData>
            </a:graphic>
          </wp:anchor>
        </w:drawing>
      </w:r>
    </w:p>
    <w:p>
      <w:pPr>
        <w:spacing w:after="0" w:line="8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u w:val="single" w:color="auto"/>
          <w:color w:val="auto"/>
        </w:rPr>
        <w:t>Current Quarter</w:t>
      </w:r>
      <w:r>
        <w:rPr>
          <w:rFonts w:ascii="Arial" w:cs="Arial" w:eastAsia="Arial" w:hAnsi="Arial"/>
          <w:sz w:val="18"/>
          <w:szCs w:val="18"/>
          <w:color w:val="auto"/>
        </w:rPr>
        <w:t xml:space="preserve"> - Cost of sales for the current quarter decreased $36 million compared to the prior year quarter. Lower volume primarily from customer de-stocking decreased cost of sales by $86 million. This decrease was partially offset by higher product pricing associated with cost inflation, unfavorable foreign currency exchange and higher operating costs primarily associated with inventory control actions, which increased cost of sales by $4 million, $1 million, and $45 million, respectively. Gross profit as a percentage of sales decreased 4.7% primarily as a result of lower sales volume and higher operating costs.</w:t>
      </w:r>
    </w:p>
    <w:p>
      <w:pPr>
        <w:spacing w:after="0" w:line="5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u w:val="single" w:color="auto"/>
          <w:color w:val="auto"/>
        </w:rPr>
        <w:t>Year-to-date</w:t>
      </w:r>
      <w:r>
        <w:rPr>
          <w:rFonts w:ascii="Arial" w:cs="Arial" w:eastAsia="Arial" w:hAnsi="Arial"/>
          <w:sz w:val="20"/>
          <w:szCs w:val="20"/>
          <w:color w:val="auto"/>
        </w:rPr>
        <w:t xml:space="preserve"> - Cost of sales for the current year decreased $5 million compared to the prior year period. Lower volume primarily from customer de-stocking and favorable foreign currency exchange decreased cost of sales by $151 million and $15 million, respectively. This decrease was partially offset by higher product pricing associated with cost inflation, and higher operating costs, which includes costs associated with inventory control actions and inflation associated with plant manufacturing and shipping costs (as well as planned and unplanned plant shutdowns and maintenance), increased cost of sales by $32 million and $129 million, respectively. Gross profit as a percentage of sales decreased 2.9% primarily as a result of lower sales volume and higher operating costs.</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50"/>
        </w:trPr>
        <w:tc>
          <w:tcPr>
            <w:tcW w:w="422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3180" w:type="dxa"/>
            <w:vAlign w:val="bottom"/>
            <w:tcBorders>
              <w:top w:val="single" w:sz="8" w:color="auto"/>
            </w:tcBorders>
            <w:gridSpan w:val="7"/>
          </w:tcPr>
          <w:p>
            <w:pPr>
              <w:jc w:val="right"/>
              <w:ind w:right="940"/>
              <w:spacing w:after="0"/>
              <w:rPr>
                <w:sz w:val="20"/>
                <w:szCs w:val="20"/>
                <w:color w:val="auto"/>
              </w:rPr>
            </w:pPr>
            <w:r>
              <w:rPr>
                <w:rFonts w:ascii="Arial" w:cs="Arial" w:eastAsia="Arial" w:hAnsi="Arial"/>
                <w:sz w:val="18"/>
                <w:szCs w:val="18"/>
                <w:color w:val="auto"/>
                <w:w w:val="94"/>
              </w:rPr>
              <w:t>Three months ended June 30</w:t>
            </w:r>
          </w:p>
        </w:tc>
        <w:tc>
          <w:tcPr>
            <w:tcW w:w="2780" w:type="dxa"/>
            <w:vAlign w:val="bottom"/>
            <w:tcBorders>
              <w:top w:val="single" w:sz="8" w:color="auto"/>
            </w:tcBorders>
            <w:gridSpan w:val="5"/>
          </w:tcPr>
          <w:p>
            <w:pPr>
              <w:jc w:val="right"/>
              <w:ind w:right="490"/>
              <w:spacing w:after="0"/>
              <w:rPr>
                <w:sz w:val="20"/>
                <w:szCs w:val="20"/>
                <w:color w:val="auto"/>
              </w:rPr>
            </w:pPr>
            <w:r>
              <w:rPr>
                <w:rFonts w:ascii="Arial" w:cs="Arial" w:eastAsia="Arial" w:hAnsi="Arial"/>
                <w:sz w:val="18"/>
                <w:szCs w:val="18"/>
                <w:color w:val="auto"/>
                <w:w w:val="96"/>
              </w:rPr>
              <w:t>Nine months ended June 30</w:t>
            </w:r>
          </w:p>
        </w:tc>
      </w:tr>
      <w:tr>
        <w:trPr>
          <w:trHeight w:val="237"/>
        </w:trPr>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26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2023</w:t>
            </w:r>
          </w:p>
        </w:tc>
        <w:tc>
          <w:tcPr>
            <w:tcW w:w="3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2022</w:t>
            </w:r>
          </w:p>
        </w:tc>
        <w:tc>
          <w:tcPr>
            <w:tcW w:w="2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Change</w:t>
            </w:r>
          </w:p>
        </w:tc>
        <w:tc>
          <w:tcPr>
            <w:tcW w:w="120" w:type="dxa"/>
            <w:vAlign w:val="bottom"/>
            <w:tcBorders>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2023</w:t>
            </w:r>
          </w:p>
        </w:tc>
        <w:tc>
          <w:tcPr>
            <w:tcW w:w="2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2022</w:t>
            </w:r>
          </w:p>
        </w:tc>
        <w:tc>
          <w:tcPr>
            <w:tcW w:w="18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85"/>
              </w:rPr>
              <w:t>Change</w:t>
            </w:r>
          </w:p>
        </w:tc>
      </w:tr>
      <w:tr>
        <w:trPr>
          <w:trHeight w:val="243"/>
        </w:trPr>
        <w:tc>
          <w:tcPr>
            <w:tcW w:w="42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Selling, general and administrative expense</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84</w:t>
            </w:r>
          </w:p>
        </w:tc>
        <w:tc>
          <w:tcPr>
            <w:tcW w:w="3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127</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(43 )  $</w:t>
            </w:r>
          </w:p>
        </w:tc>
        <w:tc>
          <w:tcPr>
            <w:tcW w:w="7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256</w:t>
            </w:r>
          </w:p>
        </w:tc>
        <w:tc>
          <w:tcPr>
            <w:tcW w:w="2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299</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(43 )</w:t>
            </w:r>
          </w:p>
        </w:tc>
      </w:tr>
      <w:tr>
        <w:trPr>
          <w:trHeight w:val="257"/>
        </w:trPr>
        <w:tc>
          <w:tcPr>
            <w:tcW w:w="4220" w:type="dxa"/>
            <w:vAlign w:val="bottom"/>
          </w:tcPr>
          <w:p>
            <w:pPr>
              <w:ind w:left="20"/>
              <w:spacing w:after="0"/>
              <w:rPr>
                <w:sz w:val="20"/>
                <w:szCs w:val="20"/>
                <w:color w:val="auto"/>
              </w:rPr>
            </w:pPr>
            <w:r>
              <w:rPr>
                <w:rFonts w:ascii="Arial" w:cs="Arial" w:eastAsia="Arial" w:hAnsi="Arial"/>
                <w:sz w:val="18"/>
                <w:szCs w:val="18"/>
                <w:b w:val="1"/>
                <w:bCs w:val="1"/>
                <w:color w:val="auto"/>
              </w:rPr>
              <w:t>As a percent of sales</w:t>
            </w:r>
          </w:p>
        </w:tc>
        <w:tc>
          <w:tcPr>
            <w:tcW w:w="2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15.4 %</w:t>
            </w:r>
          </w:p>
        </w:tc>
        <w:tc>
          <w:tcPr>
            <w:tcW w:w="3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19.7 %</w:t>
            </w: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15.3 %</w:t>
            </w:r>
          </w:p>
        </w:tc>
        <w:tc>
          <w:tcPr>
            <w:tcW w:w="2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17.0 %</w:t>
            </w: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r>
    </w:tbl>
    <w:p>
      <w:pPr>
        <w:spacing w:after="0" w:line="11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u w:val="single" w:color="auto"/>
          <w:color w:val="auto"/>
        </w:rPr>
        <w:t>Current Quarter</w:t>
      </w:r>
      <w:r>
        <w:rPr>
          <w:rFonts w:ascii="Arial" w:cs="Arial" w:eastAsia="Arial" w:hAnsi="Arial"/>
          <w:sz w:val="20"/>
          <w:szCs w:val="20"/>
          <w:color w:val="auto"/>
        </w:rPr>
        <w:t xml:space="preserve"> - Selling, general and administrative expense for the current quarter decreased $43 million compared to the prior year quarter with expenses as a percent of sales decreasing 4.3 percentage points. Key drivers of the fluctuation in selling, general and administrative expense compared to the prior year quarter were:</w:t>
      </w:r>
    </w:p>
    <w:p>
      <w:pPr>
        <w:spacing w:after="0" w:line="78" w:lineRule="exact"/>
        <w:rPr>
          <w:sz w:val="20"/>
          <w:szCs w:val="20"/>
          <w:color w:val="auto"/>
        </w:rPr>
      </w:pPr>
    </w:p>
    <w:p>
      <w:pPr>
        <w:ind w:left="360" w:hanging="358"/>
        <w:spacing w:after="0" w:line="260" w:lineRule="auto"/>
        <w:tabs>
          <w:tab w:leader="none" w:pos="360" w:val="left"/>
        </w:tabs>
        <w:numPr>
          <w:ilvl w:val="0"/>
          <w:numId w:val="27"/>
        </w:numPr>
        <w:rPr>
          <w:rFonts w:ascii="Arial" w:cs="Arial" w:eastAsia="Arial" w:hAnsi="Arial"/>
          <w:sz w:val="20"/>
          <w:szCs w:val="20"/>
          <w:color w:val="auto"/>
        </w:rPr>
      </w:pPr>
      <w:r>
        <w:rPr>
          <w:rFonts w:ascii="Arial" w:cs="Arial" w:eastAsia="Arial" w:hAnsi="Arial"/>
          <w:sz w:val="20"/>
          <w:szCs w:val="20"/>
          <w:color w:val="auto"/>
        </w:rPr>
        <w:t>Expense of $3 million and $1 million during the three months ended June 30, 2023 and 2022, respectively, comprised of key items for severance, lease abandonment and other restructuring costs;</w:t>
      </w:r>
    </w:p>
    <w:p>
      <w:pPr>
        <w:spacing w:after="0" w:line="68" w:lineRule="exact"/>
        <w:rPr>
          <w:rFonts w:ascii="Arial" w:cs="Arial" w:eastAsia="Arial" w:hAnsi="Arial"/>
          <w:sz w:val="20"/>
          <w:szCs w:val="20"/>
          <w:color w:val="auto"/>
        </w:rPr>
      </w:pPr>
    </w:p>
    <w:p>
      <w:pPr>
        <w:ind w:left="360" w:hanging="358"/>
        <w:spacing w:after="0"/>
        <w:tabs>
          <w:tab w:leader="none" w:pos="360" w:val="left"/>
        </w:tabs>
        <w:numPr>
          <w:ilvl w:val="0"/>
          <w:numId w:val="27"/>
        </w:numPr>
        <w:rPr>
          <w:rFonts w:ascii="Arial" w:cs="Arial" w:eastAsia="Arial" w:hAnsi="Arial"/>
          <w:sz w:val="20"/>
          <w:szCs w:val="20"/>
          <w:color w:val="auto"/>
        </w:rPr>
      </w:pPr>
      <w:r>
        <w:rPr>
          <w:rFonts w:ascii="Arial" w:cs="Arial" w:eastAsia="Arial" w:hAnsi="Arial"/>
          <w:sz w:val="20"/>
          <w:szCs w:val="20"/>
          <w:color w:val="auto"/>
        </w:rPr>
        <w:t>$12 million gain associated with ICMS Brazil tax credit (see Note L for more information);</w:t>
      </w:r>
    </w:p>
    <w:p>
      <w:pPr>
        <w:spacing w:after="0" w:line="107" w:lineRule="exact"/>
        <w:rPr>
          <w:rFonts w:ascii="Arial" w:cs="Arial" w:eastAsia="Arial" w:hAnsi="Arial"/>
          <w:sz w:val="20"/>
          <w:szCs w:val="20"/>
          <w:color w:val="auto"/>
        </w:rPr>
      </w:pPr>
    </w:p>
    <w:p>
      <w:pPr>
        <w:ind w:left="360" w:hanging="358"/>
        <w:spacing w:after="0" w:line="260" w:lineRule="auto"/>
        <w:tabs>
          <w:tab w:leader="none" w:pos="360" w:val="left"/>
        </w:tabs>
        <w:numPr>
          <w:ilvl w:val="0"/>
          <w:numId w:val="27"/>
        </w:numPr>
        <w:rPr>
          <w:rFonts w:ascii="Arial" w:cs="Arial" w:eastAsia="Arial" w:hAnsi="Arial"/>
          <w:sz w:val="20"/>
          <w:szCs w:val="20"/>
          <w:color w:val="auto"/>
        </w:rPr>
      </w:pPr>
      <w:r>
        <w:rPr>
          <w:rFonts w:ascii="Arial" w:cs="Arial" w:eastAsia="Arial" w:hAnsi="Arial"/>
          <w:sz w:val="20"/>
          <w:szCs w:val="20"/>
          <w:color w:val="auto"/>
        </w:rPr>
        <w:t>$17 million and $36 million in net environmental-related expenses during the current and prior year quarter, respectively (see Note L for more information); and</w:t>
      </w:r>
    </w:p>
    <w:p>
      <w:pPr>
        <w:spacing w:after="0" w:line="68" w:lineRule="exact"/>
        <w:rPr>
          <w:rFonts w:ascii="Arial" w:cs="Arial" w:eastAsia="Arial" w:hAnsi="Arial"/>
          <w:sz w:val="20"/>
          <w:szCs w:val="20"/>
          <w:color w:val="auto"/>
        </w:rPr>
      </w:pPr>
    </w:p>
    <w:p>
      <w:pPr>
        <w:ind w:left="360" w:hanging="358"/>
        <w:spacing w:after="0"/>
        <w:tabs>
          <w:tab w:leader="none" w:pos="360" w:val="left"/>
        </w:tabs>
        <w:numPr>
          <w:ilvl w:val="0"/>
          <w:numId w:val="27"/>
        </w:numPr>
        <w:rPr>
          <w:rFonts w:ascii="Arial" w:cs="Arial" w:eastAsia="Arial" w:hAnsi="Arial"/>
          <w:sz w:val="20"/>
          <w:szCs w:val="20"/>
          <w:color w:val="auto"/>
        </w:rPr>
      </w:pPr>
      <w:r>
        <w:rPr>
          <w:rFonts w:ascii="Arial" w:cs="Arial" w:eastAsia="Arial" w:hAnsi="Arial"/>
          <w:sz w:val="20"/>
          <w:szCs w:val="20"/>
          <w:color w:val="auto"/>
        </w:rPr>
        <w:t>Decreased incentive accruals primarily making up the remaining change.</w:t>
      </w:r>
    </w:p>
    <w:p>
      <w:pPr>
        <w:spacing w:after="0" w:line="10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u w:val="single" w:color="auto"/>
          <w:color w:val="auto"/>
        </w:rPr>
        <w:t>Year-to-date</w:t>
      </w:r>
      <w:r>
        <w:rPr>
          <w:rFonts w:ascii="Arial" w:cs="Arial" w:eastAsia="Arial" w:hAnsi="Arial"/>
          <w:sz w:val="20"/>
          <w:szCs w:val="20"/>
          <w:color w:val="auto"/>
        </w:rPr>
        <w:t xml:space="preserve"> - Selling, general and administrative expense for the current period decreased $43 million compared to the prior year period with expenses as a percent of sales decreasing 1.7 percentage points. Key drivers of the fluctuation in selling, general and administrative expense compared to the prior year period were:</w:t>
      </w:r>
    </w:p>
    <w:p>
      <w:pPr>
        <w:spacing w:after="0" w:line="78" w:lineRule="exact"/>
        <w:rPr>
          <w:sz w:val="20"/>
          <w:szCs w:val="20"/>
          <w:color w:val="auto"/>
        </w:rPr>
      </w:pPr>
    </w:p>
    <w:p>
      <w:pPr>
        <w:ind w:left="360" w:hanging="358"/>
        <w:spacing w:after="0" w:line="260" w:lineRule="auto"/>
        <w:tabs>
          <w:tab w:leader="none" w:pos="360" w:val="left"/>
        </w:tabs>
        <w:numPr>
          <w:ilvl w:val="0"/>
          <w:numId w:val="28"/>
        </w:numPr>
        <w:rPr>
          <w:rFonts w:ascii="Arial" w:cs="Arial" w:eastAsia="Arial" w:hAnsi="Arial"/>
          <w:sz w:val="20"/>
          <w:szCs w:val="20"/>
          <w:color w:val="auto"/>
        </w:rPr>
      </w:pPr>
      <w:r>
        <w:rPr>
          <w:rFonts w:ascii="Arial" w:cs="Arial" w:eastAsia="Arial" w:hAnsi="Arial"/>
          <w:sz w:val="20"/>
          <w:szCs w:val="20"/>
          <w:color w:val="auto"/>
        </w:rPr>
        <w:t>Expense of $4 million and $3 million comprised of key items for severance, lease abandonment and other restructuring costs during the nine months ended June 30, 2023 and 2022, respectively;</w:t>
      </w:r>
    </w:p>
    <w:p>
      <w:pPr>
        <w:spacing w:after="0" w:line="68" w:lineRule="exact"/>
        <w:rPr>
          <w:rFonts w:ascii="Arial" w:cs="Arial" w:eastAsia="Arial" w:hAnsi="Arial"/>
          <w:sz w:val="20"/>
          <w:szCs w:val="20"/>
          <w:color w:val="auto"/>
        </w:rPr>
      </w:pPr>
    </w:p>
    <w:p>
      <w:pPr>
        <w:ind w:left="360" w:hanging="358"/>
        <w:spacing w:after="0"/>
        <w:tabs>
          <w:tab w:leader="none" w:pos="360" w:val="left"/>
        </w:tabs>
        <w:numPr>
          <w:ilvl w:val="0"/>
          <w:numId w:val="28"/>
        </w:numPr>
        <w:rPr>
          <w:rFonts w:ascii="Arial" w:cs="Arial" w:eastAsia="Arial" w:hAnsi="Arial"/>
          <w:sz w:val="19"/>
          <w:szCs w:val="19"/>
          <w:color w:val="auto"/>
        </w:rPr>
      </w:pPr>
      <w:r>
        <w:rPr>
          <w:rFonts w:ascii="Arial" w:cs="Arial" w:eastAsia="Arial" w:hAnsi="Arial"/>
          <w:sz w:val="19"/>
          <w:szCs w:val="19"/>
          <w:color w:val="auto"/>
        </w:rPr>
        <w:t>$4 million impairment charge in the current year associated with the sale of a Specialty Additives manufacturing facility.</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484" w:right="719" w:bottom="1440" w:gutter="0" w:footer="0" w:header="0"/>
        </w:sectPr>
      </w:pPr>
    </w:p>
    <w:bookmarkStart w:id="34" w:name="page35"/>
    <w:bookmarkEnd w:id="34"/>
    <w:p>
      <w:pPr>
        <w:ind w:left="360" w:hanging="358"/>
        <w:spacing w:after="0"/>
        <w:tabs>
          <w:tab w:leader="none" w:pos="3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$12 million gain associated with ICMS Brazil tax credit;</w:t>
      </w:r>
    </w:p>
    <w:p>
      <w:pPr>
        <w:spacing w:after="0" w:line="107" w:lineRule="exact"/>
        <w:rPr>
          <w:rFonts w:ascii="Arial" w:cs="Arial" w:eastAsia="Arial" w:hAnsi="Arial"/>
          <w:sz w:val="20"/>
          <w:szCs w:val="20"/>
          <w:color w:val="auto"/>
        </w:rPr>
      </w:pPr>
    </w:p>
    <w:p>
      <w:pPr>
        <w:ind w:left="360" w:hanging="358"/>
        <w:spacing w:after="0" w:line="260" w:lineRule="auto"/>
        <w:tabs>
          <w:tab w:leader="none" w:pos="3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$28 million and $48 million in net environmental-related expenses during the current and prior year period, respectively (see Note L for more information); and</w:t>
      </w:r>
    </w:p>
    <w:p>
      <w:pPr>
        <w:spacing w:after="0" w:line="68" w:lineRule="exact"/>
        <w:rPr>
          <w:rFonts w:ascii="Arial" w:cs="Arial" w:eastAsia="Arial" w:hAnsi="Arial"/>
          <w:sz w:val="20"/>
          <w:szCs w:val="20"/>
          <w:color w:val="auto"/>
        </w:rPr>
      </w:pPr>
    </w:p>
    <w:p>
      <w:pPr>
        <w:ind w:left="360" w:hanging="358"/>
        <w:spacing w:after="0"/>
        <w:tabs>
          <w:tab w:leader="none" w:pos="3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Decreased incentive accruals primarily making up the remaining change.</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250"/>
        </w:trPr>
        <w:tc>
          <w:tcPr>
            <w:tcW w:w="402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3280" w:type="dxa"/>
            <w:vAlign w:val="bottom"/>
            <w:tcBorders>
              <w:top w:val="single" w:sz="8" w:color="auto"/>
            </w:tcBorders>
            <w:gridSpan w:val="7"/>
          </w:tcPr>
          <w:p>
            <w:pPr>
              <w:jc w:val="right"/>
              <w:ind w:right="1020"/>
              <w:spacing w:after="0"/>
              <w:rPr>
                <w:sz w:val="20"/>
                <w:szCs w:val="20"/>
                <w:color w:val="auto"/>
              </w:rPr>
            </w:pPr>
            <w:r>
              <w:rPr>
                <w:rFonts w:ascii="Arial" w:cs="Arial" w:eastAsia="Arial" w:hAnsi="Arial"/>
                <w:sz w:val="18"/>
                <w:szCs w:val="18"/>
                <w:color w:val="auto"/>
                <w:w w:val="95"/>
              </w:rPr>
              <w:t>Three months ended June 30</w:t>
            </w:r>
          </w:p>
        </w:tc>
        <w:tc>
          <w:tcPr>
            <w:tcW w:w="2860" w:type="dxa"/>
            <w:vAlign w:val="bottom"/>
            <w:tcBorders>
              <w:top w:val="single" w:sz="8" w:color="auto"/>
            </w:tcBorders>
            <w:gridSpan w:val="5"/>
          </w:tcPr>
          <w:p>
            <w:pPr>
              <w:jc w:val="right"/>
              <w:ind w:right="550"/>
              <w:spacing w:after="0"/>
              <w:rPr>
                <w:sz w:val="20"/>
                <w:szCs w:val="20"/>
                <w:color w:val="auto"/>
              </w:rPr>
            </w:pPr>
            <w:r>
              <w:rPr>
                <w:rFonts w:ascii="Arial" w:cs="Arial" w:eastAsia="Arial" w:hAnsi="Arial"/>
                <w:sz w:val="18"/>
                <w:szCs w:val="18"/>
                <w:color w:val="auto"/>
                <w:w w:val="97"/>
              </w:rPr>
              <w:t>Nine months ended June 30</w:t>
            </w:r>
          </w:p>
        </w:tc>
      </w:tr>
      <w:tr>
        <w:trPr>
          <w:trHeight w:val="237"/>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2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2023</w:t>
            </w:r>
          </w:p>
        </w:tc>
        <w:tc>
          <w:tcPr>
            <w:tcW w:w="4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2022</w:t>
            </w:r>
          </w:p>
        </w:tc>
        <w:tc>
          <w:tcPr>
            <w:tcW w:w="3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8"/>
              </w:rPr>
              <w:t>Change</w:t>
            </w:r>
          </w:p>
        </w:tc>
        <w:tc>
          <w:tcPr>
            <w:tcW w:w="120" w:type="dxa"/>
            <w:vAlign w:val="bottom"/>
            <w:tcBorders>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2023</w:t>
            </w:r>
          </w:p>
        </w:tc>
        <w:tc>
          <w:tcPr>
            <w:tcW w:w="4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2022</w:t>
            </w:r>
          </w:p>
        </w:tc>
        <w:tc>
          <w:tcPr>
            <w:tcW w:w="3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5"/>
              </w:rPr>
              <w:t>Change</w:t>
            </w:r>
          </w:p>
        </w:tc>
      </w:tr>
      <w:tr>
        <w:trPr>
          <w:trHeight w:val="243"/>
        </w:trPr>
        <w:tc>
          <w:tcPr>
            <w:tcW w:w="40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Research and development expense</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12</w:t>
            </w:r>
          </w:p>
        </w:tc>
        <w:tc>
          <w:tcPr>
            <w:tcW w:w="4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(2 )  $</w:t>
            </w:r>
          </w:p>
        </w:tc>
        <w:tc>
          <w:tcPr>
            <w:tcW w:w="6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37</w:t>
            </w:r>
          </w:p>
        </w:tc>
        <w:tc>
          <w:tcPr>
            <w:tcW w:w="4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40</w:t>
            </w:r>
          </w:p>
        </w:tc>
        <w:tc>
          <w:tcPr>
            <w:tcW w:w="3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(3 )</w:t>
            </w:r>
          </w:p>
        </w:tc>
      </w:tr>
    </w:tbl>
    <w:p>
      <w:pPr>
        <w:spacing w:after="0" w:line="9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Current Quarter</w:t>
      </w:r>
      <w:r>
        <w:rPr>
          <w:rFonts w:ascii="Arial" w:cs="Arial" w:eastAsia="Arial" w:hAnsi="Arial"/>
          <w:sz w:val="20"/>
          <w:szCs w:val="20"/>
          <w:color w:val="auto"/>
        </w:rPr>
        <w:t xml:space="preserve"> - Research and development expense decreased primarily due to lower incentive accruals.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Year-to-date</w:t>
      </w:r>
      <w:r>
        <w:rPr>
          <w:rFonts w:ascii="Arial" w:cs="Arial" w:eastAsia="Arial" w:hAnsi="Arial"/>
          <w:sz w:val="20"/>
          <w:szCs w:val="20"/>
          <w:color w:val="auto"/>
        </w:rPr>
        <w:t xml:space="preserve"> - Research and development expense decreased primarily due to lower incentive accruals.</w:t>
      </w: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250"/>
        </w:trPr>
        <w:tc>
          <w:tcPr>
            <w:tcW w:w="4240" w:type="dxa"/>
            <w:vAlign w:val="bottom"/>
            <w:tcBorders>
              <w:top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3000" w:type="dxa"/>
            <w:vAlign w:val="bottom"/>
            <w:tcBorders>
              <w:top w:val="single" w:sz="8" w:color="auto"/>
              <w:bottom w:val="single" w:sz="8" w:color="auto"/>
            </w:tcBorders>
            <w:gridSpan w:val="5"/>
          </w:tcPr>
          <w:p>
            <w:pPr>
              <w:jc w:val="right"/>
              <w:ind w:right="590"/>
              <w:spacing w:after="0"/>
              <w:rPr>
                <w:sz w:val="20"/>
                <w:szCs w:val="20"/>
                <w:color w:val="auto"/>
              </w:rPr>
            </w:pPr>
            <w:r>
              <w:rPr>
                <w:rFonts w:ascii="Arial" w:cs="Arial" w:eastAsia="Arial" w:hAnsi="Arial"/>
                <w:sz w:val="18"/>
                <w:szCs w:val="18"/>
                <w:color w:val="auto"/>
                <w:w w:val="97"/>
              </w:rPr>
              <w:t>Three months ended June 30</w:t>
            </w:r>
          </w:p>
        </w:tc>
        <w:tc>
          <w:tcPr>
            <w:tcW w:w="12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2560" w:type="dxa"/>
            <w:vAlign w:val="bottom"/>
            <w:tcBorders>
              <w:top w:val="single" w:sz="8" w:color="auto"/>
              <w:bottom w:val="single" w:sz="8" w:color="auto"/>
            </w:tcBorders>
            <w:gridSpan w:val="5"/>
          </w:tcPr>
          <w:p>
            <w:pPr>
              <w:jc w:val="right"/>
              <w:ind w:right="350"/>
              <w:spacing w:after="0"/>
              <w:rPr>
                <w:sz w:val="20"/>
                <w:szCs w:val="20"/>
                <w:color w:val="auto"/>
              </w:rPr>
            </w:pPr>
            <w:r>
              <w:rPr>
                <w:rFonts w:ascii="Arial" w:cs="Arial" w:eastAsia="Arial" w:hAnsi="Arial"/>
                <w:sz w:val="18"/>
                <w:szCs w:val="18"/>
                <w:color w:val="auto"/>
                <w:w w:val="93"/>
              </w:rPr>
              <w:t>Nine months ended June 30</w:t>
            </w:r>
          </w:p>
        </w:tc>
      </w:tr>
      <w:tr>
        <w:trPr>
          <w:trHeight w:val="237"/>
        </w:trPr>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3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2023</w:t>
            </w:r>
          </w:p>
        </w:tc>
        <w:tc>
          <w:tcPr>
            <w:tcW w:w="4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2022</w:t>
            </w: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Change</w:t>
            </w: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2023</w:t>
            </w:r>
          </w:p>
        </w:tc>
        <w:tc>
          <w:tcPr>
            <w:tcW w:w="3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2022</w:t>
            </w:r>
          </w:p>
        </w:tc>
        <w:tc>
          <w:tcPr>
            <w:tcW w:w="2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5"/>
              </w:rPr>
              <w:t>Change</w:t>
            </w:r>
          </w:p>
        </w:tc>
      </w:tr>
      <w:tr>
        <w:trPr>
          <w:trHeight w:val="243"/>
        </w:trPr>
        <w:tc>
          <w:tcPr>
            <w:tcW w:w="42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Intangibles amortization expense</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24</w:t>
            </w:r>
          </w:p>
        </w:tc>
        <w:tc>
          <w:tcPr>
            <w:tcW w:w="4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23</w:t>
            </w: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w:t>
            </w:r>
          </w:p>
        </w:tc>
        <w:tc>
          <w:tcPr>
            <w:tcW w:w="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70</w:t>
            </w:r>
          </w:p>
        </w:tc>
        <w:tc>
          <w:tcPr>
            <w:tcW w:w="3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71</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(1 )</w:t>
            </w:r>
          </w:p>
        </w:tc>
      </w:tr>
    </w:tbl>
    <w:p>
      <w:pPr>
        <w:spacing w:after="0" w:line="9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Current Quarter</w:t>
      </w:r>
      <w:r>
        <w:rPr>
          <w:rFonts w:ascii="Arial" w:cs="Arial" w:eastAsia="Arial" w:hAnsi="Arial"/>
          <w:sz w:val="20"/>
          <w:szCs w:val="20"/>
          <w:color w:val="auto"/>
        </w:rPr>
        <w:t xml:space="preserve"> - Intangibles amortization expense is primarily consistent with the prior year quarter.</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Year-to-date</w:t>
      </w:r>
      <w:r>
        <w:rPr>
          <w:rFonts w:ascii="Arial" w:cs="Arial" w:eastAsia="Arial" w:hAnsi="Arial"/>
          <w:sz w:val="20"/>
          <w:szCs w:val="20"/>
          <w:color w:val="auto"/>
        </w:rPr>
        <w:t xml:space="preserve"> - Intangibles amortization expense is primarily consistent with the prior year quarter.</w:t>
      </w: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250"/>
        </w:trPr>
        <w:tc>
          <w:tcPr>
            <w:tcW w:w="4020" w:type="dxa"/>
            <w:vAlign w:val="bottom"/>
            <w:tcBorders>
              <w:top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2860" w:type="dxa"/>
            <w:vAlign w:val="bottom"/>
            <w:tcBorders>
              <w:top w:val="single" w:sz="8" w:color="auto"/>
              <w:bottom w:val="single" w:sz="8" w:color="auto"/>
            </w:tcBorders>
            <w:gridSpan w:val="7"/>
          </w:tcPr>
          <w:p>
            <w:pPr>
              <w:jc w:val="right"/>
              <w:ind w:right="510"/>
              <w:spacing w:after="0"/>
              <w:rPr>
                <w:sz w:val="20"/>
                <w:szCs w:val="20"/>
                <w:color w:val="auto"/>
              </w:rPr>
            </w:pPr>
            <w:r>
              <w:rPr>
                <w:rFonts w:ascii="Arial" w:cs="Arial" w:eastAsia="Arial" w:hAnsi="Arial"/>
                <w:sz w:val="18"/>
                <w:szCs w:val="18"/>
                <w:color w:val="auto"/>
                <w:w w:val="95"/>
              </w:rPr>
              <w:t>Three months ended June 30</w:t>
            </w:r>
          </w:p>
        </w:tc>
        <w:tc>
          <w:tcPr>
            <w:tcW w:w="120" w:type="dxa"/>
            <w:vAlign w:val="bottom"/>
            <w:tcBorders>
              <w:top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2860" w:type="dxa"/>
            <w:vAlign w:val="bottom"/>
            <w:tcBorders>
              <w:top w:val="single" w:sz="8" w:color="auto"/>
              <w:bottom w:val="single" w:sz="8" w:color="auto"/>
            </w:tcBorders>
            <w:gridSpan w:val="7"/>
          </w:tcPr>
          <w:p>
            <w:pPr>
              <w:jc w:val="right"/>
              <w:ind w:right="550"/>
              <w:spacing w:after="0"/>
              <w:rPr>
                <w:sz w:val="20"/>
                <w:szCs w:val="20"/>
                <w:color w:val="auto"/>
              </w:rPr>
            </w:pPr>
            <w:r>
              <w:rPr>
                <w:rFonts w:ascii="Arial" w:cs="Arial" w:eastAsia="Arial" w:hAnsi="Arial"/>
                <w:sz w:val="18"/>
                <w:szCs w:val="18"/>
                <w:color w:val="auto"/>
                <w:w w:val="97"/>
              </w:rPr>
              <w:t>Nine months ended June 30</w:t>
            </w:r>
          </w:p>
        </w:tc>
      </w:tr>
      <w:tr>
        <w:trPr>
          <w:trHeight w:val="237"/>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2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8"/>
              </w:rPr>
              <w:t>Change</w:t>
            </w: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2023</w:t>
            </w:r>
          </w:p>
        </w:tc>
        <w:tc>
          <w:tcPr>
            <w:tcW w:w="1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5"/>
              </w:rPr>
              <w:t>Change</w:t>
            </w:r>
          </w:p>
        </w:tc>
      </w:tr>
      <w:tr>
        <w:trPr>
          <w:trHeight w:val="243"/>
        </w:trPr>
        <w:tc>
          <w:tcPr>
            <w:tcW w:w="40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Equity and other income</w:t>
            </w:r>
          </w:p>
        </w:tc>
        <w:tc>
          <w:tcPr>
            <w:tcW w:w="28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r>
      <w:tr>
        <w:trPr>
          <w:trHeight w:val="243"/>
        </w:trPr>
        <w:tc>
          <w:tcPr>
            <w:tcW w:w="4020" w:type="dxa"/>
            <w:vAlign w:val="bottom"/>
          </w:tcPr>
          <w:p>
            <w:pPr>
              <w:ind w:left="200"/>
              <w:spacing w:after="0"/>
              <w:rPr>
                <w:sz w:val="20"/>
                <w:szCs w:val="20"/>
                <w:color w:val="auto"/>
              </w:rPr>
            </w:pPr>
            <w:r>
              <w:rPr>
                <w:rFonts w:ascii="Arial" w:cs="Arial" w:eastAsia="Arial" w:hAnsi="Arial"/>
                <w:sz w:val="18"/>
                <w:szCs w:val="18"/>
                <w:color w:val="auto"/>
              </w:rPr>
              <w:t>Other income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4</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3</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4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3</w:t>
            </w:r>
          </w:p>
        </w:tc>
      </w:tr>
      <w:tr>
        <w:trPr>
          <w:trHeight w:val="270"/>
        </w:trPr>
        <w:tc>
          <w:tcPr>
            <w:tcW w:w="402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3175635</wp:posOffset>
            </wp:positionH>
            <wp:positionV relativeFrom="paragraph">
              <wp:posOffset>-25400</wp:posOffset>
            </wp:positionV>
            <wp:extent cx="7747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3175635</wp:posOffset>
            </wp:positionH>
            <wp:positionV relativeFrom="paragraph">
              <wp:posOffset>-7620</wp:posOffset>
            </wp:positionV>
            <wp:extent cx="7747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3869690</wp:posOffset>
            </wp:positionH>
            <wp:positionV relativeFrom="paragraph">
              <wp:posOffset>-25400</wp:posOffset>
            </wp:positionV>
            <wp:extent cx="7747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3869690</wp:posOffset>
            </wp:positionH>
            <wp:positionV relativeFrom="paragraph">
              <wp:posOffset>-7620</wp:posOffset>
            </wp:positionV>
            <wp:extent cx="7747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4555490</wp:posOffset>
            </wp:positionH>
            <wp:positionV relativeFrom="paragraph">
              <wp:posOffset>-25400</wp:posOffset>
            </wp:positionV>
            <wp:extent cx="8572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4555490</wp:posOffset>
            </wp:positionH>
            <wp:positionV relativeFrom="paragraph">
              <wp:posOffset>-7620</wp:posOffset>
            </wp:positionV>
            <wp:extent cx="8572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5250180</wp:posOffset>
            </wp:positionH>
            <wp:positionV relativeFrom="paragraph">
              <wp:posOffset>-25400</wp:posOffset>
            </wp:positionV>
            <wp:extent cx="8572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5250180</wp:posOffset>
            </wp:positionH>
            <wp:positionV relativeFrom="paragraph">
              <wp:posOffset>-7620</wp:posOffset>
            </wp:positionV>
            <wp:extent cx="8572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5953125</wp:posOffset>
            </wp:positionH>
            <wp:positionV relativeFrom="paragraph">
              <wp:posOffset>-25400</wp:posOffset>
            </wp:positionV>
            <wp:extent cx="7747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5953125</wp:posOffset>
            </wp:positionH>
            <wp:positionV relativeFrom="paragraph">
              <wp:posOffset>-7620</wp:posOffset>
            </wp:positionV>
            <wp:extent cx="7747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Current Quarter</w:t>
      </w:r>
      <w:r>
        <w:rPr>
          <w:rFonts w:ascii="Arial" w:cs="Arial" w:eastAsia="Arial" w:hAnsi="Arial"/>
          <w:sz w:val="20"/>
          <w:szCs w:val="20"/>
          <w:color w:val="auto"/>
        </w:rPr>
        <w:t xml:space="preserve"> - Other income increased $3 million primarily related to China financial cash subsidies.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Year-to-date</w:t>
      </w:r>
      <w:r>
        <w:rPr>
          <w:rFonts w:ascii="Arial" w:cs="Arial" w:eastAsia="Arial" w:hAnsi="Arial"/>
          <w:sz w:val="20"/>
          <w:szCs w:val="20"/>
          <w:color w:val="auto"/>
        </w:rPr>
        <w:t xml:space="preserve"> - Other income increased $3 million primarily related to China financial cash subsidies.</w:t>
      </w: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250"/>
        </w:trPr>
        <w:tc>
          <w:tcPr>
            <w:tcW w:w="404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3260" w:type="dxa"/>
            <w:vAlign w:val="bottom"/>
            <w:tcBorders>
              <w:top w:val="single" w:sz="8" w:color="auto"/>
            </w:tcBorders>
            <w:gridSpan w:val="7"/>
          </w:tcPr>
          <w:p>
            <w:pPr>
              <w:jc w:val="right"/>
              <w:ind w:right="1000"/>
              <w:spacing w:after="0"/>
              <w:rPr>
                <w:sz w:val="20"/>
                <w:szCs w:val="20"/>
                <w:color w:val="auto"/>
              </w:rPr>
            </w:pPr>
            <w:r>
              <w:rPr>
                <w:rFonts w:ascii="Arial" w:cs="Arial" w:eastAsia="Arial" w:hAnsi="Arial"/>
                <w:sz w:val="18"/>
                <w:szCs w:val="18"/>
                <w:color w:val="auto"/>
                <w:w w:val="95"/>
              </w:rPr>
              <w:t>Three months ended June 30</w:t>
            </w:r>
          </w:p>
        </w:tc>
        <w:tc>
          <w:tcPr>
            <w:tcW w:w="2860" w:type="dxa"/>
            <w:vAlign w:val="bottom"/>
            <w:tcBorders>
              <w:top w:val="single" w:sz="8" w:color="auto"/>
            </w:tcBorders>
            <w:gridSpan w:val="5"/>
          </w:tcPr>
          <w:p>
            <w:pPr>
              <w:jc w:val="right"/>
              <w:ind w:right="530"/>
              <w:spacing w:after="0"/>
              <w:rPr>
                <w:sz w:val="20"/>
                <w:szCs w:val="20"/>
                <w:color w:val="auto"/>
              </w:rPr>
            </w:pPr>
            <w:r>
              <w:rPr>
                <w:rFonts w:ascii="Arial" w:cs="Arial" w:eastAsia="Arial" w:hAnsi="Arial"/>
                <w:sz w:val="18"/>
                <w:szCs w:val="18"/>
                <w:color w:val="auto"/>
                <w:w w:val="98"/>
              </w:rPr>
              <w:t>Nine months ended June 30</w:t>
            </w:r>
          </w:p>
        </w:tc>
      </w:tr>
      <w:tr>
        <w:trPr>
          <w:trHeight w:val="237"/>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2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2023</w:t>
            </w:r>
          </w:p>
        </w:tc>
        <w:tc>
          <w:tcPr>
            <w:tcW w:w="4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2022</w:t>
            </w:r>
          </w:p>
        </w:tc>
        <w:tc>
          <w:tcPr>
            <w:tcW w:w="3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8"/>
              </w:rPr>
              <w:t>Change</w:t>
            </w:r>
          </w:p>
        </w:tc>
        <w:tc>
          <w:tcPr>
            <w:tcW w:w="120" w:type="dxa"/>
            <w:vAlign w:val="bottom"/>
            <w:tcBorders>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2023</w:t>
            </w:r>
          </w:p>
        </w:tc>
        <w:tc>
          <w:tcPr>
            <w:tcW w:w="4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2022</w:t>
            </w:r>
          </w:p>
        </w:tc>
        <w:tc>
          <w:tcPr>
            <w:tcW w:w="3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5"/>
              </w:rPr>
              <w:t>Change</w:t>
            </w:r>
          </w:p>
        </w:tc>
      </w:tr>
      <w:tr>
        <w:trPr>
          <w:trHeight w:val="243"/>
        </w:trPr>
        <w:tc>
          <w:tcPr>
            <w:tcW w:w="40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Income on acquisitions and divestitures, net</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35</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(35 )  $</w:t>
            </w:r>
          </w:p>
        </w:tc>
        <w:tc>
          <w:tcPr>
            <w:tcW w:w="6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42</w:t>
            </w:r>
          </w:p>
        </w:tc>
        <w:tc>
          <w:tcPr>
            <w:tcW w:w="3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(42 )</w:t>
            </w:r>
          </w:p>
        </w:tc>
      </w:tr>
    </w:tbl>
    <w:p>
      <w:pPr>
        <w:spacing w:after="0" w:line="9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Current Quarter</w:t>
      </w:r>
      <w:r>
        <w:rPr>
          <w:rFonts w:ascii="Arial" w:cs="Arial" w:eastAsia="Arial" w:hAnsi="Arial"/>
          <w:sz w:val="20"/>
          <w:szCs w:val="20"/>
          <w:color w:val="auto"/>
        </w:rPr>
        <w:t xml:space="preserve"> - The activity in the prior year quarter was related to a gain on the sale of excess land.</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u w:val="single" w:color="auto"/>
          <w:color w:val="auto"/>
        </w:rPr>
        <w:t>Year-to-date</w:t>
      </w:r>
      <w:r>
        <w:rPr>
          <w:rFonts w:ascii="Arial" w:cs="Arial" w:eastAsia="Arial" w:hAnsi="Arial"/>
          <w:sz w:val="20"/>
          <w:szCs w:val="20"/>
          <w:color w:val="auto"/>
        </w:rPr>
        <w:t xml:space="preserve"> - The activity in the prior year was related to a gain on the sale of excess land. See Note B of the Notes to Condensed Consolidated Financial Statements for more information.</w:t>
      </w: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250"/>
        </w:trPr>
        <w:tc>
          <w:tcPr>
            <w:tcW w:w="438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2700" w:type="dxa"/>
            <w:vAlign w:val="bottom"/>
            <w:tcBorders>
              <w:top w:val="single" w:sz="8" w:color="auto"/>
              <w:bottom w:val="single" w:sz="8" w:color="auto"/>
            </w:tcBorders>
            <w:gridSpan w:val="7"/>
          </w:tcPr>
          <w:p>
            <w:pPr>
              <w:jc w:val="right"/>
              <w:ind w:right="410"/>
              <w:spacing w:after="0"/>
              <w:rPr>
                <w:sz w:val="20"/>
                <w:szCs w:val="20"/>
                <w:color w:val="auto"/>
              </w:rPr>
            </w:pPr>
            <w:r>
              <w:rPr>
                <w:rFonts w:ascii="Arial" w:cs="Arial" w:eastAsia="Arial" w:hAnsi="Arial"/>
                <w:sz w:val="18"/>
                <w:szCs w:val="18"/>
                <w:color w:val="auto"/>
                <w:w w:val="92"/>
              </w:rPr>
              <w:t>Three months ended June 30</w:t>
            </w:r>
          </w:p>
        </w:tc>
        <w:tc>
          <w:tcPr>
            <w:tcW w:w="140" w:type="dxa"/>
            <w:vAlign w:val="bottom"/>
            <w:tcBorders>
              <w:top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2720" w:type="dxa"/>
            <w:vAlign w:val="bottom"/>
            <w:tcBorders>
              <w:top w:val="single" w:sz="8" w:color="auto"/>
              <w:bottom w:val="single" w:sz="8" w:color="auto"/>
            </w:tcBorders>
            <w:gridSpan w:val="7"/>
          </w:tcPr>
          <w:p>
            <w:pPr>
              <w:jc w:val="right"/>
              <w:ind w:right="450"/>
              <w:spacing w:after="0"/>
              <w:rPr>
                <w:sz w:val="20"/>
                <w:szCs w:val="20"/>
                <w:color w:val="auto"/>
              </w:rPr>
            </w:pPr>
            <w:r>
              <w:rPr>
                <w:rFonts w:ascii="Arial" w:cs="Arial" w:eastAsia="Arial" w:hAnsi="Arial"/>
                <w:sz w:val="18"/>
                <w:szCs w:val="18"/>
                <w:color w:val="auto"/>
                <w:w w:val="95"/>
              </w:rPr>
              <w:t>Nine months ended June 30</w:t>
            </w:r>
          </w:p>
        </w:tc>
      </w:tr>
      <w:tr>
        <w:trPr>
          <w:trHeight w:val="237"/>
        </w:trPr>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2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2023</w:t>
            </w:r>
          </w:p>
        </w:tc>
        <w:tc>
          <w:tcPr>
            <w:tcW w:w="1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1"/>
              </w:rPr>
              <w:t>Change</w:t>
            </w:r>
          </w:p>
        </w:tc>
        <w:tc>
          <w:tcPr>
            <w:tcW w:w="1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2023</w:t>
            </w:r>
          </w:p>
        </w:tc>
        <w:tc>
          <w:tcPr>
            <w:tcW w:w="1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2022</w:t>
            </w: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1"/>
              </w:rPr>
              <w:t>Change</w:t>
            </w:r>
          </w:p>
        </w:tc>
      </w:tr>
      <w:tr>
        <w:trPr>
          <w:trHeight w:val="243"/>
        </w:trPr>
        <w:tc>
          <w:tcPr>
            <w:tcW w:w="43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interest and other expense (income)</w:t>
            </w:r>
          </w:p>
        </w:tc>
        <w:tc>
          <w:tcPr>
            <w:tcW w:w="2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r>
      <w:tr>
        <w:trPr>
          <w:trHeight w:val="237"/>
        </w:trPr>
        <w:tc>
          <w:tcPr>
            <w:tcW w:w="438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14</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14</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41</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47</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(6 )</w:t>
            </w:r>
          </w:p>
        </w:tc>
      </w:tr>
      <w:tr>
        <w:trPr>
          <w:trHeight w:val="249"/>
        </w:trPr>
        <w:tc>
          <w:tcPr>
            <w:tcW w:w="43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(2 )</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(2 )</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(9 )</w:t>
            </w: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(9 )</w:t>
            </w:r>
          </w:p>
        </w:tc>
      </w:tr>
      <w:tr>
        <w:trPr>
          <w:trHeight w:val="237"/>
        </w:trPr>
        <w:tc>
          <w:tcPr>
            <w:tcW w:w="4380" w:type="dxa"/>
            <w:vAlign w:val="bottom"/>
          </w:tcPr>
          <w:p>
            <w:pPr>
              <w:ind w:left="200"/>
              <w:spacing w:after="0"/>
              <w:rPr>
                <w:sz w:val="20"/>
                <w:szCs w:val="20"/>
                <w:color w:val="auto"/>
              </w:rPr>
            </w:pPr>
            <w:r>
              <w:rPr>
                <w:rFonts w:ascii="Arial" w:cs="Arial" w:eastAsia="Arial" w:hAnsi="Arial"/>
                <w:sz w:val="18"/>
                <w:szCs w:val="18"/>
                <w:color w:val="auto"/>
              </w:rPr>
              <w:t>Loss (income) from restricted investments</w:t>
            </w: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(10 )</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(55 )</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(57 )</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59</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(116 )</w:t>
            </w:r>
          </w:p>
        </w:tc>
      </w:tr>
      <w:tr>
        <w:trPr>
          <w:trHeight w:val="249"/>
        </w:trPr>
        <w:tc>
          <w:tcPr>
            <w:tcW w:w="43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 financing costs</w:t>
            </w:r>
          </w:p>
        </w:tc>
        <w:tc>
          <w:tcPr>
            <w:tcW w:w="24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w:t>
            </w:r>
          </w:p>
        </w:tc>
        <w:tc>
          <w:tcPr>
            <w:tcW w:w="1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w:t>
            </w:r>
          </w:p>
        </w:tc>
      </w:tr>
      <w:tr>
        <w:trPr>
          <w:trHeight w:val="230"/>
        </w:trPr>
        <w:tc>
          <w:tcPr>
            <w:tcW w:w="438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3</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59</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(56 )</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(21 )</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108</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(129 )</w:t>
            </w:r>
          </w:p>
        </w:tc>
      </w:tr>
      <w:tr>
        <w:trPr>
          <w:trHeight w:val="20"/>
        </w:trPr>
        <w:tc>
          <w:tcPr>
            <w:tcW w:w="4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3355340</wp:posOffset>
            </wp:positionH>
            <wp:positionV relativeFrom="paragraph">
              <wp:posOffset>-187960</wp:posOffset>
            </wp:positionV>
            <wp:extent cx="85725" cy="18859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4006850</wp:posOffset>
            </wp:positionH>
            <wp:positionV relativeFrom="paragraph">
              <wp:posOffset>-187960</wp:posOffset>
            </wp:positionV>
            <wp:extent cx="85725" cy="18859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4658360</wp:posOffset>
            </wp:positionH>
            <wp:positionV relativeFrom="paragraph">
              <wp:posOffset>-187960</wp:posOffset>
            </wp:positionV>
            <wp:extent cx="93980" cy="18859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5327015</wp:posOffset>
            </wp:positionH>
            <wp:positionV relativeFrom="paragraph">
              <wp:posOffset>-187960</wp:posOffset>
            </wp:positionV>
            <wp:extent cx="94615" cy="18859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94615" cy="188595"/>
                    </a:xfrm>
                    <a:prstGeom prst="rect">
                      <a:avLst/>
                    </a:prstGeom>
                    <a:noFill/>
                  </pic:spPr>
                </pic:pic>
              </a:graphicData>
            </a:graphic>
          </wp:anchor>
        </w:drawing>
        <w:drawing>
          <wp:anchor simplePos="0" relativeHeight="251657728" behindDoc="1" locked="0" layoutInCell="0" allowOverlap="1">
            <wp:simplePos x="0" y="0"/>
            <wp:positionH relativeFrom="column">
              <wp:posOffset>5987415</wp:posOffset>
            </wp:positionH>
            <wp:positionV relativeFrom="paragraph">
              <wp:posOffset>-187960</wp:posOffset>
            </wp:positionV>
            <wp:extent cx="94615" cy="18859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94615" cy="188595"/>
                    </a:xfrm>
                    <a:prstGeom prst="rect">
                      <a:avLst/>
                    </a:prstGeom>
                    <a:noFill/>
                  </pic:spPr>
                </pic:pic>
              </a:graphicData>
            </a:graphic>
          </wp:anchor>
        </w:drawing>
      </w:r>
    </w:p>
    <w:p>
      <w:pPr>
        <w:spacing w:after="0" w:line="71" w:lineRule="exact"/>
        <w:rPr>
          <w:sz w:val="20"/>
          <w:szCs w:val="20"/>
          <w:color w:val="auto"/>
        </w:rPr>
      </w:pPr>
    </w:p>
    <w:p>
      <w:pPr>
        <w:jc w:val="both"/>
        <w:spacing w:after="0" w:line="260" w:lineRule="auto"/>
        <w:rPr>
          <w:sz w:val="20"/>
          <w:szCs w:val="20"/>
          <w:color w:val="auto"/>
        </w:rPr>
      </w:pPr>
      <w:r>
        <w:rPr>
          <w:rFonts w:ascii="Arial" w:cs="Arial" w:eastAsia="Arial" w:hAnsi="Arial"/>
          <w:sz w:val="19"/>
          <w:szCs w:val="19"/>
          <w:u w:val="single" w:color="auto"/>
          <w:color w:val="auto"/>
        </w:rPr>
        <w:t>Current Quarter</w:t>
      </w:r>
      <w:r>
        <w:rPr>
          <w:rFonts w:ascii="Arial" w:cs="Arial" w:eastAsia="Arial" w:hAnsi="Arial"/>
          <w:sz w:val="19"/>
          <w:szCs w:val="19"/>
          <w:color w:val="auto"/>
        </w:rPr>
        <w:t xml:space="preserve"> - Net interest and other expense decreased by $56 million during the current quarter compared to the prior year quarter. Interest expense is primarily consistent during the current quarter compared to the prior year quarter. Interest income increased $2 million due to higher investment yields and higher cash balances. Restricted investments income of $10 million and losses of $45 million included realized gains of $6 million compared to losses $48 million for the three months ended June 30, 2023 and 2022, respectively. See Note E for more information on the restricted investments.</w:t>
      </w:r>
    </w:p>
    <w:p>
      <w:pPr>
        <w:spacing w:after="0" w:line="7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u w:val="single" w:color="auto"/>
          <w:color w:val="auto"/>
        </w:rPr>
        <w:t>Year-to-date</w:t>
      </w:r>
      <w:r>
        <w:rPr>
          <w:rFonts w:ascii="Arial" w:cs="Arial" w:eastAsia="Arial" w:hAnsi="Arial"/>
          <w:sz w:val="20"/>
          <w:szCs w:val="20"/>
          <w:color w:val="auto"/>
        </w:rPr>
        <w:t xml:space="preserve"> - Net interest and other expense decreased by $129 million during the current period compared to the prior year period. Interest expense decreased $6 million primarily due to lower debt levels during the current year compared to the prior year period. Interest income increased $9 million due to higher investment yields and higher cash balances. Restricted investments income of $57 million and losses of $59 million included realized gains of</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447" w:right="719" w:bottom="1440" w:gutter="0" w:footer="0" w:header="0"/>
        </w:sectPr>
      </w:pPr>
    </w:p>
    <w:bookmarkStart w:id="35" w:name="page36"/>
    <w:bookmarkEnd w:id="35"/>
    <w:p>
      <w:pPr>
        <w:jc w:val="both"/>
        <w:spacing w:after="0" w:line="260" w:lineRule="auto"/>
        <w:rPr>
          <w:sz w:val="20"/>
          <w:szCs w:val="20"/>
          <w:color w:val="auto"/>
        </w:rPr>
      </w:pPr>
      <w:r>
        <w:rPr>
          <w:rFonts w:ascii="Arial" w:cs="Arial" w:eastAsia="Arial" w:hAnsi="Arial"/>
          <w:sz w:val="20"/>
          <w:szCs w:val="20"/>
          <w:color w:val="auto"/>
        </w:rPr>
        <w:t>$47 million compared to losses of $72 million for the nine months ended June 30, 2023 and 2022, respectively. See Note E for more information on the restricted investments.</w:t>
      </w:r>
    </w:p>
    <w:p>
      <w:pPr>
        <w:spacing w:after="0" w:line="93" w:lineRule="exact"/>
        <w:rPr>
          <w:sz w:val="20"/>
          <w:szCs w:val="20"/>
          <w:color w:val="auto"/>
        </w:rPr>
      </w:pPr>
    </w:p>
    <w:tbl>
      <w:tblPr>
        <w:tblLayout w:type="fixed"/>
        <w:tblInd w:w="20" w:type="dxa"/>
        <w:tblCellMar>
          <w:top w:w="0" w:type="dxa"/>
          <w:left w:w="0" w:type="dxa"/>
          <w:bottom w:w="0" w:type="dxa"/>
          <w:right w:w="0" w:type="dxa"/>
        </w:tblCellMar>
      </w:tblPr>
      <w:tr>
        <w:trPr>
          <w:trHeight w:val="250"/>
        </w:trPr>
        <w:tc>
          <w:tcPr>
            <w:tcW w:w="448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2680" w:type="dxa"/>
            <w:vAlign w:val="bottom"/>
            <w:tcBorders>
              <w:top w:val="single" w:sz="8" w:color="auto"/>
              <w:bottom w:val="single" w:sz="8" w:color="auto"/>
            </w:tcBorders>
            <w:gridSpan w:val="5"/>
          </w:tcPr>
          <w:p>
            <w:pPr>
              <w:jc w:val="right"/>
              <w:ind w:right="390"/>
              <w:spacing w:after="0"/>
              <w:rPr>
                <w:sz w:val="20"/>
                <w:szCs w:val="20"/>
                <w:color w:val="auto"/>
              </w:rPr>
            </w:pPr>
            <w:r>
              <w:rPr>
                <w:rFonts w:ascii="Arial" w:cs="Arial" w:eastAsia="Arial" w:hAnsi="Arial"/>
                <w:sz w:val="18"/>
                <w:szCs w:val="18"/>
                <w:color w:val="auto"/>
                <w:w w:val="92"/>
              </w:rPr>
              <w:t>Three months ended June 30</w:t>
            </w:r>
          </w:p>
        </w:tc>
        <w:tc>
          <w:tcPr>
            <w:tcW w:w="1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2680" w:type="dxa"/>
            <w:vAlign w:val="bottom"/>
            <w:tcBorders>
              <w:top w:val="single" w:sz="8" w:color="auto"/>
              <w:bottom w:val="single" w:sz="8" w:color="auto"/>
            </w:tcBorders>
            <w:gridSpan w:val="5"/>
          </w:tcPr>
          <w:p>
            <w:pPr>
              <w:jc w:val="right"/>
              <w:ind w:right="430"/>
              <w:spacing w:after="0"/>
              <w:rPr>
                <w:sz w:val="20"/>
                <w:szCs w:val="20"/>
                <w:color w:val="auto"/>
              </w:rPr>
            </w:pPr>
            <w:r>
              <w:rPr>
                <w:rFonts w:ascii="Arial" w:cs="Arial" w:eastAsia="Arial" w:hAnsi="Arial"/>
                <w:sz w:val="18"/>
                <w:szCs w:val="18"/>
                <w:color w:val="auto"/>
                <w:w w:val="95"/>
              </w:rPr>
              <w:t>Nine months ended June 30</w:t>
            </w:r>
          </w:p>
        </w:tc>
      </w:tr>
      <w:tr>
        <w:trPr>
          <w:trHeight w:val="237"/>
        </w:trPr>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2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2023</w:t>
            </w:r>
          </w:p>
        </w:tc>
        <w:tc>
          <w:tcPr>
            <w:tcW w:w="3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2022</w:t>
            </w:r>
          </w:p>
        </w:tc>
        <w:tc>
          <w:tcPr>
            <w:tcW w:w="2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1"/>
              </w:rPr>
              <w:t>Change</w:t>
            </w: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2023</w:t>
            </w:r>
          </w:p>
        </w:tc>
        <w:tc>
          <w:tcPr>
            <w:tcW w:w="3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2022</w:t>
            </w:r>
          </w:p>
        </w:tc>
        <w:tc>
          <w:tcPr>
            <w:tcW w:w="2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8"/>
              </w:rPr>
              <w:t>Change</w:t>
            </w:r>
          </w:p>
        </w:tc>
      </w:tr>
      <w:tr>
        <w:trPr>
          <w:trHeight w:val="243"/>
        </w:trPr>
        <w:tc>
          <w:tcPr>
            <w:tcW w:w="44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Other net periodic benefit loss (income)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w:t>
            </w:r>
          </w:p>
        </w:tc>
        <w:tc>
          <w:tcPr>
            <w:tcW w:w="3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w:t>
            </w:r>
          </w:p>
        </w:tc>
        <w:tc>
          <w:tcPr>
            <w:tcW w:w="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6</w:t>
            </w:r>
          </w:p>
        </w:tc>
        <w:tc>
          <w:tcPr>
            <w:tcW w:w="3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w:t>
            </w:r>
          </w:p>
        </w:tc>
      </w:tr>
    </w:tbl>
    <w:p>
      <w:pPr>
        <w:spacing w:after="0" w:line="91" w:lineRule="exact"/>
        <w:rPr>
          <w:sz w:val="20"/>
          <w:szCs w:val="20"/>
          <w:color w:val="auto"/>
        </w:rPr>
      </w:pPr>
    </w:p>
    <w:p>
      <w:pPr>
        <w:jc w:val="both"/>
        <w:spacing w:after="0" w:line="287" w:lineRule="auto"/>
        <w:rPr>
          <w:sz w:val="20"/>
          <w:szCs w:val="20"/>
          <w:color w:val="auto"/>
        </w:rPr>
      </w:pPr>
      <w:r>
        <w:rPr>
          <w:rFonts w:ascii="Arial" w:cs="Arial" w:eastAsia="Arial" w:hAnsi="Arial"/>
          <w:sz w:val="19"/>
          <w:szCs w:val="19"/>
          <w:u w:val="single" w:color="auto"/>
          <w:color w:val="auto"/>
        </w:rPr>
        <w:t>Current Quarter</w:t>
      </w:r>
      <w:r>
        <w:rPr>
          <w:rFonts w:ascii="Arial" w:cs="Arial" w:eastAsia="Arial" w:hAnsi="Arial"/>
          <w:sz w:val="19"/>
          <w:szCs w:val="19"/>
          <w:color w:val="auto"/>
        </w:rPr>
        <w:t xml:space="preserve"> - Other net periodic benefit loss for the three months ended June 30, 2023 primarily included interest cost of $4 million which was partially offset by expected return on plan assets of $2 million. See Note K for more information.</w:t>
      </w:r>
    </w:p>
    <w:p>
      <w:pPr>
        <w:spacing w:after="0" w:line="44" w:lineRule="exact"/>
        <w:rPr>
          <w:sz w:val="20"/>
          <w:szCs w:val="20"/>
          <w:color w:val="auto"/>
        </w:rPr>
      </w:pPr>
    </w:p>
    <w:p>
      <w:pPr>
        <w:jc w:val="both"/>
        <w:spacing w:after="0" w:line="291" w:lineRule="auto"/>
        <w:rPr>
          <w:sz w:val="20"/>
          <w:szCs w:val="20"/>
          <w:color w:val="auto"/>
        </w:rPr>
      </w:pPr>
      <w:r>
        <w:rPr>
          <w:rFonts w:ascii="Arial" w:cs="Arial" w:eastAsia="Arial" w:hAnsi="Arial"/>
          <w:sz w:val="18"/>
          <w:szCs w:val="18"/>
          <w:u w:val="single" w:color="auto"/>
          <w:color w:val="auto"/>
        </w:rPr>
        <w:t>Year-to-date</w:t>
      </w:r>
      <w:r>
        <w:rPr>
          <w:rFonts w:ascii="Arial" w:cs="Arial" w:eastAsia="Arial" w:hAnsi="Arial"/>
          <w:sz w:val="18"/>
          <w:szCs w:val="18"/>
          <w:color w:val="auto"/>
        </w:rPr>
        <w:t xml:space="preserve"> - Other net periodic benefit loss for the nine months ended June 30, 2023 primarily included interest cost of $11 million which was partially offset by expected return on plan assets of $5 million. Other net periodic benefit income included a $1 million actuarial gain on the remeasurement of a pension plan during the prior year period. See Note K for more information.</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250"/>
        </w:trPr>
        <w:tc>
          <w:tcPr>
            <w:tcW w:w="4160" w:type="dxa"/>
            <w:vAlign w:val="bottom"/>
            <w:tcBorders>
              <w:top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2820" w:type="dxa"/>
            <w:vAlign w:val="bottom"/>
            <w:tcBorders>
              <w:top w:val="single" w:sz="8" w:color="auto"/>
              <w:bottom w:val="single" w:sz="8" w:color="auto"/>
            </w:tcBorders>
            <w:gridSpan w:val="5"/>
          </w:tcPr>
          <w:p>
            <w:pPr>
              <w:jc w:val="right"/>
              <w:ind w:right="490"/>
              <w:spacing w:after="0"/>
              <w:rPr>
                <w:sz w:val="20"/>
                <w:szCs w:val="20"/>
                <w:color w:val="auto"/>
              </w:rPr>
            </w:pPr>
            <w:r>
              <w:rPr>
                <w:rFonts w:ascii="Arial" w:cs="Arial" w:eastAsia="Arial" w:hAnsi="Arial"/>
                <w:sz w:val="18"/>
                <w:szCs w:val="18"/>
                <w:color w:val="auto"/>
                <w:w w:val="94"/>
              </w:rPr>
              <w:t>Three months ended June 30</w:t>
            </w:r>
          </w:p>
        </w:tc>
        <w:tc>
          <w:tcPr>
            <w:tcW w:w="14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2820" w:type="dxa"/>
            <w:vAlign w:val="bottom"/>
            <w:tcBorders>
              <w:top w:val="single" w:sz="8" w:color="auto"/>
              <w:bottom w:val="single" w:sz="8" w:color="auto"/>
            </w:tcBorders>
            <w:gridSpan w:val="5"/>
          </w:tcPr>
          <w:p>
            <w:pPr>
              <w:jc w:val="right"/>
              <w:ind w:right="510"/>
              <w:spacing w:after="0"/>
              <w:rPr>
                <w:sz w:val="20"/>
                <w:szCs w:val="20"/>
                <w:color w:val="auto"/>
              </w:rPr>
            </w:pPr>
            <w:r>
              <w:rPr>
                <w:rFonts w:ascii="Arial" w:cs="Arial" w:eastAsia="Arial" w:hAnsi="Arial"/>
                <w:sz w:val="18"/>
                <w:szCs w:val="18"/>
                <w:color w:val="auto"/>
                <w:w w:val="97"/>
              </w:rPr>
              <w:t>Nine months ended June 30</w:t>
            </w:r>
          </w:p>
        </w:tc>
      </w:tr>
      <w:tr>
        <w:trPr>
          <w:trHeight w:val="237"/>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2023</w:t>
            </w:r>
          </w:p>
        </w:tc>
        <w:tc>
          <w:tcPr>
            <w:tcW w:w="3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2022</w:t>
            </w: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Change</w:t>
            </w:r>
          </w:p>
        </w:tc>
        <w:tc>
          <w:tcPr>
            <w:tcW w:w="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2023</w:t>
            </w:r>
          </w:p>
        </w:tc>
        <w:tc>
          <w:tcPr>
            <w:tcW w:w="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2022</w:t>
            </w: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8"/>
              </w:rPr>
              <w:t>Change</w:t>
            </w:r>
          </w:p>
        </w:tc>
      </w:tr>
      <w:tr>
        <w:trPr>
          <w:trHeight w:val="243"/>
        </w:trPr>
        <w:tc>
          <w:tcPr>
            <w:tcW w:w="41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Income tax expense (benefit)</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14</w:t>
            </w:r>
          </w:p>
        </w:tc>
        <w:tc>
          <w:tcPr>
            <w:tcW w:w="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21</w:t>
            </w:r>
          </w:p>
        </w:tc>
        <w:tc>
          <w:tcPr>
            <w:tcW w:w="2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(4 )</w:t>
            </w:r>
          </w:p>
        </w:tc>
      </w:tr>
      <w:tr>
        <w:trPr>
          <w:trHeight w:val="234"/>
        </w:trPr>
        <w:tc>
          <w:tcPr>
            <w:tcW w:w="4160" w:type="dxa"/>
            <w:vAlign w:val="bottom"/>
          </w:tcPr>
          <w:p>
            <w:pPr>
              <w:ind w:left="20"/>
              <w:spacing w:after="0"/>
              <w:rPr>
                <w:sz w:val="20"/>
                <w:szCs w:val="20"/>
                <w:color w:val="auto"/>
              </w:rPr>
            </w:pPr>
            <w:r>
              <w:rPr>
                <w:rFonts w:ascii="Arial" w:cs="Arial" w:eastAsia="Arial" w:hAnsi="Arial"/>
                <w:sz w:val="18"/>
                <w:szCs w:val="18"/>
                <w:b w:val="1"/>
                <w:bCs w:val="1"/>
                <w:color w:val="auto"/>
              </w:rPr>
              <w:t>Effective tax rate</w:t>
            </w: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26 %</w:t>
            </w:r>
          </w:p>
        </w:tc>
        <w:tc>
          <w:tcPr>
            <w:tcW w:w="3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2 %</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11 %</w:t>
            </w: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17 %</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r>
    </w:tbl>
    <w:p>
      <w:pPr>
        <w:spacing w:after="0" w:line="11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u w:val="single" w:color="auto"/>
          <w:color w:val="auto"/>
        </w:rPr>
        <w:t>Current Quarter</w:t>
      </w:r>
      <w:r>
        <w:rPr>
          <w:rFonts w:ascii="Arial" w:cs="Arial" w:eastAsia="Arial" w:hAnsi="Arial"/>
          <w:sz w:val="20"/>
          <w:szCs w:val="20"/>
          <w:color w:val="auto"/>
        </w:rPr>
        <w:t xml:space="preserve"> - Ashland’s effective tax rate in any interim period is subject to adjustments related to discrete items and the mix of domestic and foreign operating results. The overall effective tax rate was 26% for the three months ended June 30, 2023 and was impacted by jurisdictional income mix, as well as net favorable discrete items of $4 million primarily related to changes in uncertain tax positions and adjustments to valuation allowances.</w:t>
      </w:r>
    </w:p>
    <w:p>
      <w:pPr>
        <w:spacing w:after="0" w:line="83"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overall effective tax rate was 2% for the three months ended June 30, 2022 and was impacted by jurisdictional income mix, as well as a net $1 million benefit primarily from favorable return to provision adjustments for certain jurisdictions.</w:t>
      </w:r>
    </w:p>
    <w:p>
      <w:pPr>
        <w:spacing w:after="0" w:line="4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u w:val="single" w:color="auto"/>
          <w:color w:val="auto"/>
        </w:rPr>
        <w:t>Year-to-date</w:t>
      </w:r>
      <w:r>
        <w:rPr>
          <w:rFonts w:ascii="Arial" w:cs="Arial" w:eastAsia="Arial" w:hAnsi="Arial"/>
          <w:sz w:val="20"/>
          <w:szCs w:val="20"/>
          <w:color w:val="auto"/>
        </w:rPr>
        <w:t xml:space="preserve"> - Ashland’s effective tax rate in any interim period is subject to adjustments related to discrete items and the mix of domestic and foreign operating results. The overall effective tax rate was 11% for the nine months ended June 30, 2023 and was impacted by jurisdictional income mix, as well as net favorable discrete items of $27 million primarily related to changes in uncertain tax positions.</w:t>
      </w:r>
    </w:p>
    <w:p>
      <w:pPr>
        <w:spacing w:after="0" w:line="83"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The overall effective tax rate was 17% for the nine months ended June 30, 2022 and was impacted by jurisdictional income mix, as well as net unfavorable discrete items of $3 million, primarily related to restructuring and separation activity partially offset by a favorable valuation allowance for certain foreign tax credits and adjustments to uncertain tax positions.</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Adjusted income tax expense (benefit)</w:t>
      </w:r>
    </w:p>
    <w:p>
      <w:pPr>
        <w:spacing w:after="0" w:line="108"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Key items are defined as the financial effects from significant transactions that may have caused short-term fluctuations in net income and/or operating income which Ashland believes do not accurately reflect Ashland’s underlying business performance and trends. Tax specific key items are defined as the financial effects from tax specific financial transactions, tax law changes or other matters that fall within the definition of key items as previously described. The effective tax rate, excluding key items, which is a non-GAAP measure, has been prepared to illustrate the ongoing tax effects of Ashland’s operations. Management believes investors and analysts use this financial measure in assessing Ashland's business performance and that presenting this non-GAAP measure on a</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447" w:right="719" w:bottom="1440" w:gutter="0" w:footer="0" w:header="0"/>
        </w:sectPr>
      </w:pPr>
    </w:p>
    <w:bookmarkStart w:id="36" w:name="page37"/>
    <w:bookmarkEnd w:id="36"/>
    <w:p>
      <w:pPr>
        <w:ind w:right="20"/>
        <w:spacing w:after="0" w:line="260" w:lineRule="auto"/>
        <w:rPr>
          <w:sz w:val="20"/>
          <w:szCs w:val="20"/>
          <w:color w:val="auto"/>
        </w:rPr>
      </w:pPr>
      <w:r>
        <w:rPr>
          <w:rFonts w:ascii="Arial" w:cs="Arial" w:eastAsia="Arial" w:hAnsi="Arial"/>
          <w:sz w:val="20"/>
          <w:szCs w:val="20"/>
          <w:color w:val="auto"/>
        </w:rPr>
        <w:t>consolidated basis assists investors in better understanding Ashland’s ongoing business performance and enhancing their ability to compare period-to-period financial results.</w:t>
      </w:r>
    </w:p>
    <w:p>
      <w:pPr>
        <w:spacing w:after="0" w:line="69"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The effective tax rate during the three and nine months ended June 30, 2023 and 2022 was significantly impacted by the following tax specific key items:</w:t>
      </w:r>
    </w:p>
    <w:p>
      <w:pPr>
        <w:spacing w:after="0" w:line="69" w:lineRule="exact"/>
        <w:rPr>
          <w:sz w:val="20"/>
          <w:szCs w:val="20"/>
          <w:color w:val="auto"/>
        </w:rPr>
      </w:pPr>
    </w:p>
    <w:p>
      <w:pPr>
        <w:ind w:left="360" w:hanging="358"/>
        <w:spacing w:after="0"/>
        <w:tabs>
          <w:tab w:leader="none" w:pos="360" w:val="left"/>
        </w:tabs>
        <w:numPr>
          <w:ilvl w:val="0"/>
          <w:numId w:val="30"/>
        </w:numPr>
        <w:rPr>
          <w:rFonts w:ascii="Arial" w:cs="Arial" w:eastAsia="Arial" w:hAnsi="Arial"/>
          <w:sz w:val="19"/>
          <w:szCs w:val="19"/>
          <w:color w:val="auto"/>
        </w:rPr>
      </w:pPr>
      <w:r>
        <w:rPr>
          <w:rFonts w:ascii="Arial" w:cs="Arial" w:eastAsia="Arial" w:hAnsi="Arial"/>
          <w:sz w:val="19"/>
          <w:szCs w:val="19"/>
          <w:color w:val="auto"/>
        </w:rPr>
        <w:t>Uncertain tax positions - Includes the impact from the settlement of uncertain tax positions with various tax authorities;</w:t>
      </w:r>
    </w:p>
    <w:p>
      <w:pPr>
        <w:spacing w:after="0" w:line="119" w:lineRule="exact"/>
        <w:rPr>
          <w:rFonts w:ascii="Arial" w:cs="Arial" w:eastAsia="Arial" w:hAnsi="Arial"/>
          <w:sz w:val="19"/>
          <w:szCs w:val="19"/>
          <w:color w:val="auto"/>
        </w:rPr>
      </w:pPr>
    </w:p>
    <w:p>
      <w:pPr>
        <w:ind w:left="360" w:hanging="358"/>
        <w:spacing w:after="0"/>
        <w:tabs>
          <w:tab w:leader="none" w:pos="360" w:val="left"/>
        </w:tabs>
        <w:numPr>
          <w:ilvl w:val="0"/>
          <w:numId w:val="30"/>
        </w:numPr>
        <w:rPr>
          <w:rFonts w:ascii="Arial" w:cs="Arial" w:eastAsia="Arial" w:hAnsi="Arial"/>
          <w:sz w:val="20"/>
          <w:szCs w:val="20"/>
          <w:color w:val="auto"/>
        </w:rPr>
      </w:pPr>
      <w:r>
        <w:rPr>
          <w:rFonts w:ascii="Arial" w:cs="Arial" w:eastAsia="Arial" w:hAnsi="Arial"/>
          <w:sz w:val="20"/>
          <w:szCs w:val="20"/>
          <w:color w:val="auto"/>
        </w:rPr>
        <w:t>Valuation allowances - Includes the impact from the release of certain foreign tax credit valuation allowances; and</w:t>
      </w:r>
    </w:p>
    <w:p>
      <w:pPr>
        <w:spacing w:after="0" w:line="107" w:lineRule="exact"/>
        <w:rPr>
          <w:rFonts w:ascii="Arial" w:cs="Arial" w:eastAsia="Arial" w:hAnsi="Arial"/>
          <w:sz w:val="20"/>
          <w:szCs w:val="20"/>
          <w:color w:val="auto"/>
        </w:rPr>
      </w:pPr>
    </w:p>
    <w:p>
      <w:pPr>
        <w:ind w:right="820" w:firstLine="2"/>
        <w:spacing w:after="0" w:line="373" w:lineRule="auto"/>
        <w:tabs>
          <w:tab w:leader="none" w:pos="361" w:val="left"/>
        </w:tabs>
        <w:numPr>
          <w:ilvl w:val="0"/>
          <w:numId w:val="30"/>
        </w:numPr>
        <w:rPr>
          <w:rFonts w:ascii="Arial" w:cs="Arial" w:eastAsia="Arial" w:hAnsi="Arial"/>
          <w:sz w:val="20"/>
          <w:szCs w:val="20"/>
          <w:color w:val="auto"/>
        </w:rPr>
      </w:pPr>
      <w:r>
        <w:rPr>
          <w:rFonts w:ascii="Arial" w:cs="Arial" w:eastAsia="Arial" w:hAnsi="Arial"/>
          <w:sz w:val="20"/>
          <w:szCs w:val="20"/>
          <w:color w:val="auto"/>
        </w:rPr>
        <w:t>Restructuring and separation activity - Includes the impact from company-wide cost reduction programs during 2022. The following table is a calculation of the effective tax rate, excluding these key items.</w:t>
      </w:r>
    </w:p>
    <w:tbl>
      <w:tblPr>
        <w:tblLayout w:type="fixed"/>
        <w:tblInd w:w="20" w:type="dxa"/>
        <w:tblCellMar>
          <w:top w:w="0" w:type="dxa"/>
          <w:left w:w="0" w:type="dxa"/>
          <w:bottom w:w="0" w:type="dxa"/>
          <w:right w:w="0" w:type="dxa"/>
        </w:tblCellMar>
      </w:tblPr>
      <w:tr>
        <w:trPr>
          <w:trHeight w:val="241"/>
        </w:trPr>
        <w:tc>
          <w:tcPr>
            <w:tcW w:w="50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8"/>
              </w:rPr>
              <w:t>Three months ended</w:t>
            </w:r>
          </w:p>
        </w:tc>
        <w:tc>
          <w:tcPr>
            <w:tcW w:w="5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Nine months ended</w:t>
            </w:r>
          </w:p>
        </w:tc>
        <w:tc>
          <w:tcPr>
            <w:tcW w:w="58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0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8"/>
                <w:szCs w:val="18"/>
                <w:color w:val="auto"/>
              </w:rPr>
              <w:t>June 30</w:t>
            </w:r>
          </w:p>
        </w:tc>
        <w:tc>
          <w:tcPr>
            <w:tcW w:w="56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8"/>
                <w:szCs w:val="18"/>
                <w:color w:val="auto"/>
              </w:rPr>
              <w:t>June 30</w:t>
            </w:r>
          </w:p>
        </w:tc>
        <w:tc>
          <w:tcPr>
            <w:tcW w:w="58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2023</w:t>
            </w: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2022</w:t>
            </w:r>
          </w:p>
        </w:tc>
        <w:tc>
          <w:tcPr>
            <w:tcW w:w="1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2023</w:t>
            </w: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from continuing operations before income taxes</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57</w:t>
            </w:r>
          </w:p>
        </w:tc>
        <w:tc>
          <w:tcPr>
            <w:tcW w:w="180" w:type="dxa"/>
            <w:vAlign w:val="bottom"/>
            <w:shd w:val="clear" w:color="auto" w:fill="CFF0FC"/>
          </w:tcPr>
          <w:p>
            <w:pPr>
              <w:spacing w:after="0"/>
              <w:rPr>
                <w:sz w:val="21"/>
                <w:szCs w:val="21"/>
                <w:color w:val="auto"/>
              </w:rPr>
            </w:pPr>
          </w:p>
        </w:tc>
        <w:tc>
          <w:tcPr>
            <w:tcW w:w="720" w:type="dxa"/>
            <w:vAlign w:val="bottom"/>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52</w:t>
            </w: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197</w:t>
            </w:r>
          </w:p>
        </w:tc>
        <w:tc>
          <w:tcPr>
            <w:tcW w:w="160" w:type="dxa"/>
            <w:vAlign w:val="bottom"/>
            <w:shd w:val="clear" w:color="auto" w:fill="CFF0FC"/>
          </w:tcPr>
          <w:p>
            <w:pPr>
              <w:spacing w:after="0"/>
              <w:rPr>
                <w:sz w:val="21"/>
                <w:szCs w:val="21"/>
                <w:color w:val="auto"/>
              </w:rPr>
            </w:pPr>
          </w:p>
        </w:tc>
        <w:tc>
          <w:tcPr>
            <w:tcW w:w="700" w:type="dxa"/>
            <w:vAlign w:val="bottom"/>
            <w:shd w:val="clear" w:color="auto" w:fill="CFF0FC"/>
          </w:tcPr>
          <w:p>
            <w:pPr>
              <w:jc w:val="right"/>
              <w:ind w:right="51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146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 xml:space="preserve">Key items (pre-tax) </w:t>
            </w:r>
            <w:r>
              <w:rPr>
                <w:rFonts w:ascii="Arial" w:cs="Arial" w:eastAsia="Arial" w:hAnsi="Arial"/>
                <w:sz w:val="14"/>
                <w:szCs w:val="14"/>
                <w:color w:val="auto"/>
              </w:rPr>
              <w:t>(a)</w:t>
            </w:r>
          </w:p>
        </w:tc>
        <w:tc>
          <w:tcPr>
            <w:tcW w:w="3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(19 )</w:t>
            </w:r>
          </w:p>
        </w:tc>
        <w:tc>
          <w:tcPr>
            <w:tcW w:w="160" w:type="dxa"/>
            <w:vAlign w:val="bottom"/>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0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Adjusted income from continuing operations</w:t>
            </w:r>
          </w:p>
        </w:tc>
        <w:tc>
          <w:tcPr>
            <w:tcW w:w="3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100"/>
              <w:spacing w:after="0"/>
              <w:rPr>
                <w:sz w:val="20"/>
                <w:szCs w:val="20"/>
                <w:color w:val="auto"/>
              </w:rPr>
            </w:pPr>
            <w:r>
              <w:rPr>
                <w:rFonts w:ascii="Arial" w:cs="Arial" w:eastAsia="Arial" w:hAnsi="Arial"/>
                <w:sz w:val="18"/>
                <w:szCs w:val="18"/>
                <w:b w:val="1"/>
                <w:bCs w:val="1"/>
                <w:color w:val="auto"/>
              </w:rPr>
              <w:t>before income taxes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62</w:t>
            </w:r>
          </w:p>
        </w:tc>
        <w:tc>
          <w:tcPr>
            <w:tcW w:w="180" w:type="dxa"/>
            <w:vAlign w:val="bottom"/>
          </w:tcPr>
          <w:p>
            <w:pPr>
              <w:spacing w:after="0"/>
              <w:rPr>
                <w:sz w:val="21"/>
                <w:szCs w:val="21"/>
                <w:color w:val="auto"/>
              </w:rPr>
            </w:pPr>
          </w:p>
        </w:tc>
        <w:tc>
          <w:tcPr>
            <w:tcW w:w="7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178</w:t>
            </w:r>
          </w:p>
        </w:tc>
        <w:tc>
          <w:tcPr>
            <w:tcW w:w="160" w:type="dxa"/>
            <w:vAlign w:val="bottom"/>
          </w:tcPr>
          <w:p>
            <w:pPr>
              <w:spacing w:after="0"/>
              <w:rPr>
                <w:sz w:val="21"/>
                <w:szCs w:val="21"/>
                <w:color w:val="auto"/>
              </w:rPr>
            </w:pPr>
          </w:p>
        </w:tc>
        <w:tc>
          <w:tcPr>
            <w:tcW w:w="7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225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21"/>
                <w:szCs w:val="21"/>
                <w:color w:val="auto"/>
              </w:rPr>
            </w:pPr>
          </w:p>
        </w:tc>
        <w:tc>
          <w:tcPr>
            <w:tcW w:w="7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21"/>
                <w:szCs w:val="21"/>
                <w:color w:val="auto"/>
              </w:rPr>
            </w:pPr>
          </w:p>
        </w:tc>
        <w:tc>
          <w:tcPr>
            <w:tcW w:w="7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 rate adjustments:</w:t>
            </w:r>
          </w:p>
        </w:tc>
        <w:tc>
          <w:tcPr>
            <w:tcW w:w="3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040" w:type="dxa"/>
            <w:vAlign w:val="bottom"/>
          </w:tcPr>
          <w:p>
            <w:pPr>
              <w:ind w:left="100"/>
              <w:spacing w:after="0"/>
              <w:rPr>
                <w:sz w:val="20"/>
                <w:szCs w:val="20"/>
                <w:color w:val="auto"/>
              </w:rPr>
            </w:pPr>
            <w:r>
              <w:rPr>
                <w:rFonts w:ascii="Arial" w:cs="Arial" w:eastAsia="Arial" w:hAnsi="Arial"/>
                <w:sz w:val="18"/>
                <w:szCs w:val="18"/>
                <w:color w:val="auto"/>
              </w:rPr>
              <w:t>Tax effect of key items</w:t>
            </w: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(3 )</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(8 )</w:t>
            </w: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0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 xml:space="preserve">Tax specific key items: </w:t>
            </w:r>
            <w:r>
              <w:rPr>
                <w:rFonts w:ascii="Arial" w:cs="Arial" w:eastAsia="Arial" w:hAnsi="Arial"/>
                <w:sz w:val="14"/>
                <w:szCs w:val="14"/>
                <w:color w:val="auto"/>
              </w:rPr>
              <w:t>(b)</w:t>
            </w:r>
          </w:p>
        </w:tc>
        <w:tc>
          <w:tcPr>
            <w:tcW w:w="3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040" w:type="dxa"/>
            <w:vAlign w:val="bottom"/>
          </w:tcPr>
          <w:p>
            <w:pPr>
              <w:ind w:left="200"/>
              <w:spacing w:after="0"/>
              <w:rPr>
                <w:sz w:val="20"/>
                <w:szCs w:val="20"/>
                <w:color w:val="auto"/>
              </w:rPr>
            </w:pPr>
            <w:r>
              <w:rPr>
                <w:rFonts w:ascii="Arial" w:cs="Arial" w:eastAsia="Arial" w:hAnsi="Arial"/>
                <w:sz w:val="18"/>
                <w:szCs w:val="18"/>
                <w:color w:val="auto"/>
              </w:rPr>
              <w:t>Uncertain tax positions</w:t>
            </w:r>
          </w:p>
        </w:tc>
        <w:tc>
          <w:tcPr>
            <w:tcW w:w="32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0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Valuation allowance</w:t>
            </w:r>
          </w:p>
        </w:tc>
        <w:tc>
          <w:tcPr>
            <w:tcW w:w="32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5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200"/>
              <w:spacing w:after="0"/>
              <w:rPr>
                <w:sz w:val="20"/>
                <w:szCs w:val="20"/>
                <w:color w:val="auto"/>
              </w:rPr>
            </w:pPr>
            <w:r>
              <w:rPr>
                <w:rFonts w:ascii="Arial" w:cs="Arial" w:eastAsia="Arial" w:hAnsi="Arial"/>
                <w:sz w:val="18"/>
                <w:szCs w:val="18"/>
                <w:color w:val="auto"/>
              </w:rPr>
              <w:t>Restructuring and separation activity</w:t>
            </w:r>
          </w:p>
        </w:tc>
        <w:tc>
          <w:tcPr>
            <w:tcW w:w="320" w:type="dxa"/>
            <w:vAlign w:val="bottom"/>
          </w:tcPr>
          <w:p>
            <w:pPr>
              <w:spacing w:after="0"/>
              <w:rPr>
                <w:sz w:val="21"/>
                <w:szCs w:val="21"/>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1"/>
                <w:szCs w:val="21"/>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income tax rate adjustments</w:t>
            </w: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8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CFF0FC"/>
            </w:tcBorders>
            <w:shd w:val="clear" w:color="auto" w:fill="CFF0FC"/>
          </w:tcPr>
          <w:p>
            <w:pPr>
              <w:spacing w:after="0"/>
              <w:rPr>
                <w:sz w:val="20"/>
                <w:szCs w:val="20"/>
                <w:color w:val="auto"/>
              </w:rPr>
            </w:pPr>
          </w:p>
        </w:tc>
        <w:tc>
          <w:tcPr>
            <w:tcW w:w="720" w:type="dxa"/>
            <w:vAlign w:val="bottom"/>
            <w:tcBorders>
              <w:top w:val="single" w:sz="8" w:color="auto"/>
              <w:bottom w:val="single" w:sz="8" w:color="auto"/>
            </w:tcBorders>
            <w:shd w:val="clear" w:color="auto" w:fill="CFF0FC"/>
          </w:tcPr>
          <w:p>
            <w:pPr>
              <w:spacing w:after="0"/>
              <w:rPr>
                <w:sz w:val="20"/>
                <w:szCs w:val="20"/>
                <w:color w:val="auto"/>
              </w:rPr>
            </w:pPr>
          </w:p>
        </w:tc>
        <w:tc>
          <w:tcPr>
            <w:tcW w:w="5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16</w:t>
            </w:r>
          </w:p>
        </w:tc>
        <w:tc>
          <w:tcPr>
            <w:tcW w:w="16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spacing w:after="0"/>
              <w:rPr>
                <w:sz w:val="20"/>
                <w:szCs w:val="20"/>
                <w:color w:val="auto"/>
              </w:rPr>
            </w:pPr>
          </w:p>
        </w:tc>
        <w:tc>
          <w:tcPr>
            <w:tcW w:w="8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16</w:t>
            </w:r>
          </w:p>
        </w:tc>
        <w:tc>
          <w:tcPr>
            <w:tcW w:w="160" w:type="dxa"/>
            <w:vAlign w:val="bottom"/>
            <w:tcBorders>
              <w:bottom w:val="single" w:sz="8" w:color="CFF0FC"/>
            </w:tcBorders>
            <w:shd w:val="clear" w:color="auto" w:fill="CFF0FC"/>
          </w:tcPr>
          <w:p>
            <w:pPr>
              <w:spacing w:after="0"/>
              <w:rPr>
                <w:sz w:val="20"/>
                <w:szCs w:val="20"/>
                <w:color w:val="auto"/>
              </w:rPr>
            </w:pPr>
          </w:p>
        </w:tc>
        <w:tc>
          <w:tcPr>
            <w:tcW w:w="700" w:type="dxa"/>
            <w:vAlign w:val="bottom"/>
            <w:tcBorders>
              <w:top w:val="single" w:sz="8" w:color="auto"/>
              <w:bottom w:val="single" w:sz="8" w:color="auto"/>
            </w:tcBorders>
            <w:shd w:val="clear" w:color="auto" w:fill="CFF0FC"/>
          </w:tcPr>
          <w:p>
            <w:pPr>
              <w:spacing w:after="0"/>
              <w:rPr>
                <w:sz w:val="20"/>
                <w:szCs w:val="20"/>
                <w:color w:val="auto"/>
              </w:rPr>
            </w:pPr>
          </w:p>
        </w:tc>
        <w:tc>
          <w:tcPr>
            <w:tcW w:w="58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Adjusted income tax expense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20"/>
                <w:szCs w:val="20"/>
                <w:color w:val="auto"/>
              </w:rPr>
            </w:pPr>
          </w:p>
        </w:tc>
        <w:tc>
          <w:tcPr>
            <w:tcW w:w="7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20"/>
                <w:szCs w:val="20"/>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20"/>
                <w:szCs w:val="20"/>
                <w:color w:val="auto"/>
              </w:rPr>
            </w:pPr>
          </w:p>
        </w:tc>
        <w:tc>
          <w:tcPr>
            <w:tcW w:w="7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0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4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 xml:space="preserve">Effective tax rate, excluding key items (Non-GAAP) </w:t>
            </w:r>
            <w:r>
              <w:rPr>
                <w:rFonts w:ascii="Arial" w:cs="Arial" w:eastAsia="Arial" w:hAnsi="Arial"/>
                <w:sz w:val="16"/>
                <w:szCs w:val="16"/>
                <w:b w:val="1"/>
                <w:bCs w:val="1"/>
                <w:color w:val="auto"/>
              </w:rPr>
              <w:t>(c)</w:t>
            </w:r>
          </w:p>
        </w:tc>
        <w:tc>
          <w:tcPr>
            <w:tcW w:w="32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26 %</w:t>
            </w:r>
          </w:p>
        </w:tc>
        <w:tc>
          <w:tcPr>
            <w:tcW w:w="72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16 %</w:t>
            </w:r>
          </w:p>
        </w:tc>
        <w:tc>
          <w:tcPr>
            <w:tcW w:w="34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21 %</w:t>
            </w:r>
          </w:p>
        </w:tc>
        <w:tc>
          <w:tcPr>
            <w:tcW w:w="7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18 %</w:t>
            </w:r>
          </w:p>
        </w:tc>
        <w:tc>
          <w:tcPr>
            <w:tcW w:w="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3955415</wp:posOffset>
            </wp:positionH>
            <wp:positionV relativeFrom="paragraph">
              <wp:posOffset>-490855</wp:posOffset>
            </wp:positionV>
            <wp:extent cx="111760" cy="18859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11760" cy="188595"/>
                    </a:xfrm>
                    <a:prstGeom prst="rect">
                      <a:avLst/>
                    </a:prstGeom>
                    <a:noFill/>
                  </pic:spPr>
                </pic:pic>
              </a:graphicData>
            </a:graphic>
          </wp:anchor>
        </w:drawing>
        <w:drawing>
          <wp:anchor simplePos="0" relativeHeight="251657728" behindDoc="1" locked="0" layoutInCell="0" allowOverlap="1">
            <wp:simplePos x="0" y="0"/>
            <wp:positionH relativeFrom="column">
              <wp:posOffset>4872990</wp:posOffset>
            </wp:positionH>
            <wp:positionV relativeFrom="paragraph">
              <wp:posOffset>-490855</wp:posOffset>
            </wp:positionV>
            <wp:extent cx="111125" cy="18859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11125" cy="188595"/>
                    </a:xfrm>
                    <a:prstGeom prst="rect">
                      <a:avLst/>
                    </a:prstGeom>
                    <a:noFill/>
                  </pic:spPr>
                </pic:pic>
              </a:graphicData>
            </a:graphic>
          </wp:anchor>
        </w:drawing>
        <w:drawing>
          <wp:anchor simplePos="0" relativeHeight="251657728" behindDoc="1" locked="0" layoutInCell="0" allowOverlap="1">
            <wp:simplePos x="0" y="0"/>
            <wp:positionH relativeFrom="column">
              <wp:posOffset>5721350</wp:posOffset>
            </wp:positionH>
            <wp:positionV relativeFrom="paragraph">
              <wp:posOffset>-490855</wp:posOffset>
            </wp:positionV>
            <wp:extent cx="111125" cy="18859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11125" cy="18859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99695</wp:posOffset>
            </wp:positionV>
            <wp:extent cx="663511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635115" cy="8890"/>
                    </a:xfrm>
                    <a:prstGeom prst="rect">
                      <a:avLst/>
                    </a:prstGeom>
                    <a:noFill/>
                  </pic:spPr>
                </pic:pic>
              </a:graphicData>
            </a:graphic>
          </wp:anchor>
        </w:drawing>
      </w:r>
    </w:p>
    <w:p>
      <w:pPr>
        <w:spacing w:after="0" w:line="239" w:lineRule="exact"/>
        <w:rPr>
          <w:sz w:val="20"/>
          <w:szCs w:val="20"/>
          <w:color w:val="auto"/>
        </w:rPr>
      </w:pPr>
    </w:p>
    <w:p>
      <w:pPr>
        <w:ind w:left="360" w:hanging="358"/>
        <w:spacing w:after="0"/>
        <w:tabs>
          <w:tab w:leader="none" w:pos="3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See Adjusted EBITDA reconciliation table disclosed in this MD&amp;A for a summary of the key items, before tax.</w:t>
      </w:r>
    </w:p>
    <w:p>
      <w:pPr>
        <w:ind w:left="360" w:hanging="358"/>
        <w:spacing w:after="0" w:line="221" w:lineRule="auto"/>
        <w:tabs>
          <w:tab w:leader="none" w:pos="3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For additional information on the effect that these tax specific key items had on EPS, see the Adjusted Diluted EPS table disclosed in this MD&amp;A.</w:t>
      </w:r>
    </w:p>
    <w:p>
      <w:pPr>
        <w:ind w:left="360" w:hanging="358"/>
        <w:spacing w:after="0"/>
        <w:tabs>
          <w:tab w:leader="none" w:pos="3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Due to rounding conventions, the effective tax rate presented may not recalculate precisely based on the numbers disclosed within this table.</w:t>
      </w:r>
    </w:p>
    <w:p>
      <w:pPr>
        <w:spacing w:after="0" w:line="271" w:lineRule="exact"/>
        <w:rPr>
          <w:sz w:val="20"/>
          <w:szCs w:val="20"/>
          <w:color w:val="auto"/>
        </w:rPr>
      </w:pPr>
    </w:p>
    <w:tbl>
      <w:tblPr>
        <w:tblLayout w:type="fixed"/>
        <w:tblInd w:w="20" w:type="dxa"/>
        <w:tblCellMar>
          <w:top w:w="0" w:type="dxa"/>
          <w:left w:w="0" w:type="dxa"/>
          <w:bottom w:w="0" w:type="dxa"/>
          <w:right w:w="0" w:type="dxa"/>
        </w:tblCellMar>
      </w:tblPr>
      <w:tr>
        <w:trPr>
          <w:trHeight w:val="250"/>
        </w:trPr>
        <w:tc>
          <w:tcPr>
            <w:tcW w:w="3340" w:type="dxa"/>
            <w:vAlign w:val="bottom"/>
            <w:tcBorders>
              <w:top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2420" w:type="dxa"/>
            <w:vAlign w:val="bottom"/>
            <w:tcBorders>
              <w:top w:val="single" w:sz="8" w:color="auto"/>
              <w:bottom w:val="single" w:sz="8" w:color="auto"/>
            </w:tcBorders>
            <w:gridSpan w:val="6"/>
          </w:tcPr>
          <w:p>
            <w:pPr>
              <w:jc w:val="right"/>
              <w:ind w:right="40"/>
              <w:spacing w:after="0"/>
              <w:rPr>
                <w:sz w:val="20"/>
                <w:szCs w:val="20"/>
                <w:color w:val="auto"/>
              </w:rPr>
            </w:pPr>
            <w:r>
              <w:rPr>
                <w:rFonts w:ascii="Arial" w:cs="Arial" w:eastAsia="Arial" w:hAnsi="Arial"/>
                <w:sz w:val="18"/>
                <w:szCs w:val="18"/>
                <w:color w:val="auto"/>
              </w:rPr>
              <w:t>Three months ended June 30</w:t>
            </w:r>
          </w:p>
        </w:tc>
        <w:tc>
          <w:tcPr>
            <w:tcW w:w="72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2400" w:type="dxa"/>
            <w:vAlign w:val="bottom"/>
            <w:tcBorders>
              <w:top w:val="single" w:sz="8" w:color="auto"/>
              <w:bottom w:val="single" w:sz="8" w:color="auto"/>
            </w:tcBorders>
            <w:gridSpan w:val="6"/>
          </w:tcPr>
          <w:p>
            <w:pPr>
              <w:jc w:val="right"/>
              <w:ind w:right="60"/>
              <w:spacing w:after="0"/>
              <w:rPr>
                <w:sz w:val="20"/>
                <w:szCs w:val="20"/>
                <w:color w:val="auto"/>
              </w:rPr>
            </w:pPr>
            <w:r>
              <w:rPr>
                <w:rFonts w:ascii="Arial" w:cs="Arial" w:eastAsia="Arial" w:hAnsi="Arial"/>
                <w:sz w:val="18"/>
                <w:szCs w:val="18"/>
                <w:color w:val="auto"/>
              </w:rPr>
              <w:t>Nine months ended June 30</w:t>
            </w:r>
          </w:p>
        </w:tc>
        <w:tc>
          <w:tcPr>
            <w:tcW w:w="740" w:type="dxa"/>
            <w:vAlign w:val="bottom"/>
            <w:tcBorders>
              <w:top w:val="single" w:sz="8" w:color="auto"/>
              <w:bottom w:val="single" w:sz="8" w:color="auto"/>
            </w:tcBorders>
          </w:tcPr>
          <w:p>
            <w:pPr>
              <w:spacing w:after="0"/>
              <w:rPr>
                <w:sz w:val="21"/>
                <w:szCs w:val="21"/>
                <w:color w:val="auto"/>
              </w:rPr>
            </w:pPr>
          </w:p>
        </w:tc>
      </w:tr>
      <w:tr>
        <w:trPr>
          <w:trHeight w:val="237"/>
        </w:trPr>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3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2023</w:t>
            </w:r>
          </w:p>
        </w:tc>
        <w:tc>
          <w:tcPr>
            <w:tcW w:w="1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2022</w:t>
            </w:r>
          </w:p>
        </w:tc>
        <w:tc>
          <w:tcPr>
            <w:tcW w:w="1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8"/>
              </w:rPr>
              <w:t>Change</w:t>
            </w:r>
          </w:p>
        </w:tc>
        <w:tc>
          <w:tcPr>
            <w:tcW w:w="1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2023</w:t>
            </w:r>
          </w:p>
        </w:tc>
        <w:tc>
          <w:tcPr>
            <w:tcW w:w="1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2022</w:t>
            </w:r>
          </w:p>
        </w:tc>
        <w:tc>
          <w:tcPr>
            <w:tcW w:w="1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1"/>
              </w:rPr>
              <w:t>Change</w:t>
            </w:r>
          </w:p>
        </w:tc>
      </w:tr>
      <w:tr>
        <w:trPr>
          <w:trHeight w:val="211"/>
        </w:trPr>
        <w:tc>
          <w:tcPr>
            <w:tcW w:w="33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Income (loss) from discontinued</w:t>
            </w:r>
          </w:p>
        </w:tc>
        <w:tc>
          <w:tcPr>
            <w:tcW w:w="3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r>
      <w:tr>
        <w:trPr>
          <w:trHeight w:val="248"/>
        </w:trPr>
        <w:tc>
          <w:tcPr>
            <w:tcW w:w="334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operations (net of tax)</w:t>
            </w:r>
          </w:p>
        </w:tc>
        <w:tc>
          <w:tcPr>
            <w:tcW w:w="34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r>
      <w:tr>
        <w:trPr>
          <w:trHeight w:val="237"/>
        </w:trPr>
        <w:tc>
          <w:tcPr>
            <w:tcW w:w="3340" w:type="dxa"/>
            <w:vAlign w:val="bottom"/>
          </w:tcPr>
          <w:p>
            <w:pPr>
              <w:ind w:left="280"/>
              <w:spacing w:after="0"/>
              <w:rPr>
                <w:sz w:val="20"/>
                <w:szCs w:val="20"/>
                <w:color w:val="auto"/>
              </w:rPr>
            </w:pPr>
            <w:r>
              <w:rPr>
                <w:rFonts w:ascii="Arial" w:cs="Arial" w:eastAsia="Arial" w:hAnsi="Arial"/>
                <w:sz w:val="18"/>
                <w:szCs w:val="18"/>
                <w:color w:val="auto"/>
              </w:rPr>
              <w:t>Performance Adhesives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(1 )</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4</w:t>
            </w: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(5 )</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(1 )</w:t>
            </w: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38</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(39 )</w:t>
            </w:r>
          </w:p>
        </w:tc>
      </w:tr>
      <w:tr>
        <w:trPr>
          <w:trHeight w:val="249"/>
        </w:trPr>
        <w:tc>
          <w:tcPr>
            <w:tcW w:w="33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Composites/Marl facility</w:t>
            </w:r>
          </w:p>
        </w:tc>
        <w:tc>
          <w:tcPr>
            <w:tcW w:w="340" w:type="dxa"/>
            <w:vAlign w:val="bottom"/>
            <w:shd w:val="clear" w:color="auto" w:fill="CFF0FC"/>
          </w:tcPr>
          <w:p>
            <w:pPr>
              <w:spacing w:after="0"/>
              <w:rPr>
                <w:sz w:val="21"/>
                <w:szCs w:val="21"/>
                <w:color w:val="auto"/>
              </w:rPr>
            </w:pP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(1 )</w:t>
            </w:r>
          </w:p>
        </w:tc>
      </w:tr>
      <w:tr>
        <w:trPr>
          <w:trHeight w:val="237"/>
        </w:trPr>
        <w:tc>
          <w:tcPr>
            <w:tcW w:w="3340" w:type="dxa"/>
            <w:vAlign w:val="bottom"/>
          </w:tcPr>
          <w:p>
            <w:pPr>
              <w:ind w:left="280"/>
              <w:spacing w:after="0"/>
              <w:rPr>
                <w:sz w:val="20"/>
                <w:szCs w:val="20"/>
                <w:color w:val="auto"/>
              </w:rPr>
            </w:pPr>
            <w:r>
              <w:rPr>
                <w:rFonts w:ascii="Arial" w:cs="Arial" w:eastAsia="Arial" w:hAnsi="Arial"/>
                <w:sz w:val="18"/>
                <w:szCs w:val="18"/>
                <w:color w:val="auto"/>
              </w:rPr>
              <w:t>Valvoline</w:t>
            </w:r>
          </w:p>
        </w:tc>
        <w:tc>
          <w:tcPr>
            <w:tcW w:w="340" w:type="dxa"/>
            <w:vAlign w:val="bottom"/>
          </w:tcPr>
          <w:p>
            <w:pPr>
              <w:spacing w:after="0"/>
              <w:rPr>
                <w:sz w:val="20"/>
                <w:szCs w:val="20"/>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15</w:t>
            </w:r>
          </w:p>
        </w:tc>
      </w:tr>
      <w:tr>
        <w:trPr>
          <w:trHeight w:val="249"/>
        </w:trPr>
        <w:tc>
          <w:tcPr>
            <w:tcW w:w="33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Asbestos</w:t>
            </w:r>
          </w:p>
        </w:tc>
        <w:tc>
          <w:tcPr>
            <w:tcW w:w="3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(4 )</w:t>
            </w: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(13 )</w:t>
            </w: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(4 )</w:t>
            </w: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(13 )</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7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w:t>
            </w:r>
          </w:p>
        </w:tc>
      </w:tr>
      <w:tr>
        <w:trPr>
          <w:trHeight w:val="237"/>
        </w:trPr>
        <w:tc>
          <w:tcPr>
            <w:tcW w:w="3340" w:type="dxa"/>
            <w:vAlign w:val="bottom"/>
          </w:tcPr>
          <w:p>
            <w:pPr>
              <w:ind w:left="280"/>
              <w:spacing w:after="0"/>
              <w:rPr>
                <w:sz w:val="20"/>
                <w:szCs w:val="20"/>
                <w:color w:val="auto"/>
              </w:rPr>
            </w:pPr>
            <w:r>
              <w:rPr>
                <w:rFonts w:ascii="Arial" w:cs="Arial" w:eastAsia="Arial" w:hAnsi="Arial"/>
                <w:sz w:val="18"/>
                <w:szCs w:val="18"/>
                <w:color w:val="auto"/>
              </w:rPr>
              <w:t>Water Technologies</w:t>
            </w:r>
          </w:p>
        </w:tc>
        <w:tc>
          <w:tcPr>
            <w:tcW w:w="340" w:type="dxa"/>
            <w:vAlign w:val="bottom"/>
          </w:tcPr>
          <w:p>
            <w:pPr>
              <w:spacing w:after="0"/>
              <w:rPr>
                <w:sz w:val="20"/>
                <w:szCs w:val="20"/>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(1 )</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(1 )</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1</w:t>
            </w:r>
          </w:p>
        </w:tc>
      </w:tr>
      <w:tr>
        <w:trPr>
          <w:trHeight w:val="249"/>
        </w:trPr>
        <w:tc>
          <w:tcPr>
            <w:tcW w:w="33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Distribution</w:t>
            </w:r>
          </w:p>
        </w:tc>
        <w:tc>
          <w:tcPr>
            <w:tcW w:w="3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(2 )</w:t>
            </w: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(5 )</w:t>
            </w: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(3 )</w:t>
            </w: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(7 )</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7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w:t>
            </w:r>
          </w:p>
        </w:tc>
      </w:tr>
      <w:tr>
        <w:trPr>
          <w:trHeight w:val="211"/>
        </w:trPr>
        <w:tc>
          <w:tcPr>
            <w:tcW w:w="3340" w:type="dxa"/>
            <w:vAlign w:val="bottom"/>
          </w:tcPr>
          <w:p>
            <w:pPr>
              <w:ind w:left="20"/>
              <w:spacing w:after="0"/>
              <w:rPr>
                <w:sz w:val="20"/>
                <w:szCs w:val="20"/>
                <w:color w:val="auto"/>
              </w:rPr>
            </w:pPr>
            <w:r>
              <w:rPr>
                <w:rFonts w:ascii="Arial" w:cs="Arial" w:eastAsia="Arial" w:hAnsi="Arial"/>
                <w:sz w:val="18"/>
                <w:szCs w:val="18"/>
                <w:b w:val="1"/>
                <w:bCs w:val="1"/>
                <w:color w:val="auto"/>
              </w:rPr>
              <w:t>Gain on disposal of discontinued</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41"/>
        </w:trPr>
        <w:tc>
          <w:tcPr>
            <w:tcW w:w="3340" w:type="dxa"/>
            <w:vAlign w:val="bottom"/>
          </w:tcPr>
          <w:p>
            <w:pPr>
              <w:ind w:left="140"/>
              <w:spacing w:after="0"/>
              <w:rPr>
                <w:sz w:val="20"/>
                <w:szCs w:val="20"/>
                <w:color w:val="auto"/>
              </w:rPr>
            </w:pPr>
            <w:r>
              <w:rPr>
                <w:rFonts w:ascii="Arial" w:cs="Arial" w:eastAsia="Arial" w:hAnsi="Arial"/>
                <w:sz w:val="18"/>
                <w:szCs w:val="18"/>
                <w:b w:val="1"/>
                <w:bCs w:val="1"/>
                <w:color w:val="auto"/>
              </w:rPr>
              <w:t>operations (net of tax)</w:t>
            </w: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50"/>
        </w:trPr>
        <w:tc>
          <w:tcPr>
            <w:tcW w:w="33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Performance Adhesives</w:t>
            </w:r>
          </w:p>
        </w:tc>
        <w:tc>
          <w:tcPr>
            <w:tcW w:w="34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732</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(732 )</w:t>
            </w:r>
          </w:p>
        </w:tc>
      </w:tr>
      <w:tr>
        <w:trPr>
          <w:trHeight w:val="230"/>
        </w:trPr>
        <w:tc>
          <w:tcPr>
            <w:tcW w:w="334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(15 )</w:t>
            </w: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23</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749</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(743 )</w:t>
            </w:r>
          </w:p>
        </w:tc>
      </w:tr>
      <w:tr>
        <w:trPr>
          <w:trHeight w:val="20"/>
        </w:trPr>
        <w:tc>
          <w:tcPr>
            <w:tcW w:w="3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2806700</wp:posOffset>
            </wp:positionH>
            <wp:positionV relativeFrom="paragraph">
              <wp:posOffset>-187960</wp:posOffset>
            </wp:positionV>
            <wp:extent cx="93980" cy="18859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3569970</wp:posOffset>
            </wp:positionH>
            <wp:positionV relativeFrom="paragraph">
              <wp:posOffset>-187960</wp:posOffset>
            </wp:positionV>
            <wp:extent cx="102870" cy="18859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02870" cy="188595"/>
                    </a:xfrm>
                    <a:prstGeom prst="rect">
                      <a:avLst/>
                    </a:prstGeom>
                    <a:noFill/>
                  </pic:spPr>
                </pic:pic>
              </a:graphicData>
            </a:graphic>
          </wp:anchor>
        </w:drawing>
        <w:drawing>
          <wp:anchor simplePos="0" relativeHeight="251657728" behindDoc="1" locked="0" layoutInCell="0" allowOverlap="1">
            <wp:simplePos x="0" y="0"/>
            <wp:positionH relativeFrom="column">
              <wp:posOffset>4341495</wp:posOffset>
            </wp:positionH>
            <wp:positionV relativeFrom="paragraph">
              <wp:posOffset>-187960</wp:posOffset>
            </wp:positionV>
            <wp:extent cx="102870" cy="18859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02870" cy="188595"/>
                    </a:xfrm>
                    <a:prstGeom prst="rect">
                      <a:avLst/>
                    </a:prstGeom>
                    <a:noFill/>
                  </pic:spPr>
                </pic:pic>
              </a:graphicData>
            </a:graphic>
          </wp:anchor>
        </w:drawing>
        <w:drawing>
          <wp:anchor simplePos="0" relativeHeight="251657728" behindDoc="1" locked="0" layoutInCell="0" allowOverlap="1">
            <wp:simplePos x="0" y="0"/>
            <wp:positionH relativeFrom="column">
              <wp:posOffset>5104130</wp:posOffset>
            </wp:positionH>
            <wp:positionV relativeFrom="paragraph">
              <wp:posOffset>-187960</wp:posOffset>
            </wp:positionV>
            <wp:extent cx="102870" cy="18859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02870" cy="188595"/>
                    </a:xfrm>
                    <a:prstGeom prst="rect">
                      <a:avLst/>
                    </a:prstGeom>
                    <a:noFill/>
                  </pic:spPr>
                </pic:pic>
              </a:graphicData>
            </a:graphic>
          </wp:anchor>
        </w:drawing>
        <w:drawing>
          <wp:anchor simplePos="0" relativeHeight="251657728" behindDoc="1" locked="0" layoutInCell="0" allowOverlap="1">
            <wp:simplePos x="0" y="0"/>
            <wp:positionH relativeFrom="column">
              <wp:posOffset>5875655</wp:posOffset>
            </wp:positionH>
            <wp:positionV relativeFrom="paragraph">
              <wp:posOffset>-187960</wp:posOffset>
            </wp:positionV>
            <wp:extent cx="102870" cy="18859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02870" cy="188595"/>
                    </a:xfrm>
                    <a:prstGeom prst="rect">
                      <a:avLst/>
                    </a:prstGeom>
                    <a:noFill/>
                  </pic:spPr>
                </pic:pic>
              </a:graphicData>
            </a:graphic>
          </wp:anchor>
        </w:drawing>
      </w:r>
    </w:p>
    <w:p>
      <w:pPr>
        <w:spacing w:after="0" w:line="71"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u w:val="single" w:color="auto"/>
          <w:color w:val="auto"/>
        </w:rPr>
        <w:t>Current Quarter</w:t>
      </w:r>
      <w:r>
        <w:rPr>
          <w:rFonts w:ascii="Arial" w:cs="Arial" w:eastAsia="Arial" w:hAnsi="Arial"/>
          <w:sz w:val="20"/>
          <w:szCs w:val="20"/>
          <w:color w:val="auto"/>
        </w:rPr>
        <w:t xml:space="preserve"> - The activity for Composites/Marl facility, Water Technologies and Distribution during the current and prior year quarter was related to post-closing adjustments. The Valvoline activity for the three months ended June 30, 2023 primarily represents cash proceeds related to subsequent adjustments that were made in conjunction</w:t>
      </w:r>
    </w:p>
    <w:p>
      <w:pPr>
        <w:spacing w:after="0" w:line="8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700" w:top="447" w:right="699" w:bottom="1440" w:gutter="0" w:footer="0" w:header="0"/>
        </w:sectPr>
      </w:pPr>
    </w:p>
    <w:bookmarkStart w:id="37" w:name="page38"/>
    <w:bookmarkEnd w:id="37"/>
    <w:p>
      <w:pPr>
        <w:jc w:val="both"/>
        <w:spacing w:after="0" w:line="260" w:lineRule="auto"/>
        <w:rPr>
          <w:sz w:val="20"/>
          <w:szCs w:val="20"/>
          <w:color w:val="auto"/>
        </w:rPr>
      </w:pPr>
      <w:r>
        <w:rPr>
          <w:rFonts w:ascii="Arial" w:cs="Arial" w:eastAsia="Arial" w:hAnsi="Arial"/>
          <w:sz w:val="20"/>
          <w:szCs w:val="20"/>
          <w:color w:val="auto"/>
        </w:rPr>
        <w:t>with post-closing disputes and Tax Matters Agreement. Asbestos activity in each quarter primarily relates to Ashland's annual update.</w:t>
      </w:r>
    </w:p>
    <w:p>
      <w:pPr>
        <w:spacing w:after="0" w:line="69" w:lineRule="exact"/>
        <w:rPr>
          <w:sz w:val="20"/>
          <w:szCs w:val="20"/>
          <w:color w:val="auto"/>
        </w:rPr>
      </w:pPr>
    </w:p>
    <w:p>
      <w:pPr>
        <w:jc w:val="both"/>
        <w:spacing w:after="0" w:line="257" w:lineRule="auto"/>
        <w:rPr>
          <w:sz w:val="20"/>
          <w:szCs w:val="20"/>
          <w:color w:val="auto"/>
        </w:rPr>
      </w:pPr>
      <w:r>
        <w:rPr>
          <w:rFonts w:ascii="Arial" w:cs="Arial" w:eastAsia="Arial" w:hAnsi="Arial"/>
          <w:sz w:val="19"/>
          <w:szCs w:val="19"/>
          <w:u w:val="single" w:color="auto"/>
          <w:color w:val="auto"/>
        </w:rPr>
        <w:t>Year-to-date</w:t>
      </w:r>
      <w:r>
        <w:rPr>
          <w:rFonts w:ascii="Arial" w:cs="Arial" w:eastAsia="Arial" w:hAnsi="Arial"/>
          <w:sz w:val="19"/>
          <w:szCs w:val="19"/>
          <w:color w:val="auto"/>
        </w:rPr>
        <w:t xml:space="preserve"> - The activity for Composites/Marl facility, Water Technologies and Distribution during the current and prior year periods was related to post-closing adjustments. The Performance Adhesives segment sales and pre-tax operating income included in discontinued operations were $171 million and $34 million for the prior year period. A $732 million gain on disposal was recorded in the prior year period associated with the February 28, 2022 closing of the Performance Adhesives business segment divestiture. The Valvoline activity for the nine months ended June 30, 2023 primarily represents cash proceeds related to subsequent adjustments that were made in conjunction with post-closing disputes and Tax Matters Agreement. Asbestos activity in each period primarily relates to Ashland's annual update.</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 comprehensive income (loss)</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 comparative analysis of the components of other comprehensive income is provided below for the three and nine months ended June 30, 2023 and 2022.</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250"/>
        </w:trPr>
        <w:tc>
          <w:tcPr>
            <w:tcW w:w="3680" w:type="dxa"/>
            <w:vAlign w:val="bottom"/>
            <w:tcBorders>
              <w:top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3020" w:type="dxa"/>
            <w:vAlign w:val="bottom"/>
            <w:tcBorders>
              <w:top w:val="single" w:sz="8" w:color="auto"/>
              <w:bottom w:val="single" w:sz="8" w:color="auto"/>
            </w:tcBorders>
            <w:gridSpan w:val="7"/>
          </w:tcPr>
          <w:p>
            <w:pPr>
              <w:jc w:val="right"/>
              <w:ind w:right="610"/>
              <w:spacing w:after="0"/>
              <w:rPr>
                <w:sz w:val="20"/>
                <w:szCs w:val="20"/>
                <w:color w:val="auto"/>
              </w:rPr>
            </w:pPr>
            <w:r>
              <w:rPr>
                <w:rFonts w:ascii="Arial" w:cs="Arial" w:eastAsia="Arial" w:hAnsi="Arial"/>
                <w:sz w:val="18"/>
                <w:szCs w:val="18"/>
                <w:color w:val="auto"/>
                <w:w w:val="97"/>
              </w:rPr>
              <w:t>Three months ended June 30</w:t>
            </w:r>
          </w:p>
        </w:tc>
        <w:tc>
          <w:tcPr>
            <w:tcW w:w="120" w:type="dxa"/>
            <w:vAlign w:val="bottom"/>
            <w:tcBorders>
              <w:top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2340" w:type="dxa"/>
            <w:vAlign w:val="bottom"/>
            <w:tcBorders>
              <w:top w:val="single" w:sz="8" w:color="auto"/>
              <w:bottom w:val="single" w:sz="8" w:color="auto"/>
            </w:tcBorders>
            <w:gridSpan w:val="6"/>
          </w:tcPr>
          <w:p>
            <w:pPr>
              <w:jc w:val="right"/>
              <w:ind w:right="20"/>
              <w:spacing w:after="0"/>
              <w:rPr>
                <w:sz w:val="20"/>
                <w:szCs w:val="20"/>
                <w:color w:val="auto"/>
              </w:rPr>
            </w:pPr>
            <w:r>
              <w:rPr>
                <w:rFonts w:ascii="Arial" w:cs="Arial" w:eastAsia="Arial" w:hAnsi="Arial"/>
                <w:sz w:val="18"/>
                <w:szCs w:val="18"/>
                <w:color w:val="auto"/>
              </w:rPr>
              <w:t>Nine months ended June 30</w:t>
            </w:r>
          </w:p>
        </w:tc>
        <w:tc>
          <w:tcPr>
            <w:tcW w:w="700" w:type="dxa"/>
            <w:vAlign w:val="bottom"/>
            <w:tcBorders>
              <w:top w:val="single" w:sz="8" w:color="auto"/>
              <w:bottom w:val="single" w:sz="8" w:color="auto"/>
            </w:tcBorders>
          </w:tcPr>
          <w:p>
            <w:pPr>
              <w:spacing w:after="0"/>
              <w:rPr>
                <w:sz w:val="21"/>
                <w:szCs w:val="21"/>
                <w:color w:val="auto"/>
              </w:rPr>
            </w:pPr>
          </w:p>
        </w:tc>
      </w:tr>
      <w:tr>
        <w:trPr>
          <w:trHeight w:val="237"/>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3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2023</w:t>
            </w:r>
          </w:p>
        </w:tc>
        <w:tc>
          <w:tcPr>
            <w:tcW w:w="1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2022</w:t>
            </w:r>
          </w:p>
        </w:tc>
        <w:tc>
          <w:tcPr>
            <w:tcW w:w="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8"/>
              </w:rPr>
              <w:t>Change</w:t>
            </w: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2023</w:t>
            </w:r>
          </w:p>
        </w:tc>
        <w:tc>
          <w:tcPr>
            <w:tcW w:w="2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2022</w:t>
            </w:r>
          </w:p>
        </w:tc>
        <w:tc>
          <w:tcPr>
            <w:tcW w:w="2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5"/>
              </w:rPr>
              <w:t>Change</w:t>
            </w:r>
          </w:p>
        </w:tc>
      </w:tr>
      <w:tr>
        <w:trPr>
          <w:trHeight w:val="211"/>
        </w:trPr>
        <w:tc>
          <w:tcPr>
            <w:tcW w:w="3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w w:val="99"/>
              </w:rPr>
              <w:t>Other comprehensive income (loss) (net of</w:t>
            </w: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r>
      <w:tr>
        <w:trPr>
          <w:trHeight w:val="248"/>
        </w:trPr>
        <w:tc>
          <w:tcPr>
            <w:tcW w:w="3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taxes)</w:t>
            </w:r>
          </w:p>
        </w:tc>
        <w:tc>
          <w:tcPr>
            <w:tcW w:w="30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r>
      <w:tr>
        <w:trPr>
          <w:trHeight w:val="237"/>
        </w:trPr>
        <w:tc>
          <w:tcPr>
            <w:tcW w:w="3680" w:type="dxa"/>
            <w:vAlign w:val="bottom"/>
          </w:tcPr>
          <w:p>
            <w:pPr>
              <w:ind w:left="200"/>
              <w:spacing w:after="0"/>
              <w:rPr>
                <w:sz w:val="20"/>
                <w:szCs w:val="20"/>
                <w:color w:val="auto"/>
              </w:rPr>
            </w:pPr>
            <w:r>
              <w:rPr>
                <w:rFonts w:ascii="Arial" w:cs="Arial" w:eastAsia="Arial" w:hAnsi="Arial"/>
                <w:sz w:val="18"/>
                <w:szCs w:val="18"/>
                <w:color w:val="auto"/>
              </w:rPr>
              <w:t>Unrealized translation gain (loss)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(4 )</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(86 )</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82</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105</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(107 )</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212</w:t>
            </w:r>
          </w:p>
        </w:tc>
      </w:tr>
      <w:tr>
        <w:trPr>
          <w:trHeight w:val="249"/>
        </w:trPr>
        <w:tc>
          <w:tcPr>
            <w:tcW w:w="3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w w:val="97"/>
              </w:rPr>
              <w:t>Unrealized gain (loss) on commodity hedges</w:t>
            </w:r>
          </w:p>
        </w:tc>
        <w:tc>
          <w:tcPr>
            <w:tcW w:w="30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(3 )</w:t>
            </w:r>
          </w:p>
        </w:tc>
        <w:tc>
          <w:tcPr>
            <w:tcW w:w="1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(6 )</w:t>
            </w:r>
          </w:p>
        </w:tc>
        <w:tc>
          <w:tcPr>
            <w:tcW w:w="2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(2 )</w:t>
            </w:r>
          </w:p>
        </w:tc>
        <w:tc>
          <w:tcPr>
            <w:tcW w:w="2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(4 )</w:t>
            </w:r>
          </w:p>
        </w:tc>
      </w:tr>
      <w:tr>
        <w:trPr>
          <w:trHeight w:val="230"/>
        </w:trPr>
        <w:tc>
          <w:tcPr>
            <w:tcW w:w="368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(3 )</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(89 )</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86</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99</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(109 )</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208</w:t>
            </w:r>
          </w:p>
        </w:tc>
      </w:tr>
      <w:tr>
        <w:trPr>
          <w:trHeight w:val="20"/>
        </w:trPr>
        <w:tc>
          <w:tcPr>
            <w:tcW w:w="36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2969895</wp:posOffset>
            </wp:positionH>
            <wp:positionV relativeFrom="paragraph">
              <wp:posOffset>-187960</wp:posOffset>
            </wp:positionV>
            <wp:extent cx="120015" cy="18859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0015" cy="188595"/>
                    </a:xfrm>
                    <a:prstGeom prst="rect">
                      <a:avLst/>
                    </a:prstGeom>
                    <a:noFill/>
                  </pic:spPr>
                </pic:pic>
              </a:graphicData>
            </a:graphic>
          </wp:anchor>
        </w:drawing>
        <w:drawing>
          <wp:anchor simplePos="0" relativeHeight="251657728" behindDoc="1" locked="0" layoutInCell="0" allowOverlap="1">
            <wp:simplePos x="0" y="0"/>
            <wp:positionH relativeFrom="column">
              <wp:posOffset>3707130</wp:posOffset>
            </wp:positionH>
            <wp:positionV relativeFrom="paragraph">
              <wp:posOffset>-187960</wp:posOffset>
            </wp:positionV>
            <wp:extent cx="120015" cy="18859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0015" cy="188595"/>
                    </a:xfrm>
                    <a:prstGeom prst="rect">
                      <a:avLst/>
                    </a:prstGeom>
                    <a:noFill/>
                  </pic:spPr>
                </pic:pic>
              </a:graphicData>
            </a:graphic>
          </wp:anchor>
        </w:drawing>
        <w:drawing>
          <wp:anchor simplePos="0" relativeHeight="251657728" behindDoc="1" locked="0" layoutInCell="0" allowOverlap="1">
            <wp:simplePos x="0" y="0"/>
            <wp:positionH relativeFrom="column">
              <wp:posOffset>4452620</wp:posOffset>
            </wp:positionH>
            <wp:positionV relativeFrom="paragraph">
              <wp:posOffset>-187960</wp:posOffset>
            </wp:positionV>
            <wp:extent cx="77470" cy="18859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5147310</wp:posOffset>
            </wp:positionH>
            <wp:positionV relativeFrom="paragraph">
              <wp:posOffset>-187960</wp:posOffset>
            </wp:positionV>
            <wp:extent cx="128905" cy="18859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8905" cy="188595"/>
                    </a:xfrm>
                    <a:prstGeom prst="rect">
                      <a:avLst/>
                    </a:prstGeom>
                    <a:noFill/>
                  </pic:spPr>
                </pic:pic>
              </a:graphicData>
            </a:graphic>
          </wp:anchor>
        </w:drawing>
        <w:drawing>
          <wp:anchor simplePos="0" relativeHeight="251657728" behindDoc="1" locked="0" layoutInCell="0" allowOverlap="1">
            <wp:simplePos x="0" y="0"/>
            <wp:positionH relativeFrom="column">
              <wp:posOffset>5901690</wp:posOffset>
            </wp:positionH>
            <wp:positionV relativeFrom="paragraph">
              <wp:posOffset>-187960</wp:posOffset>
            </wp:positionV>
            <wp:extent cx="128905" cy="18859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8905" cy="188595"/>
                    </a:xfrm>
                    <a:prstGeom prst="rect">
                      <a:avLst/>
                    </a:prstGeom>
                    <a:noFill/>
                  </pic:spPr>
                </pic:pic>
              </a:graphicData>
            </a:graphic>
          </wp:anchor>
        </w:drawing>
      </w:r>
    </w:p>
    <w:p>
      <w:pPr>
        <w:spacing w:after="0" w:line="7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u w:val="single" w:color="auto"/>
          <w:color w:val="auto"/>
        </w:rPr>
        <w:t>Current Quarter</w:t>
      </w:r>
      <w:r>
        <w:rPr>
          <w:rFonts w:ascii="Arial" w:cs="Arial" w:eastAsia="Arial" w:hAnsi="Arial"/>
          <w:sz w:val="20"/>
          <w:szCs w:val="20"/>
          <w:color w:val="auto"/>
        </w:rPr>
        <w:t xml:space="preserve"> - Total other comprehensive income (loss), net of tax, for the current quarter increased $86 million compared to the prior year quarter primarily as a result of the following:</w:t>
      </w:r>
    </w:p>
    <w:p>
      <w:pPr>
        <w:spacing w:after="0" w:line="69" w:lineRule="exact"/>
        <w:rPr>
          <w:sz w:val="20"/>
          <w:szCs w:val="20"/>
          <w:color w:val="auto"/>
        </w:rPr>
      </w:pPr>
    </w:p>
    <w:p>
      <w:pPr>
        <w:jc w:val="both"/>
        <w:ind w:left="740" w:hanging="363"/>
        <w:spacing w:after="0" w:line="342" w:lineRule="auto"/>
        <w:tabs>
          <w:tab w:leader="none" w:pos="7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For the three months ended June 30, 2023 and 2022, the change in unrealized gain (loss) from foreign currency translation adjustments resulted in losses of $4 million and $86 million, respectively. The fluctuations in unrealized translation gains and losses are primarily due to translating foreign subsidiary financial statements from local currencies to U.S. Dollars.</w:t>
      </w:r>
    </w:p>
    <w:p>
      <w:pPr>
        <w:spacing w:after="0" w:line="9" w:lineRule="exact"/>
        <w:rPr>
          <w:rFonts w:ascii="Arial" w:cs="Arial" w:eastAsia="Arial" w:hAnsi="Arial"/>
          <w:sz w:val="16"/>
          <w:szCs w:val="16"/>
          <w:color w:val="auto"/>
        </w:rPr>
      </w:pPr>
    </w:p>
    <w:p>
      <w:pPr>
        <w:jc w:val="both"/>
        <w:ind w:left="740" w:hanging="363"/>
        <w:spacing w:after="0" w:line="250" w:lineRule="auto"/>
        <w:tabs>
          <w:tab w:leader="none" w:pos="740" w:val="left"/>
        </w:tabs>
        <w:numPr>
          <w:ilvl w:val="0"/>
          <w:numId w:val="32"/>
        </w:numPr>
        <w:rPr>
          <w:rFonts w:ascii="Arial" w:cs="Arial" w:eastAsia="Arial" w:hAnsi="Arial"/>
          <w:sz w:val="20"/>
          <w:szCs w:val="20"/>
          <w:color w:val="auto"/>
        </w:rPr>
      </w:pPr>
      <w:r>
        <w:rPr>
          <w:rFonts w:ascii="Arial" w:cs="Arial" w:eastAsia="Arial" w:hAnsi="Arial"/>
          <w:sz w:val="20"/>
          <w:szCs w:val="20"/>
          <w:color w:val="auto"/>
        </w:rPr>
        <w:t>For the three months ended June 30, 2023 and 2022, the change in commodity hedges is primarily due to the fluctuations of the market prices of the underlying commodities. Commodity hedges resulted in unrealized gains of $1 million and losses of $3 million for the three months ended June 30, 2023 and 2022, respectively.</w:t>
      </w:r>
    </w:p>
    <w:p>
      <w:pPr>
        <w:spacing w:after="0" w:line="78" w:lineRule="exact"/>
        <w:rPr>
          <w:sz w:val="20"/>
          <w:szCs w:val="20"/>
          <w:color w:val="auto"/>
        </w:rPr>
      </w:pPr>
    </w:p>
    <w:p>
      <w:pPr>
        <w:spacing w:after="0" w:line="260" w:lineRule="auto"/>
        <w:rPr>
          <w:sz w:val="20"/>
          <w:szCs w:val="20"/>
          <w:color w:val="auto"/>
        </w:rPr>
      </w:pPr>
      <w:r>
        <w:rPr>
          <w:rFonts w:ascii="Arial" w:cs="Arial" w:eastAsia="Arial" w:hAnsi="Arial"/>
          <w:sz w:val="20"/>
          <w:szCs w:val="20"/>
          <w:u w:val="single" w:color="auto"/>
          <w:color w:val="auto"/>
        </w:rPr>
        <w:t>Year-to-date</w:t>
      </w:r>
      <w:r>
        <w:rPr>
          <w:rFonts w:ascii="Arial" w:cs="Arial" w:eastAsia="Arial" w:hAnsi="Arial"/>
          <w:sz w:val="20"/>
          <w:szCs w:val="20"/>
          <w:color w:val="auto"/>
        </w:rPr>
        <w:t xml:space="preserve"> - Total other comprehensive income (loss), net of tax, for the current year increased $208 million compared to the prior year period primarily as a result of the following:</w:t>
      </w:r>
    </w:p>
    <w:p>
      <w:pPr>
        <w:spacing w:after="0" w:line="69" w:lineRule="exact"/>
        <w:rPr>
          <w:sz w:val="20"/>
          <w:szCs w:val="20"/>
          <w:color w:val="auto"/>
        </w:rPr>
      </w:pPr>
    </w:p>
    <w:p>
      <w:pPr>
        <w:jc w:val="both"/>
        <w:ind w:left="740" w:hanging="363"/>
        <w:spacing w:after="0" w:line="246" w:lineRule="auto"/>
        <w:tabs>
          <w:tab w:leader="none" w:pos="740" w:val="left"/>
        </w:tabs>
        <w:numPr>
          <w:ilvl w:val="0"/>
          <w:numId w:val="33"/>
        </w:numPr>
        <w:rPr>
          <w:rFonts w:ascii="Arial" w:cs="Arial" w:eastAsia="Arial" w:hAnsi="Arial"/>
          <w:sz w:val="20"/>
          <w:szCs w:val="20"/>
          <w:color w:val="auto"/>
        </w:rPr>
      </w:pPr>
      <w:r>
        <w:rPr>
          <w:rFonts w:ascii="Arial" w:cs="Arial" w:eastAsia="Arial" w:hAnsi="Arial"/>
          <w:sz w:val="20"/>
          <w:szCs w:val="20"/>
          <w:color w:val="auto"/>
        </w:rPr>
        <w:t>For the nine months ended June 30, 2023, the change in unrealized gain (loss) from foreign currency translation adjustments resulted in a gain of $105 million compared to a loss of $107 million for the nine months ended June 30, 2022. The fluctuations in unrealized translation gains and losses are primarily due to translating foreign subsidiary financial statements from local currencies to U.S. Dollars.</w:t>
      </w:r>
    </w:p>
    <w:p>
      <w:pPr>
        <w:spacing w:after="0" w:line="83" w:lineRule="exact"/>
        <w:rPr>
          <w:rFonts w:ascii="Arial" w:cs="Arial" w:eastAsia="Arial" w:hAnsi="Arial"/>
          <w:sz w:val="20"/>
          <w:szCs w:val="20"/>
          <w:color w:val="auto"/>
        </w:rPr>
      </w:pPr>
    </w:p>
    <w:p>
      <w:pPr>
        <w:jc w:val="both"/>
        <w:ind w:left="740" w:hanging="363"/>
        <w:spacing w:after="0" w:line="250" w:lineRule="auto"/>
        <w:tabs>
          <w:tab w:leader="none" w:pos="740" w:val="left"/>
        </w:tabs>
        <w:numPr>
          <w:ilvl w:val="0"/>
          <w:numId w:val="33"/>
        </w:numPr>
        <w:rPr>
          <w:rFonts w:ascii="Arial" w:cs="Arial" w:eastAsia="Arial" w:hAnsi="Arial"/>
          <w:sz w:val="20"/>
          <w:szCs w:val="20"/>
          <w:color w:val="auto"/>
        </w:rPr>
      </w:pPr>
      <w:r>
        <w:rPr>
          <w:rFonts w:ascii="Arial" w:cs="Arial" w:eastAsia="Arial" w:hAnsi="Arial"/>
          <w:sz w:val="20"/>
          <w:szCs w:val="20"/>
          <w:color w:val="auto"/>
        </w:rPr>
        <w:t>For the nine months ended June 30, 2023 and 2022, the change in commodity hedges is primarily due to the fluctuations of the market prices of the underlying commodities. Commodity hedges resulted in unrealized losses of $6 million and $2 million for the nine months ended June 30, 2023 and 2022, respectively.</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Use of non-GAAP measures</w:t>
      </w:r>
    </w:p>
    <w:p>
      <w:pPr>
        <w:spacing w:after="0" w:line="10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Ashland has included within this document the following non-GAAP measures, on both a consolidated and reportable segment basis, which are not defined within U.S. GAAP and do not purport to be alternatives to net income or cash flows from operating activities as a measure of operating performance or cash flows:</w:t>
      </w:r>
    </w:p>
    <w:p>
      <w:pPr>
        <w:spacing w:after="0" w:line="78" w:lineRule="exact"/>
        <w:rPr>
          <w:sz w:val="20"/>
          <w:szCs w:val="20"/>
          <w:color w:val="auto"/>
        </w:rPr>
      </w:pPr>
    </w:p>
    <w:p>
      <w:pPr>
        <w:ind w:left="740" w:hanging="363"/>
        <w:spacing w:after="0" w:line="260" w:lineRule="auto"/>
        <w:tabs>
          <w:tab w:leader="none" w:pos="740" w:val="left"/>
        </w:tabs>
        <w:numPr>
          <w:ilvl w:val="0"/>
          <w:numId w:val="34"/>
        </w:numPr>
        <w:rPr>
          <w:rFonts w:ascii="Arial" w:cs="Arial" w:eastAsia="Arial" w:hAnsi="Arial"/>
          <w:sz w:val="20"/>
          <w:szCs w:val="20"/>
          <w:color w:val="auto"/>
        </w:rPr>
      </w:pPr>
      <w:r>
        <w:rPr>
          <w:rFonts w:ascii="Arial" w:cs="Arial" w:eastAsia="Arial" w:hAnsi="Arial"/>
          <w:sz w:val="20"/>
          <w:szCs w:val="20"/>
          <w:color w:val="auto"/>
        </w:rPr>
        <w:t>EBITDA – net income (loss), plus income tax expense (benefit), net interest and other expenses, and depreciation and amortization.</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447" w:right="719" w:bottom="1440" w:gutter="0" w:footer="0" w:header="0"/>
        </w:sectPr>
      </w:pPr>
    </w:p>
    <w:bookmarkStart w:id="38" w:name="page39"/>
    <w:bookmarkEnd w:id="38"/>
    <w:p>
      <w:pPr>
        <w:jc w:val="both"/>
        <w:ind w:left="740" w:hanging="363"/>
        <w:spacing w:after="0" w:line="250" w:lineRule="auto"/>
        <w:tabs>
          <w:tab w:leader="none" w:pos="740" w:val="left"/>
        </w:tabs>
        <w:numPr>
          <w:ilvl w:val="0"/>
          <w:numId w:val="35"/>
        </w:numPr>
        <w:rPr>
          <w:rFonts w:ascii="Arial" w:cs="Arial" w:eastAsia="Arial" w:hAnsi="Arial"/>
          <w:sz w:val="20"/>
          <w:szCs w:val="20"/>
          <w:color w:val="auto"/>
        </w:rPr>
      </w:pPr>
      <w:r>
        <w:rPr>
          <w:rFonts w:ascii="Arial" w:cs="Arial" w:eastAsia="Arial" w:hAnsi="Arial"/>
          <w:sz w:val="20"/>
          <w:szCs w:val="20"/>
          <w:color w:val="auto"/>
        </w:rPr>
        <w:t>Adjusted EBITDA – EBITDA adjusted for noncontrolling interests, discontinued operations, net income (loss) on acquisitions and divestitures, other income and (expense) and key items (including remeasurement gains and losses related to pension and other postretirement plans).</w:t>
      </w:r>
    </w:p>
    <w:p>
      <w:pPr>
        <w:spacing w:after="0" w:line="77" w:lineRule="exact"/>
        <w:rPr>
          <w:rFonts w:ascii="Arial" w:cs="Arial" w:eastAsia="Arial" w:hAnsi="Arial"/>
          <w:sz w:val="20"/>
          <w:szCs w:val="20"/>
          <w:color w:val="auto"/>
        </w:rPr>
      </w:pPr>
    </w:p>
    <w:p>
      <w:pPr>
        <w:ind w:left="740" w:hanging="363"/>
        <w:spacing w:after="0"/>
        <w:tabs>
          <w:tab w:leader="none" w:pos="740" w:val="left"/>
        </w:tabs>
        <w:numPr>
          <w:ilvl w:val="0"/>
          <w:numId w:val="35"/>
        </w:numPr>
        <w:rPr>
          <w:rFonts w:ascii="Arial" w:cs="Arial" w:eastAsia="Arial" w:hAnsi="Arial"/>
          <w:sz w:val="20"/>
          <w:szCs w:val="20"/>
          <w:color w:val="auto"/>
        </w:rPr>
      </w:pPr>
      <w:r>
        <w:rPr>
          <w:rFonts w:ascii="Arial" w:cs="Arial" w:eastAsia="Arial" w:hAnsi="Arial"/>
          <w:sz w:val="20"/>
          <w:szCs w:val="20"/>
          <w:color w:val="auto"/>
        </w:rPr>
        <w:t>Adjusted EBITDA margin – Adjusted EBITDA divided by sales.</w:t>
      </w:r>
    </w:p>
    <w:p>
      <w:pPr>
        <w:spacing w:after="0" w:line="107" w:lineRule="exact"/>
        <w:rPr>
          <w:rFonts w:ascii="Arial" w:cs="Arial" w:eastAsia="Arial" w:hAnsi="Arial"/>
          <w:sz w:val="20"/>
          <w:szCs w:val="20"/>
          <w:color w:val="auto"/>
        </w:rPr>
      </w:pPr>
    </w:p>
    <w:p>
      <w:pPr>
        <w:ind w:left="740" w:hanging="363"/>
        <w:spacing w:after="0" w:line="260" w:lineRule="auto"/>
        <w:tabs>
          <w:tab w:leader="none" w:pos="740" w:val="left"/>
        </w:tabs>
        <w:numPr>
          <w:ilvl w:val="0"/>
          <w:numId w:val="35"/>
        </w:numPr>
        <w:rPr>
          <w:rFonts w:ascii="Arial" w:cs="Arial" w:eastAsia="Arial" w:hAnsi="Arial"/>
          <w:sz w:val="20"/>
          <w:szCs w:val="20"/>
          <w:color w:val="auto"/>
        </w:rPr>
      </w:pPr>
      <w:r>
        <w:rPr>
          <w:rFonts w:ascii="Arial" w:cs="Arial" w:eastAsia="Arial" w:hAnsi="Arial"/>
          <w:sz w:val="20"/>
          <w:szCs w:val="20"/>
          <w:color w:val="auto"/>
        </w:rPr>
        <w:t>Adjusted diluted earnings per share (EPS) – income (loss) from continuing operations, adjusted for key items, net of tax, divided by the average outstanding diluted shares for the applicable period.</w:t>
      </w:r>
    </w:p>
    <w:p>
      <w:pPr>
        <w:spacing w:after="0" w:line="68" w:lineRule="exact"/>
        <w:rPr>
          <w:rFonts w:ascii="Arial" w:cs="Arial" w:eastAsia="Arial" w:hAnsi="Arial"/>
          <w:sz w:val="20"/>
          <w:szCs w:val="20"/>
          <w:color w:val="auto"/>
        </w:rPr>
      </w:pPr>
    </w:p>
    <w:p>
      <w:pPr>
        <w:jc w:val="both"/>
        <w:ind w:left="740" w:hanging="363"/>
        <w:spacing w:after="0" w:line="250" w:lineRule="auto"/>
        <w:tabs>
          <w:tab w:leader="none" w:pos="740" w:val="left"/>
        </w:tabs>
        <w:numPr>
          <w:ilvl w:val="0"/>
          <w:numId w:val="35"/>
        </w:numPr>
        <w:rPr>
          <w:rFonts w:ascii="Arial" w:cs="Arial" w:eastAsia="Arial" w:hAnsi="Arial"/>
          <w:sz w:val="20"/>
          <w:szCs w:val="20"/>
          <w:color w:val="auto"/>
        </w:rPr>
      </w:pPr>
      <w:r>
        <w:rPr>
          <w:rFonts w:ascii="Arial" w:cs="Arial" w:eastAsia="Arial" w:hAnsi="Arial"/>
          <w:sz w:val="20"/>
          <w:szCs w:val="20"/>
          <w:color w:val="auto"/>
        </w:rPr>
        <w:t>Adjusted diluted earnings per share (EPS) excluding intangibles amortization expense – Adjusted earnings per share adjusted for intangibles amortization expense net of tax, divided by the average outstanding diluted shares for the applicable period.</w:t>
      </w:r>
    </w:p>
    <w:p>
      <w:pPr>
        <w:spacing w:after="0" w:line="77" w:lineRule="exact"/>
        <w:rPr>
          <w:rFonts w:ascii="Arial" w:cs="Arial" w:eastAsia="Arial" w:hAnsi="Arial"/>
          <w:sz w:val="20"/>
          <w:szCs w:val="20"/>
          <w:color w:val="auto"/>
        </w:rPr>
      </w:pPr>
    </w:p>
    <w:p>
      <w:pPr>
        <w:ind w:left="740" w:hanging="363"/>
        <w:spacing w:after="0"/>
        <w:tabs>
          <w:tab w:leader="none" w:pos="740" w:val="left"/>
        </w:tabs>
        <w:numPr>
          <w:ilvl w:val="0"/>
          <w:numId w:val="35"/>
        </w:numPr>
        <w:rPr>
          <w:rFonts w:ascii="Arial" w:cs="Arial" w:eastAsia="Arial" w:hAnsi="Arial"/>
          <w:sz w:val="20"/>
          <w:szCs w:val="20"/>
          <w:color w:val="auto"/>
        </w:rPr>
      </w:pPr>
      <w:r>
        <w:rPr>
          <w:rFonts w:ascii="Arial" w:cs="Arial" w:eastAsia="Arial" w:hAnsi="Arial"/>
          <w:sz w:val="20"/>
          <w:szCs w:val="20"/>
          <w:color w:val="auto"/>
        </w:rPr>
        <w:t>Free cash flow – operating cash flows less capital expenditures.</w:t>
      </w:r>
    </w:p>
    <w:p>
      <w:pPr>
        <w:spacing w:after="0" w:line="107" w:lineRule="exact"/>
        <w:rPr>
          <w:rFonts w:ascii="Arial" w:cs="Arial" w:eastAsia="Arial" w:hAnsi="Arial"/>
          <w:sz w:val="20"/>
          <w:szCs w:val="20"/>
          <w:color w:val="auto"/>
        </w:rPr>
      </w:pPr>
    </w:p>
    <w:p>
      <w:pPr>
        <w:ind w:left="740" w:hanging="363"/>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Ongoing free cash flow – operating cash flows less capital expenditures and certain other adjustments as applicable.</w:t>
      </w:r>
    </w:p>
    <w:p>
      <w:pPr>
        <w:spacing w:after="0" w:line="130" w:lineRule="exact"/>
        <w:rPr>
          <w:rFonts w:ascii="Arial" w:cs="Arial" w:eastAsia="Arial" w:hAnsi="Arial"/>
          <w:sz w:val="18"/>
          <w:szCs w:val="18"/>
          <w:color w:val="auto"/>
        </w:rPr>
      </w:pPr>
    </w:p>
    <w:p>
      <w:pPr>
        <w:ind w:left="740" w:hanging="363"/>
        <w:spacing w:after="0"/>
        <w:tabs>
          <w:tab w:leader="none" w:pos="740" w:val="left"/>
        </w:tabs>
        <w:numPr>
          <w:ilvl w:val="0"/>
          <w:numId w:val="35"/>
        </w:numPr>
        <w:rPr>
          <w:rFonts w:ascii="Arial" w:cs="Arial" w:eastAsia="Arial" w:hAnsi="Arial"/>
          <w:sz w:val="20"/>
          <w:szCs w:val="20"/>
          <w:color w:val="auto"/>
        </w:rPr>
      </w:pPr>
      <w:r>
        <w:rPr>
          <w:rFonts w:ascii="Arial" w:cs="Arial" w:eastAsia="Arial" w:hAnsi="Arial"/>
          <w:sz w:val="20"/>
          <w:szCs w:val="20"/>
          <w:color w:val="auto"/>
        </w:rPr>
        <w:t>Ongoing free cash flow conversion – ongoing free cash flow divided by Adjusted EBITDA.</w:t>
      </w:r>
    </w:p>
    <w:p>
      <w:pPr>
        <w:spacing w:after="0" w:line="108"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Management believes the use of EBITDA and Adjusted EBITDA measures on a consolidated and reportable segment basis assists investors in understanding the ongoing operating performance by presenting comparable financial results between periods. Ashland believes that by removing the impact of depreciation and amortization and excluding certain non-cash charges, amounts spent on interest and taxes and certain other charges that are highly variable from year to year, EBITDA and Adjusted EBITDA provide Ashland’s investors with performance measures that reflect the impact to operations from trends in changes in sales, margin and operating expenses, providing a perspective not immediately apparent from net income and operating income. The adjustments Ashland makes to derive the non-GAAP measures of EBITDA and Adjusted EBITDA exclude items which may cause short-term fluctuations in net income and operating income and which Ashland does not consider to be the fundamental attributes or primary drivers of its business. EBITDA and Adjusted EBITDA provide disclosure on the same basis as that used by Ashland’s management to evaluate financial performance on a consolidated and reportable segment basis and provide consistency in financial reporting, facilitate internal and external comparisons of Ashland’s historical operating performance and its business units and provide continuity to investors for comparability purposes.</w:t>
      </w:r>
    </w:p>
    <w:p>
      <w:pPr>
        <w:spacing w:after="0" w:line="6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Adjusted diluted EPS metric enables Ashland to demonstrate what effect key items have on an earnings per diluted share basis by taking income (loss) from continuing operations, adjusted for key items after tax that have been identified in the Adjusted EBITDA table, and dividing by the average outstanding diluted shares for the applicable period. Ashland’s management believes this presentation is helpful to illustrate how the key items have impacted this metric during the applicable period.</w:t>
      </w:r>
    </w:p>
    <w:p>
      <w:pPr>
        <w:spacing w:after="0" w:line="53"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The Adjusted diluted EPS, excluding intangibles amortization expense metric enables Ashland to demonstrate the impact of non-cash intangibles amortization expense on EPS, in addition to the key items previously mentioned. Ashland’s management believes this presentation is helpful to illustrate how previous acquisitions impact applicable period results.</w:t>
      </w:r>
    </w:p>
    <w:p>
      <w:pPr>
        <w:spacing w:after="0" w:line="6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free cash flow metrics enable Ashland to provide a better indication of the ongoing cash being generated that is ultimately available for both debt and equity holders as well as other investment opportunities. Unlike cash flow provided by operating activities, free cash flow and ongoing free cash flow includes the impact of capital expenditures from continuing operations and other significant items impacting cash flow, providing a more complete picture of current and future cash generation. Free cash flow, ongoing free cash flow and ongoing free cash flow conversion are non-GAAP liquidity measures that Ashland believes provide useful information to management and investors about Ashland’s ability to convert Adjusted EBITDA to ongoing free cash flow. These liquidity measures are used regularly by Ashland’s stakeholders and industry peers to measure the efficiency at producing cash from regular business activities. Free cash flow, ongoing free cash flow and ongoing free cash flow conversion have certain limitations, including that they do not reflect adjustments for certain non-discretionary cash flows such as mandatory debt repayments. The amount of mandatory versus discretionary expenditures can vary significantly between periods.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447" w:right="719" w:bottom="1440" w:gutter="0" w:footer="0" w:header="0"/>
        </w:sectPr>
      </w:pPr>
    </w:p>
    <w:bookmarkStart w:id="39" w:name="page40"/>
    <w:bookmarkEnd w:id="39"/>
    <w:p>
      <w:pPr>
        <w:jc w:val="both"/>
        <w:ind w:left="380" w:right="380"/>
        <w:spacing w:after="0" w:line="244" w:lineRule="auto"/>
        <w:rPr>
          <w:sz w:val="20"/>
          <w:szCs w:val="20"/>
          <w:color w:val="auto"/>
        </w:rPr>
      </w:pPr>
      <w:r>
        <w:rPr>
          <w:rFonts w:ascii="Arial" w:cs="Arial" w:eastAsia="Arial" w:hAnsi="Arial"/>
          <w:sz w:val="20"/>
          <w:szCs w:val="20"/>
          <w:color w:val="auto"/>
        </w:rPr>
        <w:t>Although Ashland may provide forward-looking guidance for Adjusted EBITDA, Adjusted diluted EPS and ongoing free cash flow, Ashland is not reaffirming or providing forward-looking guidance for U.S. GAAP-reported financial measures or a reconciliation of forward-looking non-GAAP financial measures to the most directly comparable U.S. GAAP measure because it is unable to predict with reasonable certainty the ultimate outcome of certain significant items that affect these metrics such as domestic and international economic, political, legislative, regulatory and legal actions.</w:t>
      </w:r>
    </w:p>
    <w:p>
      <w:pPr>
        <w:spacing w:after="0" w:line="86" w:lineRule="exact"/>
        <w:rPr>
          <w:sz w:val="20"/>
          <w:szCs w:val="20"/>
          <w:color w:val="auto"/>
        </w:rPr>
      </w:pPr>
    </w:p>
    <w:p>
      <w:pPr>
        <w:jc w:val="both"/>
        <w:ind w:left="380" w:right="380"/>
        <w:spacing w:after="0" w:line="273" w:lineRule="auto"/>
        <w:rPr>
          <w:sz w:val="20"/>
          <w:szCs w:val="20"/>
          <w:color w:val="auto"/>
        </w:rPr>
      </w:pPr>
      <w:r>
        <w:rPr>
          <w:rFonts w:ascii="Arial" w:cs="Arial" w:eastAsia="Arial" w:hAnsi="Arial"/>
          <w:sz w:val="18"/>
          <w:szCs w:val="18"/>
          <w:color w:val="auto"/>
        </w:rPr>
        <w:t>These non-GAAP measures should be considered supplemental in nature and should not be construed as more significant than comparable measures defined by U.S. GAAP. Limitations associated with the use of these non-GAAP measures include that these measures do not present all of the amounts associated with our results as determined in accordance with U.S. GAAP. The non-GAAP measures provided are used by Ashland management and may not be determined in a manner consistent with the methodologies used by other companies. EBITDA and Adjusted EBITDA provide a supplemental presentation of Ashland’s operating performance on a consolidated and reportable segment basis. Adjusted EBITDA generally includes adjustments for items that impact comparability between periods. In addition, certain financial covenants related to Ashland’s 2022 Credit Agreement are based on similar non-GAAP measures and are defined further in the sections that reference this metric.</w:t>
      </w:r>
    </w:p>
    <w:p>
      <w:pPr>
        <w:spacing w:after="0" w:line="60" w:lineRule="exact"/>
        <w:rPr>
          <w:sz w:val="20"/>
          <w:szCs w:val="20"/>
          <w:color w:val="auto"/>
        </w:rPr>
      </w:pPr>
    </w:p>
    <w:p>
      <w:pPr>
        <w:ind w:left="380"/>
        <w:spacing w:after="0"/>
        <w:rPr>
          <w:sz w:val="20"/>
          <w:szCs w:val="20"/>
          <w:color w:val="auto"/>
        </w:rPr>
      </w:pPr>
      <w:r>
        <w:rPr>
          <w:rFonts w:ascii="Arial" w:cs="Arial" w:eastAsia="Arial" w:hAnsi="Arial"/>
          <w:sz w:val="20"/>
          <w:szCs w:val="20"/>
          <w:i w:val="1"/>
          <w:iCs w:val="1"/>
          <w:color w:val="auto"/>
        </w:rPr>
        <w:t>EBITDA and Adjusted EBITDA</w:t>
      </w:r>
    </w:p>
    <w:p>
      <w:pPr>
        <w:spacing w:after="0" w:line="108" w:lineRule="exact"/>
        <w:rPr>
          <w:sz w:val="20"/>
          <w:szCs w:val="20"/>
          <w:color w:val="auto"/>
        </w:rPr>
      </w:pPr>
    </w:p>
    <w:p>
      <w:pPr>
        <w:jc w:val="both"/>
        <w:ind w:left="380" w:right="380"/>
        <w:spacing w:after="0" w:line="243" w:lineRule="auto"/>
        <w:rPr>
          <w:sz w:val="20"/>
          <w:szCs w:val="20"/>
          <w:color w:val="auto"/>
        </w:rPr>
      </w:pPr>
      <w:r>
        <w:rPr>
          <w:rFonts w:ascii="Arial" w:cs="Arial" w:eastAsia="Arial" w:hAnsi="Arial"/>
          <w:sz w:val="20"/>
          <w:szCs w:val="20"/>
          <w:color w:val="auto"/>
        </w:rPr>
        <w:t>EBITDA totaled income of $130 million and $157 million for the three months ended June 30, 2023 and 2022, respectively, and $363 million and $1,185 million for the nine months ended June 30, 2023 and 2022, respectively. EBITDA and Adjusted EBITDA results in the table below have been prepared to illustrate the ongoing effects of Ashland’s operations, which exclude certain key items previously described. Management believes the use of such non-GAAP measures on a consolidated and reportable segment basis assists investors in understanding the ongoing operating performance by presenting the financial results between periods on a more comparable basis.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00" w:type="dxa"/>
            <w:vAlign w:val="bottom"/>
          </w:tcPr>
          <w:p>
            <w:pPr>
              <w:spacing w:after="0"/>
              <w:rPr>
                <w:sz w:val="21"/>
                <w:szCs w:val="21"/>
                <w:color w:val="auto"/>
              </w:rPr>
            </w:pPr>
          </w:p>
        </w:tc>
        <w:tc>
          <w:tcPr>
            <w:tcW w:w="468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880" w:type="dxa"/>
            <w:vAlign w:val="bottom"/>
            <w:tcBorders>
              <w:top w:val="single" w:sz="8" w:color="auto"/>
            </w:tcBorders>
            <w:gridSpan w:val="4"/>
          </w:tcPr>
          <w:p>
            <w:pPr>
              <w:jc w:val="right"/>
              <w:ind w:right="250"/>
              <w:spacing w:after="0"/>
              <w:rPr>
                <w:sz w:val="20"/>
                <w:szCs w:val="20"/>
                <w:color w:val="auto"/>
              </w:rPr>
            </w:pPr>
            <w:r>
              <w:rPr>
                <w:rFonts w:ascii="Arial" w:cs="Arial" w:eastAsia="Arial" w:hAnsi="Arial"/>
                <w:sz w:val="18"/>
                <w:szCs w:val="18"/>
                <w:color w:val="auto"/>
                <w:w w:val="91"/>
              </w:rPr>
              <w:t>Three months ended</w:t>
            </w:r>
          </w:p>
        </w:tc>
        <w:tc>
          <w:tcPr>
            <w:tcW w:w="18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840" w:type="dxa"/>
            <w:vAlign w:val="bottom"/>
            <w:tcBorders>
              <w:top w:val="single" w:sz="8" w:color="auto"/>
            </w:tcBorders>
            <w:gridSpan w:val="4"/>
          </w:tcPr>
          <w:p>
            <w:pPr>
              <w:jc w:val="right"/>
              <w:ind w:right="270"/>
              <w:spacing w:after="0"/>
              <w:rPr>
                <w:sz w:val="20"/>
                <w:szCs w:val="20"/>
                <w:color w:val="auto"/>
              </w:rPr>
            </w:pPr>
            <w:r>
              <w:rPr>
                <w:rFonts w:ascii="Arial" w:cs="Arial" w:eastAsia="Arial" w:hAnsi="Arial"/>
                <w:sz w:val="18"/>
                <w:szCs w:val="18"/>
                <w:color w:val="auto"/>
                <w:w w:val="93"/>
              </w:rPr>
              <w:t>Nine months ended</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40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color w:val="auto"/>
              </w:rPr>
              <w:t>June 30</w:t>
            </w:r>
          </w:p>
        </w:tc>
        <w:tc>
          <w:tcPr>
            <w:tcW w:w="66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June 30</w:t>
            </w:r>
          </w:p>
        </w:tc>
        <w:tc>
          <w:tcPr>
            <w:tcW w:w="660" w:type="dxa"/>
            <w:vAlign w:val="bottom"/>
            <w:tcBorders>
              <w:bottom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0" w:type="dxa"/>
            <w:vAlign w:val="bottom"/>
          </w:tcPr>
          <w:p>
            <w:pPr>
              <w:spacing w:after="0"/>
              <w:rPr>
                <w:sz w:val="20"/>
                <w:szCs w:val="20"/>
                <w:color w:val="auto"/>
              </w:rPr>
            </w:pPr>
          </w:p>
        </w:tc>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15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2023</w:t>
            </w:r>
          </w:p>
        </w:tc>
        <w:tc>
          <w:tcPr>
            <w:tcW w:w="2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2022</w:t>
            </w: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2023</w:t>
            </w: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2022</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4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1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50</w:t>
            </w:r>
          </w:p>
        </w:tc>
        <w:tc>
          <w:tcPr>
            <w:tcW w:w="4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36</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182</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870</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0" w:type="dxa"/>
            <w:vAlign w:val="bottom"/>
          </w:tcPr>
          <w:p>
            <w:pPr>
              <w:spacing w:after="0"/>
              <w:rPr>
                <w:sz w:val="20"/>
                <w:szCs w:val="20"/>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rPr>
              <w:t>Income tax expense</w:t>
            </w:r>
          </w:p>
        </w:tc>
        <w:tc>
          <w:tcPr>
            <w:tcW w:w="1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25</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00" w:type="dxa"/>
            <w:vAlign w:val="bottom"/>
          </w:tcPr>
          <w:p>
            <w:pPr>
              <w:spacing w:after="0"/>
              <w:rPr>
                <w:sz w:val="21"/>
                <w:szCs w:val="21"/>
                <w:color w:val="auto"/>
              </w:rPr>
            </w:pPr>
          </w:p>
        </w:tc>
        <w:tc>
          <w:tcPr>
            <w:tcW w:w="4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Net interest and other expense (income)</w:t>
            </w:r>
          </w:p>
        </w:tc>
        <w:tc>
          <w:tcPr>
            <w:tcW w:w="15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59</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(21 )</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108</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5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61</w:t>
            </w:r>
          </w:p>
        </w:tc>
        <w:tc>
          <w:tcPr>
            <w:tcW w:w="1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181</w:t>
            </w: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182</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0" w:type="dxa"/>
            <w:vAlign w:val="bottom"/>
          </w:tcPr>
          <w:p>
            <w:pPr>
              <w:spacing w:after="0"/>
              <w:rPr>
                <w:sz w:val="20"/>
                <w:szCs w:val="20"/>
                <w:color w:val="auto"/>
              </w:rPr>
            </w:pPr>
          </w:p>
        </w:tc>
        <w:tc>
          <w:tcPr>
            <w:tcW w:w="4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EBITDA</w:t>
            </w:r>
          </w:p>
        </w:tc>
        <w:tc>
          <w:tcPr>
            <w:tcW w:w="15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130</w:t>
            </w: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157</w:t>
            </w: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363</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6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1,185</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0" w:type="dxa"/>
            <w:vAlign w:val="bottom"/>
          </w:tcPr>
          <w:p>
            <w:pPr>
              <w:spacing w:after="0"/>
              <w:rPr>
                <w:sz w:val="20"/>
                <w:szCs w:val="20"/>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rPr>
              <w:t>Loss (income) from discontinued operations (net of tax)</w:t>
            </w:r>
          </w:p>
        </w:tc>
        <w:tc>
          <w:tcPr>
            <w:tcW w:w="1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(8 )</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(6 )</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(749 )</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00" w:type="dxa"/>
            <w:vAlign w:val="bottom"/>
          </w:tcPr>
          <w:p>
            <w:pPr>
              <w:spacing w:after="0"/>
              <w:rPr>
                <w:sz w:val="21"/>
                <w:szCs w:val="21"/>
                <w:color w:val="auto"/>
              </w:rPr>
            </w:pPr>
          </w:p>
        </w:tc>
        <w:tc>
          <w:tcPr>
            <w:tcW w:w="4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Key items included in EBITDA:</w:t>
            </w:r>
          </w:p>
        </w:tc>
        <w:tc>
          <w:tcPr>
            <w:tcW w:w="15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0" w:type="dxa"/>
            <w:vAlign w:val="bottom"/>
          </w:tcPr>
          <w:p>
            <w:pPr>
              <w:spacing w:after="0"/>
              <w:rPr>
                <w:sz w:val="20"/>
                <w:szCs w:val="20"/>
                <w:color w:val="auto"/>
              </w:rPr>
            </w:pPr>
          </w:p>
        </w:tc>
        <w:tc>
          <w:tcPr>
            <w:tcW w:w="4680" w:type="dxa"/>
            <w:vAlign w:val="bottom"/>
          </w:tcPr>
          <w:p>
            <w:pPr>
              <w:ind w:left="280"/>
              <w:spacing w:after="0"/>
              <w:rPr>
                <w:sz w:val="20"/>
                <w:szCs w:val="20"/>
                <w:color w:val="auto"/>
              </w:rPr>
            </w:pPr>
            <w:r>
              <w:rPr>
                <w:rFonts w:ascii="Arial" w:cs="Arial" w:eastAsia="Arial" w:hAnsi="Arial"/>
                <w:sz w:val="18"/>
                <w:szCs w:val="18"/>
                <w:color w:val="auto"/>
              </w:rPr>
              <w:t>Restructuring, separation and other costs</w:t>
            </w:r>
          </w:p>
        </w:tc>
        <w:tc>
          <w:tcPr>
            <w:tcW w:w="1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3</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00" w:type="dxa"/>
            <w:vAlign w:val="bottom"/>
          </w:tcPr>
          <w:p>
            <w:pPr>
              <w:spacing w:after="0"/>
              <w:rPr>
                <w:sz w:val="21"/>
                <w:szCs w:val="21"/>
                <w:color w:val="auto"/>
              </w:rPr>
            </w:pPr>
          </w:p>
        </w:tc>
        <w:tc>
          <w:tcPr>
            <w:tcW w:w="46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Environmental reserve adjustments</w:t>
            </w:r>
          </w:p>
        </w:tc>
        <w:tc>
          <w:tcPr>
            <w:tcW w:w="15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46</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0" w:type="dxa"/>
            <w:vAlign w:val="bottom"/>
          </w:tcPr>
          <w:p>
            <w:pPr>
              <w:spacing w:after="0"/>
              <w:rPr>
                <w:sz w:val="20"/>
                <w:szCs w:val="20"/>
                <w:color w:val="auto"/>
              </w:rPr>
            </w:pPr>
          </w:p>
        </w:tc>
        <w:tc>
          <w:tcPr>
            <w:tcW w:w="4680" w:type="dxa"/>
            <w:vAlign w:val="bottom"/>
          </w:tcPr>
          <w:p>
            <w:pPr>
              <w:ind w:left="280"/>
              <w:spacing w:after="0"/>
              <w:rPr>
                <w:sz w:val="20"/>
                <w:szCs w:val="20"/>
                <w:color w:val="auto"/>
              </w:rPr>
            </w:pPr>
            <w:r>
              <w:rPr>
                <w:rFonts w:ascii="Arial" w:cs="Arial" w:eastAsia="Arial" w:hAnsi="Arial"/>
                <w:sz w:val="18"/>
                <w:szCs w:val="18"/>
                <w:color w:val="auto"/>
              </w:rPr>
              <w:t>Asset impairments</w:t>
            </w:r>
          </w:p>
        </w:tc>
        <w:tc>
          <w:tcPr>
            <w:tcW w:w="1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00" w:type="dxa"/>
            <w:vAlign w:val="bottom"/>
          </w:tcPr>
          <w:p>
            <w:pPr>
              <w:spacing w:after="0"/>
              <w:rPr>
                <w:sz w:val="21"/>
                <w:szCs w:val="21"/>
                <w:color w:val="auto"/>
              </w:rPr>
            </w:pPr>
          </w:p>
        </w:tc>
        <w:tc>
          <w:tcPr>
            <w:tcW w:w="46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ICMS Brazil tax credit</w:t>
            </w:r>
          </w:p>
        </w:tc>
        <w:tc>
          <w:tcPr>
            <w:tcW w:w="15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(12 )</w:t>
            </w: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(12 )</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4680" w:type="dxa"/>
            <w:vAlign w:val="bottom"/>
          </w:tcPr>
          <w:p>
            <w:pPr>
              <w:ind w:left="280"/>
              <w:spacing w:after="0"/>
              <w:rPr>
                <w:sz w:val="20"/>
                <w:szCs w:val="20"/>
                <w:color w:val="auto"/>
              </w:rPr>
            </w:pPr>
            <w:r>
              <w:rPr>
                <w:rFonts w:ascii="Arial" w:cs="Arial" w:eastAsia="Arial" w:hAnsi="Arial"/>
                <w:sz w:val="18"/>
                <w:szCs w:val="18"/>
                <w:color w:val="auto"/>
              </w:rPr>
              <w:t>Income on acquisitions and divestitures, net</w:t>
            </w:r>
          </w:p>
        </w:tc>
        <w:tc>
          <w:tcPr>
            <w:tcW w:w="15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(35 )</w:t>
            </w:r>
          </w:p>
        </w:tc>
        <w:tc>
          <w:tcPr>
            <w:tcW w:w="1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(42 )</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0" w:type="dxa"/>
            <w:vAlign w:val="bottom"/>
          </w:tcPr>
          <w:p>
            <w:pPr>
              <w:spacing w:after="0"/>
              <w:rPr>
                <w:sz w:val="20"/>
                <w:szCs w:val="20"/>
                <w:color w:val="auto"/>
              </w:rPr>
            </w:pPr>
          </w:p>
        </w:tc>
        <w:tc>
          <w:tcPr>
            <w:tcW w:w="4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key items included in EBITDA</w:t>
            </w:r>
          </w:p>
        </w:tc>
        <w:tc>
          <w:tcPr>
            <w:tcW w:w="15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11</w:t>
            </w:r>
          </w:p>
        </w:tc>
        <w:tc>
          <w:tcPr>
            <w:tcW w:w="2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28</w:t>
            </w:r>
          </w:p>
        </w:tc>
        <w:tc>
          <w:tcPr>
            <w:tcW w:w="2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7</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0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15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133</w:t>
            </w:r>
          </w:p>
        </w:tc>
        <w:tc>
          <w:tcPr>
            <w:tcW w:w="2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174</w:t>
            </w:r>
          </w:p>
        </w:tc>
        <w:tc>
          <w:tcPr>
            <w:tcW w:w="1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385</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443</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0" w:type="dxa"/>
            <w:vAlign w:val="bottom"/>
          </w:tcPr>
          <w:p>
            <w:pPr>
              <w:spacing w:after="0"/>
              <w:rPr>
                <w:sz w:val="19"/>
                <w:szCs w:val="19"/>
                <w:color w:val="auto"/>
              </w:rPr>
            </w:pPr>
          </w:p>
        </w:tc>
        <w:tc>
          <w:tcPr>
            <w:tcW w:w="468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60" w:type="dxa"/>
            <w:vAlign w:val="bottom"/>
            <w:gridSpan w:val="2"/>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60" w:type="dxa"/>
            <w:vAlign w:val="bottom"/>
            <w:gridSpan w:val="2"/>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Total key items included in EBITDA</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11</w:t>
            </w:r>
          </w:p>
        </w:tc>
        <w:tc>
          <w:tcPr>
            <w:tcW w:w="4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28</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7</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00" w:type="dxa"/>
            <w:vAlign w:val="bottom"/>
          </w:tcPr>
          <w:p>
            <w:pPr>
              <w:spacing w:after="0"/>
              <w:rPr>
                <w:sz w:val="21"/>
                <w:szCs w:val="21"/>
                <w:color w:val="auto"/>
              </w:rPr>
            </w:pPr>
          </w:p>
        </w:tc>
        <w:tc>
          <w:tcPr>
            <w:tcW w:w="4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Unrealized (gain) loss on securities</w:t>
            </w:r>
          </w:p>
        </w:tc>
        <w:tc>
          <w:tcPr>
            <w:tcW w:w="15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(6 )</w:t>
            </w:r>
          </w:p>
        </w:tc>
        <w:tc>
          <w:tcPr>
            <w:tcW w:w="2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48</w:t>
            </w:r>
          </w:p>
        </w:tc>
        <w:tc>
          <w:tcPr>
            <w:tcW w:w="1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(47 )</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72</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Total key items, before tax</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5</w:t>
            </w:r>
          </w:p>
        </w:tc>
        <w:tc>
          <w:tcPr>
            <w:tcW w:w="4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50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(19 )</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79</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520" w:type="dxa"/>
            <w:vAlign w:val="bottom"/>
            <w:vMerge w:val="restart"/>
          </w:tcPr>
          <w:p>
            <w:pPr>
              <w:jc w:val="right"/>
              <w:ind w:right="790"/>
              <w:spacing w:after="0"/>
              <w:rPr>
                <w:sz w:val="20"/>
                <w:szCs w:val="20"/>
                <w:color w:val="auto"/>
              </w:rPr>
            </w:pPr>
            <w:r>
              <w:rPr>
                <w:rFonts w:ascii="Arial" w:cs="Arial" w:eastAsia="Arial" w:hAnsi="Arial"/>
                <w:sz w:val="18"/>
                <w:szCs w:val="18"/>
                <w:color w:val="auto"/>
              </w:rPr>
              <w:t>40</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0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0" w:type="dxa"/>
            <w:vAlign w:val="bottom"/>
            <w:tcBorders>
              <w:bottom w:val="single" w:sz="8" w:color="9A9A9A"/>
            </w:tcBorders>
          </w:tcPr>
          <w:p>
            <w:pPr>
              <w:spacing w:after="0"/>
              <w:rPr>
                <w:sz w:val="10"/>
                <w:szCs w:val="10"/>
                <w:color w:val="auto"/>
              </w:rPr>
            </w:pPr>
          </w:p>
        </w:tc>
        <w:tc>
          <w:tcPr>
            <w:tcW w:w="468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-1268095</wp:posOffset>
            </wp:positionV>
            <wp:extent cx="120015" cy="18859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0015" cy="18859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-1268095</wp:posOffset>
            </wp:positionV>
            <wp:extent cx="120015" cy="18859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0015" cy="18859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-1268095</wp:posOffset>
            </wp:positionV>
            <wp:extent cx="120015" cy="18859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0015" cy="18859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-616585</wp:posOffset>
            </wp:positionV>
            <wp:extent cx="120015" cy="18859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0015" cy="18859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-616585</wp:posOffset>
            </wp:positionV>
            <wp:extent cx="120015" cy="18859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0015" cy="18859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-616585</wp:posOffset>
            </wp:positionV>
            <wp:extent cx="120015" cy="18859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0015"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40" w:name="page41"/>
    <w:bookmarkEnd w:id="40"/>
    <w:p>
      <w:pPr>
        <w:ind w:left="380"/>
        <w:spacing w:after="0"/>
        <w:rPr>
          <w:sz w:val="20"/>
          <w:szCs w:val="20"/>
          <w:color w:val="auto"/>
        </w:rPr>
      </w:pPr>
      <w:r>
        <w:rPr>
          <w:rFonts w:ascii="Arial" w:cs="Arial" w:eastAsia="Arial" w:hAnsi="Arial"/>
          <w:sz w:val="20"/>
          <w:szCs w:val="20"/>
          <w:i w:val="1"/>
          <w:iCs w:val="1"/>
          <w:color w:val="auto"/>
        </w:rPr>
        <w:t>Diluted EPS and Adjusted Diluted EPS</w:t>
      </w:r>
    </w:p>
    <w:p>
      <w:pPr>
        <w:spacing w:after="0" w:line="108" w:lineRule="exact"/>
        <w:rPr>
          <w:sz w:val="20"/>
          <w:szCs w:val="20"/>
          <w:color w:val="auto"/>
        </w:rPr>
      </w:pPr>
    </w:p>
    <w:p>
      <w:pPr>
        <w:jc w:val="both"/>
        <w:ind w:left="380"/>
        <w:spacing w:after="0" w:line="273" w:lineRule="auto"/>
        <w:rPr>
          <w:sz w:val="20"/>
          <w:szCs w:val="20"/>
          <w:color w:val="auto"/>
        </w:rPr>
      </w:pPr>
      <w:r>
        <w:rPr>
          <w:rFonts w:ascii="Arial" w:cs="Arial" w:eastAsia="Arial" w:hAnsi="Arial"/>
          <w:sz w:val="18"/>
          <w:szCs w:val="18"/>
          <w:color w:val="auto"/>
        </w:rPr>
        <w:t>The following table reflects the U.S. GAAP calculation for the income from continuing operations adjusted for the cumulative diluted EPS effect for key items after tax that have been identified in the Adjusted EBITDA table in the previous section. Key items are defined as the financial effects from significant transactions that may have caused short-term fluctuations in net income and/or operating income which Ashland believes do not accurately reflect Ashland’s underlying business performance and trends. The Adjusted diluted EPS for the income from continuing operations in the following table has been prepared to illustrate the ongoing effects of Ashland’s operations. Management believes investors and analysts use this financial measure in assessing Ashland's business performance and that presenting this non-GAAP measure on a consolidated basis assists investors in better understanding Ashland’s ongoing business performance and enhances their ability to compare period-to-period financial results.</w:t>
      </w:r>
    </w:p>
    <w:p>
      <w:pPr>
        <w:spacing w:after="0" w:line="98" w:lineRule="exact"/>
        <w:rPr>
          <w:sz w:val="20"/>
          <w:szCs w:val="20"/>
          <w:color w:val="auto"/>
        </w:rPr>
      </w:pPr>
    </w:p>
    <w:tbl>
      <w:tblPr>
        <w:tblLayout w:type="fixed"/>
        <w:tblInd w:w="400" w:type="dxa"/>
        <w:tblCellMar>
          <w:top w:w="0" w:type="dxa"/>
          <w:left w:w="0" w:type="dxa"/>
          <w:bottom w:w="0" w:type="dxa"/>
          <w:right w:w="0" w:type="dxa"/>
        </w:tblCellMar>
      </w:tblPr>
      <w:tr>
        <w:trPr>
          <w:trHeight w:val="244"/>
        </w:trPr>
        <w:tc>
          <w:tcPr>
            <w:tcW w:w="620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860" w:type="dxa"/>
            <w:vAlign w:val="bottom"/>
            <w:tcBorders>
              <w:top w:val="single" w:sz="8" w:color="auto"/>
            </w:tcBorders>
            <w:gridSpan w:val="4"/>
          </w:tcPr>
          <w:p>
            <w:pPr>
              <w:jc w:val="right"/>
              <w:ind w:right="250"/>
              <w:spacing w:after="0"/>
              <w:rPr>
                <w:sz w:val="20"/>
                <w:szCs w:val="20"/>
                <w:color w:val="auto"/>
              </w:rPr>
            </w:pPr>
            <w:r>
              <w:rPr>
                <w:rFonts w:ascii="Arial" w:cs="Arial" w:eastAsia="Arial" w:hAnsi="Arial"/>
                <w:sz w:val="18"/>
                <w:szCs w:val="18"/>
                <w:color w:val="auto"/>
                <w:w w:val="90"/>
              </w:rPr>
              <w:t>Three months ended</w:t>
            </w:r>
          </w:p>
        </w:tc>
        <w:tc>
          <w:tcPr>
            <w:tcW w:w="2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840" w:type="dxa"/>
            <w:vAlign w:val="bottom"/>
            <w:tcBorders>
              <w:top w:val="single" w:sz="8" w:color="auto"/>
            </w:tcBorders>
            <w:gridSpan w:val="4"/>
          </w:tcPr>
          <w:p>
            <w:pPr>
              <w:jc w:val="right"/>
              <w:ind w:right="290"/>
              <w:spacing w:after="0"/>
              <w:rPr>
                <w:sz w:val="20"/>
                <w:szCs w:val="20"/>
                <w:color w:val="auto"/>
              </w:rPr>
            </w:pPr>
            <w:r>
              <w:rPr>
                <w:rFonts w:ascii="Arial" w:cs="Arial" w:eastAsia="Arial" w:hAnsi="Arial"/>
                <w:sz w:val="18"/>
                <w:szCs w:val="18"/>
                <w:color w:val="auto"/>
                <w:w w:val="92"/>
              </w:rPr>
              <w:t>Nine months ended</w:t>
            </w:r>
          </w:p>
        </w:tc>
        <w:tc>
          <w:tcPr>
            <w:tcW w:w="0" w:type="dxa"/>
            <w:vAlign w:val="bottom"/>
          </w:tcPr>
          <w:p>
            <w:pPr>
              <w:spacing w:after="0"/>
              <w:rPr>
                <w:sz w:val="1"/>
                <w:szCs w:val="1"/>
                <w:color w:val="auto"/>
              </w:rPr>
            </w:pPr>
          </w:p>
        </w:tc>
      </w:tr>
      <w:tr>
        <w:trPr>
          <w:trHeight w:val="249"/>
        </w:trPr>
        <w:tc>
          <w:tcPr>
            <w:tcW w:w="6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color w:val="auto"/>
              </w:rPr>
              <w:t>June 30</w:t>
            </w:r>
          </w:p>
        </w:tc>
        <w:tc>
          <w:tcPr>
            <w:tcW w:w="66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color w:val="auto"/>
              </w:rPr>
              <w:t>June 30</w:t>
            </w:r>
          </w:p>
        </w:tc>
        <w:tc>
          <w:tcPr>
            <w:tcW w:w="6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2023</w:t>
            </w:r>
          </w:p>
        </w:tc>
        <w:tc>
          <w:tcPr>
            <w:tcW w:w="1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2022</w:t>
            </w: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2023</w:t>
            </w: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43"/>
        </w:trPr>
        <w:tc>
          <w:tcPr>
            <w:tcW w:w="6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Diluted EPS from continuing operations (as reported)</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0.79</w:t>
            </w:r>
          </w:p>
        </w:tc>
        <w:tc>
          <w:tcPr>
            <w:tcW w:w="4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0.93</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3.24</w:t>
            </w:r>
          </w:p>
        </w:tc>
        <w:tc>
          <w:tcPr>
            <w:tcW w:w="4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37"/>
        </w:trPr>
        <w:tc>
          <w:tcPr>
            <w:tcW w:w="6200" w:type="dxa"/>
            <w:vAlign w:val="bottom"/>
          </w:tcPr>
          <w:p>
            <w:pPr>
              <w:ind w:left="20"/>
              <w:spacing w:after="0"/>
              <w:rPr>
                <w:sz w:val="20"/>
                <w:szCs w:val="20"/>
                <w:color w:val="auto"/>
              </w:rPr>
            </w:pPr>
            <w:r>
              <w:rPr>
                <w:rFonts w:ascii="Arial" w:cs="Arial" w:eastAsia="Arial" w:hAnsi="Arial"/>
                <w:sz w:val="18"/>
                <w:szCs w:val="18"/>
                <w:color w:val="auto"/>
              </w:rPr>
              <w:t>Key items, before tax:</w:t>
            </w: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2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Restructuring, separation and other costs</w:t>
            </w:r>
          </w:p>
        </w:tc>
        <w:tc>
          <w:tcPr>
            <w:tcW w:w="16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0.09</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0.02</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0.09</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37"/>
        </w:trPr>
        <w:tc>
          <w:tcPr>
            <w:tcW w:w="6200" w:type="dxa"/>
            <w:vAlign w:val="bottom"/>
          </w:tcPr>
          <w:p>
            <w:pPr>
              <w:ind w:left="200"/>
              <w:spacing w:after="0"/>
              <w:rPr>
                <w:sz w:val="20"/>
                <w:szCs w:val="20"/>
                <w:color w:val="auto"/>
              </w:rPr>
            </w:pPr>
            <w:r>
              <w:rPr>
                <w:rFonts w:ascii="Arial" w:cs="Arial" w:eastAsia="Arial" w:hAnsi="Arial"/>
                <w:sz w:val="18"/>
                <w:szCs w:val="18"/>
                <w:color w:val="auto"/>
              </w:rPr>
              <w:t>Environmental reserve adjustments</w:t>
            </w:r>
          </w:p>
        </w:tc>
        <w:tc>
          <w:tcPr>
            <w:tcW w:w="160" w:type="dxa"/>
            <w:vAlign w:val="bottom"/>
          </w:tcPr>
          <w:p>
            <w:pPr>
              <w:spacing w:after="0"/>
              <w:rPr>
                <w:sz w:val="20"/>
                <w:szCs w:val="20"/>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0.36</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0.65</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0.58</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0.81</w:t>
            </w:r>
          </w:p>
        </w:tc>
        <w:tc>
          <w:tcPr>
            <w:tcW w:w="0" w:type="dxa"/>
            <w:vAlign w:val="bottom"/>
          </w:tcPr>
          <w:p>
            <w:pPr>
              <w:spacing w:after="0"/>
              <w:rPr>
                <w:sz w:val="1"/>
                <w:szCs w:val="1"/>
                <w:color w:val="auto"/>
              </w:rPr>
            </w:pPr>
          </w:p>
        </w:tc>
      </w:tr>
      <w:tr>
        <w:trPr>
          <w:trHeight w:val="249"/>
        </w:trPr>
        <w:tc>
          <w:tcPr>
            <w:tcW w:w="62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Asset impairments</w:t>
            </w:r>
          </w:p>
        </w:tc>
        <w:tc>
          <w:tcPr>
            <w:tcW w:w="16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0.07</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200" w:type="dxa"/>
            <w:vAlign w:val="bottom"/>
          </w:tcPr>
          <w:p>
            <w:pPr>
              <w:ind w:left="200"/>
              <w:spacing w:after="0"/>
              <w:rPr>
                <w:sz w:val="20"/>
                <w:szCs w:val="20"/>
                <w:color w:val="auto"/>
              </w:rPr>
            </w:pPr>
            <w:r>
              <w:rPr>
                <w:rFonts w:ascii="Arial" w:cs="Arial" w:eastAsia="Arial" w:hAnsi="Arial"/>
                <w:sz w:val="18"/>
                <w:szCs w:val="18"/>
                <w:color w:val="auto"/>
              </w:rPr>
              <w:t>ICMS Brazil tax credit</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(0.23 )</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(0.22 )</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2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Unrealized (gain) loss on securities</w:t>
            </w:r>
          </w:p>
        </w:tc>
        <w:tc>
          <w:tcPr>
            <w:tcW w:w="1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(0.12 )</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0.87</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(0.87 )</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43"/>
        </w:trPr>
        <w:tc>
          <w:tcPr>
            <w:tcW w:w="6200" w:type="dxa"/>
            <w:vAlign w:val="bottom"/>
          </w:tcPr>
          <w:p>
            <w:pPr>
              <w:ind w:left="200"/>
              <w:spacing w:after="0"/>
              <w:rPr>
                <w:sz w:val="20"/>
                <w:szCs w:val="20"/>
                <w:color w:val="auto"/>
              </w:rPr>
            </w:pPr>
            <w:r>
              <w:rPr>
                <w:rFonts w:ascii="Arial" w:cs="Arial" w:eastAsia="Arial" w:hAnsi="Arial"/>
                <w:sz w:val="18"/>
                <w:szCs w:val="18"/>
                <w:color w:val="auto"/>
              </w:rPr>
              <w:t>Income on acquisitions and divestitures, net</w:t>
            </w: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(0.63 )</w:t>
            </w:r>
          </w:p>
        </w:tc>
        <w:tc>
          <w:tcPr>
            <w:tcW w:w="2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(0.73 )</w:t>
            </w:r>
          </w:p>
        </w:tc>
        <w:tc>
          <w:tcPr>
            <w:tcW w:w="0" w:type="dxa"/>
            <w:vAlign w:val="bottom"/>
          </w:tcPr>
          <w:p>
            <w:pPr>
              <w:spacing w:after="0"/>
              <w:rPr>
                <w:sz w:val="1"/>
                <w:szCs w:val="1"/>
                <w:color w:val="auto"/>
              </w:rPr>
            </w:pPr>
          </w:p>
        </w:tc>
      </w:tr>
      <w:tr>
        <w:trPr>
          <w:trHeight w:val="237"/>
        </w:trPr>
        <w:tc>
          <w:tcPr>
            <w:tcW w:w="6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Key items, before tax</w:t>
            </w:r>
          </w:p>
        </w:tc>
        <w:tc>
          <w:tcPr>
            <w:tcW w:w="160" w:type="dxa"/>
            <w:vAlign w:val="bottom"/>
            <w:shd w:val="clear" w:color="auto" w:fill="CFF0FC"/>
          </w:tcPr>
          <w:p>
            <w:pPr>
              <w:spacing w:after="0"/>
              <w:rPr>
                <w:sz w:val="20"/>
                <w:szCs w:val="20"/>
                <w:color w:val="auto"/>
              </w:rPr>
            </w:pPr>
          </w:p>
        </w:tc>
        <w:tc>
          <w:tcPr>
            <w:tcW w:w="7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0.10</w:t>
            </w:r>
          </w:p>
        </w:tc>
        <w:tc>
          <w:tcPr>
            <w:tcW w:w="1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0.91</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(0.35 )</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6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43"/>
        </w:trPr>
        <w:tc>
          <w:tcPr>
            <w:tcW w:w="6200" w:type="dxa"/>
            <w:vAlign w:val="bottom"/>
          </w:tcPr>
          <w:p>
            <w:pPr>
              <w:ind w:left="20"/>
              <w:spacing w:after="0"/>
              <w:rPr>
                <w:sz w:val="20"/>
                <w:szCs w:val="20"/>
                <w:color w:val="auto"/>
              </w:rPr>
            </w:pPr>
            <w:r>
              <w:rPr>
                <w:rFonts w:ascii="Arial" w:cs="Arial" w:eastAsia="Arial" w:hAnsi="Arial"/>
                <w:sz w:val="18"/>
                <w:szCs w:val="18"/>
                <w:color w:val="auto"/>
              </w:rPr>
              <w:t xml:space="preserve">Tax effect of key items </w:t>
            </w:r>
            <w:r>
              <w:rPr>
                <w:rFonts w:ascii="Arial" w:cs="Arial" w:eastAsia="Arial" w:hAnsi="Arial"/>
                <w:sz w:val="14"/>
                <w:szCs w:val="14"/>
                <w:color w:val="auto"/>
              </w:rPr>
              <w:t>(a)</w:t>
            </w: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0.06</w:t>
            </w:r>
          </w:p>
        </w:tc>
        <w:tc>
          <w:tcPr>
            <w:tcW w:w="1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(0.29 )</w:t>
            </w:r>
          </w:p>
        </w:tc>
        <w:tc>
          <w:tcPr>
            <w:tcW w:w="2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0.15</w:t>
            </w: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(0.39 )</w:t>
            </w:r>
          </w:p>
        </w:tc>
        <w:tc>
          <w:tcPr>
            <w:tcW w:w="0" w:type="dxa"/>
            <w:vAlign w:val="bottom"/>
          </w:tcPr>
          <w:p>
            <w:pPr>
              <w:spacing w:after="0"/>
              <w:rPr>
                <w:sz w:val="1"/>
                <w:szCs w:val="1"/>
                <w:color w:val="auto"/>
              </w:rPr>
            </w:pPr>
          </w:p>
        </w:tc>
      </w:tr>
      <w:tr>
        <w:trPr>
          <w:trHeight w:val="236"/>
        </w:trPr>
        <w:tc>
          <w:tcPr>
            <w:tcW w:w="6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Key items, after tax</w:t>
            </w:r>
          </w:p>
        </w:tc>
        <w:tc>
          <w:tcPr>
            <w:tcW w:w="160" w:type="dxa"/>
            <w:vAlign w:val="bottom"/>
            <w:shd w:val="clear" w:color="auto" w:fill="CFF0FC"/>
          </w:tcPr>
          <w:p>
            <w:pPr>
              <w:spacing w:after="0"/>
              <w:rPr>
                <w:sz w:val="20"/>
                <w:szCs w:val="20"/>
                <w:color w:val="auto"/>
              </w:rPr>
            </w:pPr>
          </w:p>
        </w:tc>
        <w:tc>
          <w:tcPr>
            <w:tcW w:w="7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0.16</w:t>
            </w:r>
          </w:p>
        </w:tc>
        <w:tc>
          <w:tcPr>
            <w:tcW w:w="1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0.62</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(0.20 )</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6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37"/>
        </w:trPr>
        <w:tc>
          <w:tcPr>
            <w:tcW w:w="6200" w:type="dxa"/>
            <w:vAlign w:val="bottom"/>
          </w:tcPr>
          <w:p>
            <w:pPr>
              <w:ind w:left="20"/>
              <w:spacing w:after="0"/>
              <w:rPr>
                <w:sz w:val="20"/>
                <w:szCs w:val="20"/>
                <w:color w:val="auto"/>
              </w:rPr>
            </w:pPr>
            <w:r>
              <w:rPr>
                <w:rFonts w:ascii="Arial" w:cs="Arial" w:eastAsia="Arial" w:hAnsi="Arial"/>
                <w:sz w:val="18"/>
                <w:szCs w:val="18"/>
                <w:color w:val="auto"/>
              </w:rPr>
              <w:t>Tax specific key items:</w:t>
            </w: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2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Restructuring and separation activity</w:t>
            </w:r>
          </w:p>
        </w:tc>
        <w:tc>
          <w:tcPr>
            <w:tcW w:w="16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37"/>
        </w:trPr>
        <w:tc>
          <w:tcPr>
            <w:tcW w:w="6200" w:type="dxa"/>
            <w:vAlign w:val="bottom"/>
          </w:tcPr>
          <w:p>
            <w:pPr>
              <w:ind w:left="200"/>
              <w:spacing w:after="0"/>
              <w:rPr>
                <w:sz w:val="20"/>
                <w:szCs w:val="20"/>
                <w:color w:val="auto"/>
              </w:rPr>
            </w:pPr>
            <w:r>
              <w:rPr>
                <w:rFonts w:ascii="Arial" w:cs="Arial" w:eastAsia="Arial" w:hAnsi="Arial"/>
                <w:sz w:val="18"/>
                <w:szCs w:val="18"/>
                <w:color w:val="auto"/>
              </w:rPr>
              <w:t>Valuation allowance</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(0.02 )</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(0.02 )</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(0.07 )</w:t>
            </w:r>
          </w:p>
        </w:tc>
        <w:tc>
          <w:tcPr>
            <w:tcW w:w="0" w:type="dxa"/>
            <w:vAlign w:val="bottom"/>
          </w:tcPr>
          <w:p>
            <w:pPr>
              <w:spacing w:after="0"/>
              <w:rPr>
                <w:sz w:val="1"/>
                <w:szCs w:val="1"/>
                <w:color w:val="auto"/>
              </w:rPr>
            </w:pPr>
          </w:p>
        </w:tc>
      </w:tr>
      <w:tr>
        <w:trPr>
          <w:trHeight w:val="249"/>
        </w:trPr>
        <w:tc>
          <w:tcPr>
            <w:tcW w:w="62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Uncertain tax positions</w:t>
            </w:r>
          </w:p>
        </w:tc>
        <w:tc>
          <w:tcPr>
            <w:tcW w:w="16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(0.06 )</w:t>
            </w:r>
          </w:p>
        </w:tc>
        <w:tc>
          <w:tcPr>
            <w:tcW w:w="1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(0.42 )</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6200" w:type="dxa"/>
            <w:vAlign w:val="bottom"/>
          </w:tcPr>
          <w:p>
            <w:pPr>
              <w:ind w:left="20"/>
              <w:spacing w:after="0"/>
              <w:rPr>
                <w:sz w:val="20"/>
                <w:szCs w:val="20"/>
                <w:color w:val="auto"/>
              </w:rPr>
            </w:pPr>
            <w:r>
              <w:rPr>
                <w:rFonts w:ascii="Arial" w:cs="Arial" w:eastAsia="Arial" w:hAnsi="Arial"/>
                <w:sz w:val="18"/>
                <w:szCs w:val="18"/>
                <w:color w:val="auto"/>
              </w:rPr>
              <w:t xml:space="preserve">Tax specific key items </w:t>
            </w:r>
            <w:r>
              <w:rPr>
                <w:rFonts w:ascii="Arial" w:cs="Arial" w:eastAsia="Arial" w:hAnsi="Arial"/>
                <w:sz w:val="14"/>
                <w:szCs w:val="14"/>
                <w:color w:val="auto"/>
              </w:rPr>
              <w:t>(b)</w:t>
            </w: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(0.08 )</w:t>
            </w: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(0.44 )</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37"/>
        </w:trPr>
        <w:tc>
          <w:tcPr>
            <w:tcW w:w="6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key items</w:t>
            </w:r>
          </w:p>
        </w:tc>
        <w:tc>
          <w:tcPr>
            <w:tcW w:w="16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0.08</w:t>
            </w:r>
          </w:p>
        </w:tc>
        <w:tc>
          <w:tcPr>
            <w:tcW w:w="1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0.62</w:t>
            </w:r>
          </w:p>
        </w:tc>
        <w:tc>
          <w:tcPr>
            <w:tcW w:w="2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(0.64 )</w:t>
            </w:r>
          </w:p>
        </w:tc>
        <w:tc>
          <w:tcPr>
            <w:tcW w:w="2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36"/>
        </w:trPr>
        <w:tc>
          <w:tcPr>
            <w:tcW w:w="6200" w:type="dxa"/>
            <w:vAlign w:val="bottom"/>
          </w:tcPr>
          <w:p>
            <w:pPr>
              <w:ind w:left="20"/>
              <w:spacing w:after="0"/>
              <w:rPr>
                <w:sz w:val="20"/>
                <w:szCs w:val="20"/>
                <w:color w:val="auto"/>
              </w:rPr>
            </w:pPr>
            <w:r>
              <w:rPr>
                <w:rFonts w:ascii="Arial" w:cs="Arial" w:eastAsia="Arial" w:hAnsi="Arial"/>
                <w:sz w:val="18"/>
                <w:szCs w:val="18"/>
                <w:color w:val="auto"/>
              </w:rPr>
              <w:t>Adjusted diluted EPS from continuing operations (non-GAAP)</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0.87</w:t>
            </w:r>
          </w:p>
        </w:tc>
        <w:tc>
          <w:tcPr>
            <w:tcW w:w="180" w:type="dxa"/>
            <w:vAlign w:val="bottom"/>
          </w:tcPr>
          <w:p>
            <w:pPr>
              <w:spacing w:after="0"/>
              <w:rPr>
                <w:sz w:val="20"/>
                <w:szCs w:val="20"/>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1.55</w:t>
            </w:r>
          </w:p>
        </w:tc>
        <w:tc>
          <w:tcPr>
            <w:tcW w:w="2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2.60</w:t>
            </w:r>
          </w:p>
        </w:tc>
        <w:tc>
          <w:tcPr>
            <w:tcW w:w="20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Amortization expense adjustment (net of tax) (c)</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0.36</w:t>
            </w:r>
          </w:p>
        </w:tc>
        <w:tc>
          <w:tcPr>
            <w:tcW w:w="1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0.34</w:t>
            </w: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1.03</w:t>
            </w: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9"/>
        </w:trPr>
        <w:tc>
          <w:tcPr>
            <w:tcW w:w="6200" w:type="dxa"/>
            <w:vAlign w:val="bottom"/>
          </w:tcPr>
          <w:p>
            <w:pPr>
              <w:ind w:left="20"/>
              <w:spacing w:after="0"/>
              <w:rPr>
                <w:sz w:val="20"/>
                <w:szCs w:val="20"/>
                <w:color w:val="auto"/>
              </w:rPr>
            </w:pPr>
            <w:r>
              <w:rPr>
                <w:rFonts w:ascii="Arial" w:cs="Arial" w:eastAsia="Arial" w:hAnsi="Arial"/>
                <w:sz w:val="18"/>
                <w:szCs w:val="18"/>
                <w:color w:val="auto"/>
              </w:rPr>
              <w:t>Adjusted diluted EPS from continuing operations (non-GAAP) excluding</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vMerge w:val="restart"/>
          </w:tcPr>
          <w:p>
            <w:pPr>
              <w:jc w:val="right"/>
              <w:ind w:right="50"/>
              <w:spacing w:after="0"/>
              <w:rPr>
                <w:sz w:val="20"/>
                <w:szCs w:val="20"/>
                <w:color w:val="auto"/>
              </w:rPr>
            </w:pPr>
            <w:r>
              <w:rPr>
                <w:rFonts w:ascii="Arial" w:cs="Arial" w:eastAsia="Arial" w:hAnsi="Arial"/>
                <w:sz w:val="18"/>
                <w:szCs w:val="18"/>
                <w:color w:val="auto"/>
              </w:rPr>
              <w:t>1.23</w:t>
            </w:r>
          </w:p>
        </w:tc>
        <w:tc>
          <w:tcPr>
            <w:tcW w:w="440" w:type="dxa"/>
            <w:vAlign w:val="bottom"/>
            <w:gridSpan w:val="2"/>
            <w:vMerge w:val="restart"/>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vMerge w:val="restart"/>
          </w:tcPr>
          <w:p>
            <w:pPr>
              <w:jc w:val="right"/>
              <w:ind w:right="50"/>
              <w:spacing w:after="0"/>
              <w:rPr>
                <w:sz w:val="20"/>
                <w:szCs w:val="20"/>
                <w:color w:val="auto"/>
              </w:rPr>
            </w:pPr>
            <w:r>
              <w:rPr>
                <w:rFonts w:ascii="Arial" w:cs="Arial" w:eastAsia="Arial" w:hAnsi="Arial"/>
                <w:sz w:val="18"/>
                <w:szCs w:val="18"/>
                <w:color w:val="auto"/>
              </w:rPr>
              <w:t>1.89</w:t>
            </w:r>
          </w:p>
        </w:tc>
        <w:tc>
          <w:tcPr>
            <w:tcW w:w="3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ind w:right="50"/>
              <w:spacing w:after="0"/>
              <w:rPr>
                <w:sz w:val="20"/>
                <w:szCs w:val="20"/>
                <w:color w:val="auto"/>
              </w:rPr>
            </w:pPr>
            <w:r>
              <w:rPr>
                <w:rFonts w:ascii="Arial" w:cs="Arial" w:eastAsia="Arial" w:hAnsi="Arial"/>
                <w:sz w:val="18"/>
                <w:szCs w:val="18"/>
                <w:color w:val="auto"/>
              </w:rPr>
              <w:t>3.63</w:t>
            </w:r>
          </w:p>
        </w:tc>
        <w:tc>
          <w:tcPr>
            <w:tcW w:w="440" w:type="dxa"/>
            <w:vAlign w:val="bottom"/>
            <w:gridSpan w:val="2"/>
            <w:vMerge w:val="restart"/>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vMerge w:val="restart"/>
          </w:tcPr>
          <w:p>
            <w:pPr>
              <w:jc w:val="right"/>
              <w:ind w:right="5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03"/>
        </w:trPr>
        <w:tc>
          <w:tcPr>
            <w:tcW w:w="6200" w:type="dxa"/>
            <w:vAlign w:val="bottom"/>
          </w:tcPr>
          <w:p>
            <w:pPr>
              <w:ind w:left="20"/>
              <w:spacing w:after="0" w:line="203" w:lineRule="exact"/>
              <w:rPr>
                <w:sz w:val="20"/>
                <w:szCs w:val="20"/>
                <w:color w:val="auto"/>
              </w:rPr>
            </w:pPr>
            <w:r>
              <w:rPr>
                <w:rFonts w:ascii="Arial" w:cs="Arial" w:eastAsia="Arial" w:hAnsi="Arial"/>
                <w:sz w:val="18"/>
                <w:szCs w:val="18"/>
                <w:color w:val="auto"/>
              </w:rPr>
              <w:t>intangibles amortization expense</w:t>
            </w:r>
          </w:p>
        </w:tc>
        <w:tc>
          <w:tcPr>
            <w:tcW w:w="16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380" w:type="dxa"/>
            <w:vAlign w:val="bottom"/>
            <w:gridSpan w:val="2"/>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2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-1070610</wp:posOffset>
            </wp:positionV>
            <wp:extent cx="120015" cy="1714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0015" cy="17145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-1070610</wp:posOffset>
            </wp:positionV>
            <wp:extent cx="128905" cy="1714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8905" cy="17145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-1070610</wp:posOffset>
            </wp:positionV>
            <wp:extent cx="120015" cy="1714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0015" cy="17145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-744855</wp:posOffset>
            </wp:positionV>
            <wp:extent cx="120015" cy="18859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0015" cy="18859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-744855</wp:posOffset>
            </wp:positionV>
            <wp:extent cx="128905" cy="18859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8905" cy="18859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-744855</wp:posOffset>
            </wp:positionV>
            <wp:extent cx="120015" cy="18859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0015" cy="18859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-401955</wp:posOffset>
            </wp:positionV>
            <wp:extent cx="120015" cy="4025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0015" cy="4025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-401955</wp:posOffset>
            </wp:positionV>
            <wp:extent cx="128905" cy="4025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8905" cy="4025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-401955</wp:posOffset>
            </wp:positionV>
            <wp:extent cx="120015" cy="4025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0015" cy="402590"/>
                    </a:xfrm>
                    <a:prstGeom prst="rect">
                      <a:avLst/>
                    </a:prstGeom>
                    <a:noFill/>
                  </pic:spPr>
                </pic:pic>
              </a:graphicData>
            </a:graphic>
          </wp:anchor>
        </w:drawing>
      </w:r>
    </w:p>
    <w:p>
      <w:pPr>
        <w:spacing w:after="0" w:line="69" w:lineRule="exact"/>
        <w:rPr>
          <w:sz w:val="20"/>
          <w:szCs w:val="20"/>
          <w:color w:val="auto"/>
        </w:rPr>
      </w:pPr>
    </w:p>
    <w:p>
      <w:pPr>
        <w:ind w:left="740" w:hanging="358"/>
        <w:spacing w:after="0"/>
        <w:tabs>
          <w:tab w:leader="none" w:pos="7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Represents the diluted EPS impact from the tax effect of the key items that are identified above.</w:t>
      </w:r>
    </w:p>
    <w:p>
      <w:pPr>
        <w:spacing w:after="0" w:line="28" w:lineRule="exact"/>
        <w:rPr>
          <w:rFonts w:ascii="Arial" w:cs="Arial" w:eastAsia="Arial" w:hAnsi="Arial"/>
          <w:sz w:val="14"/>
          <w:szCs w:val="14"/>
          <w:color w:val="auto"/>
        </w:rPr>
      </w:pPr>
    </w:p>
    <w:p>
      <w:pPr>
        <w:jc w:val="both"/>
        <w:ind w:left="740" w:hanging="358"/>
        <w:spacing w:after="0" w:line="238" w:lineRule="auto"/>
        <w:tabs>
          <w:tab w:leader="none" w:pos="7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Represents the diluted EPS impact from tax specific financial transactions, tax law changes or other matters that fall within the definition of key items. For additional explanation of these tax specific key items, see the income tax expense discussion within the Statements of Consolidated Comprehensive Income (Loss) caption review section above.</w:t>
      </w:r>
    </w:p>
    <w:p>
      <w:pPr>
        <w:ind w:left="740" w:hanging="358"/>
        <w:spacing w:after="0"/>
        <w:tabs>
          <w:tab w:leader="none" w:pos="7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Amortization expense adjustment (net of tax) tax rates were 20% for the three and nine months ended June 30, 2023 and 2022.</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 – REPORTABLE SEGMENT REVIEW</w:t>
      </w:r>
    </w:p>
    <w:p>
      <w:pPr>
        <w:spacing w:after="0" w:line="114" w:lineRule="exact"/>
        <w:rPr>
          <w:sz w:val="20"/>
          <w:szCs w:val="20"/>
          <w:color w:val="auto"/>
        </w:rPr>
      </w:pPr>
    </w:p>
    <w:p>
      <w:pPr>
        <w:jc w:val="both"/>
        <w:ind w:left="380"/>
        <w:spacing w:after="0" w:line="260" w:lineRule="auto"/>
        <w:rPr>
          <w:sz w:val="20"/>
          <w:szCs w:val="20"/>
          <w:color w:val="auto"/>
        </w:rPr>
      </w:pPr>
      <w:r>
        <w:rPr>
          <w:rFonts w:ascii="Arial" w:cs="Arial" w:eastAsia="Arial" w:hAnsi="Arial"/>
          <w:sz w:val="20"/>
          <w:szCs w:val="20"/>
          <w:color w:val="auto"/>
        </w:rPr>
        <w:t>Ashland’s reportable segments include Life Sciences, Personal Care, Specialty Additives, and Intermediates. Unallocated and Other includes corporate governance activities and certain legacy matters.</w:t>
      </w:r>
    </w:p>
    <w:p>
      <w:pPr>
        <w:spacing w:after="0" w:line="69" w:lineRule="exact"/>
        <w:rPr>
          <w:sz w:val="20"/>
          <w:szCs w:val="20"/>
          <w:color w:val="auto"/>
        </w:rPr>
      </w:pPr>
    </w:p>
    <w:p>
      <w:pPr>
        <w:jc w:val="both"/>
        <w:ind w:left="380"/>
        <w:spacing w:after="0" w:line="271" w:lineRule="auto"/>
        <w:rPr>
          <w:sz w:val="20"/>
          <w:szCs w:val="20"/>
          <w:color w:val="auto"/>
        </w:rPr>
      </w:pPr>
      <w:r>
        <w:rPr>
          <w:rFonts w:ascii="Arial" w:cs="Arial" w:eastAsia="Arial" w:hAnsi="Arial"/>
          <w:sz w:val="18"/>
          <w:szCs w:val="18"/>
          <w:color w:val="auto"/>
        </w:rPr>
        <w:t>Results of Ashland’s reportable segments are presented based on its management and internal accounting structure. The structure is specific to Ashland; therefore, the financial results of Ashland’s reportable segments are not necessarily comparable with similar information for other companies. Ashland allocates all significant costs to its reportable segments except for certain significant company-wide restructuring activities, certain corporate governance costs and other costs or activities that relate to former businesses that Ashland no longer operates. The service cost component of pension and other postretirement benefits costs is allocated to each reportable segment on a ratable basis; while the remaining components of pension and other postretirement benefits costs are recorded within the other net periodic benefit loss caption on the Statements of Consolidated Comprehensive Income (Loss). Ashland refines its expense allocation methodologies to the reportable segments from time to time as internal accounting practices are improved, more refined information becomes available and the industry or market changes. Significant revisions to Ashland’s methodologies are adjusted for all segments on a retrospective basis.</w:t>
      </w:r>
    </w:p>
    <w:p>
      <w:pPr>
        <w:spacing w:after="0" w:line="6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447" w:right="719" w:bottom="1440" w:gutter="0" w:footer="0" w:header="0"/>
        </w:sectPr>
      </w:pPr>
    </w:p>
    <w:bookmarkStart w:id="41" w:name="page42"/>
    <w:bookmarkEnd w:id="41"/>
    <w:p>
      <w:pPr>
        <w:spacing w:after="0" w:line="260" w:lineRule="auto"/>
        <w:rPr>
          <w:sz w:val="20"/>
          <w:szCs w:val="20"/>
          <w:color w:val="auto"/>
        </w:rPr>
      </w:pPr>
      <w:r>
        <w:rPr>
          <w:rFonts w:ascii="Arial" w:cs="Arial" w:eastAsia="Arial" w:hAnsi="Arial"/>
          <w:sz w:val="20"/>
          <w:szCs w:val="20"/>
          <w:color w:val="auto"/>
        </w:rPr>
        <w:t>The following table discloses sales, operating income, depreciation and amortization and EBITDA by reportable segment for the three and nine months ended June 30, 2023 and 2022.</w:t>
      </w:r>
    </w:p>
    <w:p>
      <w:pPr>
        <w:spacing w:after="0" w:line="93" w:lineRule="exact"/>
        <w:rPr>
          <w:sz w:val="20"/>
          <w:szCs w:val="20"/>
          <w:color w:val="auto"/>
        </w:rPr>
      </w:pPr>
    </w:p>
    <w:tbl>
      <w:tblPr>
        <w:tblLayout w:type="fixed"/>
        <w:tblInd w:w="20" w:type="dxa"/>
        <w:tblCellMar>
          <w:top w:w="0" w:type="dxa"/>
          <w:left w:w="0" w:type="dxa"/>
          <w:bottom w:w="0" w:type="dxa"/>
          <w:right w:w="0" w:type="dxa"/>
        </w:tblCellMar>
      </w:tblPr>
      <w:tr>
        <w:trPr>
          <w:trHeight w:val="244"/>
        </w:trPr>
        <w:tc>
          <w:tcPr>
            <w:tcW w:w="348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3040" w:type="dxa"/>
            <w:vAlign w:val="bottom"/>
            <w:tcBorders>
              <w:top w:val="single" w:sz="8" w:color="auto"/>
            </w:tcBorders>
            <w:gridSpan w:val="4"/>
          </w:tcPr>
          <w:p>
            <w:pPr>
              <w:jc w:val="right"/>
              <w:ind w:right="930"/>
              <w:spacing w:after="0"/>
              <w:rPr>
                <w:sz w:val="20"/>
                <w:szCs w:val="20"/>
                <w:color w:val="auto"/>
              </w:rPr>
            </w:pPr>
            <w:r>
              <w:rPr>
                <w:rFonts w:ascii="Arial" w:cs="Arial" w:eastAsia="Arial" w:hAnsi="Arial"/>
                <w:sz w:val="18"/>
                <w:szCs w:val="18"/>
                <w:color w:val="auto"/>
              </w:rPr>
              <w:t>Three months ended</w:t>
            </w:r>
          </w:p>
        </w:tc>
        <w:tc>
          <w:tcPr>
            <w:tcW w:w="2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20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Nine months ended</w:t>
            </w:r>
          </w:p>
        </w:tc>
        <w:tc>
          <w:tcPr>
            <w:tcW w:w="1040" w:type="dxa"/>
            <w:vAlign w:val="bottom"/>
            <w:tcBorders>
              <w:top w:val="single" w:sz="8" w:color="auto"/>
            </w:tcBorders>
          </w:tcPr>
          <w:p>
            <w:pPr>
              <w:spacing w:after="0"/>
              <w:rPr>
                <w:sz w:val="21"/>
                <w:szCs w:val="21"/>
                <w:color w:val="auto"/>
              </w:rPr>
            </w:pPr>
          </w:p>
        </w:tc>
      </w:tr>
      <w:tr>
        <w:trPr>
          <w:trHeight w:val="249"/>
        </w:trPr>
        <w:tc>
          <w:tcPr>
            <w:tcW w:w="34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color w:val="auto"/>
              </w:rPr>
              <w:t>June 30</w:t>
            </w:r>
          </w:p>
        </w:tc>
        <w:tc>
          <w:tcPr>
            <w:tcW w:w="126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8"/>
                <w:szCs w:val="18"/>
                <w:color w:val="auto"/>
              </w:rPr>
              <w:t>June 30</w:t>
            </w:r>
          </w:p>
        </w:tc>
        <w:tc>
          <w:tcPr>
            <w:tcW w:w="1040" w:type="dxa"/>
            <w:vAlign w:val="bottom"/>
            <w:tcBorders>
              <w:bottom w:val="single" w:sz="8" w:color="auto"/>
            </w:tcBorders>
          </w:tcPr>
          <w:p>
            <w:pPr>
              <w:spacing w:after="0"/>
              <w:rPr>
                <w:sz w:val="21"/>
                <w:szCs w:val="21"/>
                <w:color w:val="auto"/>
              </w:rPr>
            </w:pPr>
          </w:p>
        </w:tc>
      </w:tr>
      <w:tr>
        <w:trPr>
          <w:trHeight w:val="237"/>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 - unaudited)</w:t>
            </w:r>
          </w:p>
        </w:tc>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2023</w:t>
            </w:r>
          </w:p>
        </w:tc>
        <w:tc>
          <w:tcPr>
            <w:tcW w:w="2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2022</w:t>
            </w:r>
          </w:p>
        </w:tc>
        <w:tc>
          <w:tcPr>
            <w:tcW w:w="2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2023</w:t>
            </w:r>
          </w:p>
        </w:tc>
        <w:tc>
          <w:tcPr>
            <w:tcW w:w="2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w w:val="84"/>
              </w:rPr>
              <w:t>2022</w:t>
            </w:r>
          </w:p>
        </w:tc>
      </w:tr>
      <w:tr>
        <w:trPr>
          <w:trHeight w:val="243"/>
        </w:trPr>
        <w:tc>
          <w:tcPr>
            <w:tcW w:w="34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SALES</w:t>
            </w:r>
          </w:p>
        </w:tc>
        <w:tc>
          <w:tcPr>
            <w:tcW w:w="34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r>
      <w:tr>
        <w:trPr>
          <w:trHeight w:val="237"/>
        </w:trPr>
        <w:tc>
          <w:tcPr>
            <w:tcW w:w="3480" w:type="dxa"/>
            <w:vAlign w:val="bottom"/>
          </w:tcPr>
          <w:p>
            <w:pPr>
              <w:ind w:left="200"/>
              <w:spacing w:after="0"/>
              <w:rPr>
                <w:sz w:val="20"/>
                <w:szCs w:val="20"/>
                <w:color w:val="auto"/>
              </w:rPr>
            </w:pPr>
            <w:r>
              <w:rPr>
                <w:rFonts w:ascii="Arial" w:cs="Arial" w:eastAsia="Arial" w:hAnsi="Arial"/>
                <w:sz w:val="18"/>
                <w:szCs w:val="18"/>
                <w:i w:val="1"/>
                <w:iCs w:val="1"/>
                <w:color w:val="auto"/>
              </w:rPr>
              <w:t>Life Sciences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219</w:t>
            </w:r>
          </w:p>
        </w:tc>
        <w:tc>
          <w:tcPr>
            <w:tcW w:w="5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228</w:t>
            </w:r>
          </w:p>
        </w:tc>
        <w:tc>
          <w:tcPr>
            <w:tcW w:w="5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666</w:t>
            </w:r>
          </w:p>
        </w:tc>
        <w:tc>
          <w:tcPr>
            <w:tcW w:w="74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602</w:t>
            </w:r>
          </w:p>
        </w:tc>
      </w:tr>
      <w:tr>
        <w:trPr>
          <w:trHeight w:val="249"/>
        </w:trPr>
        <w:tc>
          <w:tcPr>
            <w:tcW w:w="3480" w:type="dxa"/>
            <w:vAlign w:val="bottom"/>
            <w:shd w:val="clear" w:color="auto" w:fill="CFF0FC"/>
          </w:tcPr>
          <w:p>
            <w:pPr>
              <w:ind w:left="200"/>
              <w:spacing w:after="0"/>
              <w:rPr>
                <w:sz w:val="20"/>
                <w:szCs w:val="20"/>
                <w:color w:val="auto"/>
              </w:rPr>
            </w:pPr>
            <w:r>
              <w:rPr>
                <w:rFonts w:ascii="Arial" w:cs="Arial" w:eastAsia="Arial" w:hAnsi="Arial"/>
                <w:sz w:val="18"/>
                <w:szCs w:val="18"/>
                <w:i w:val="1"/>
                <w:iCs w:val="1"/>
                <w:color w:val="auto"/>
              </w:rPr>
              <w:t>Personal Care</w:t>
            </w:r>
          </w:p>
        </w:tc>
        <w:tc>
          <w:tcPr>
            <w:tcW w:w="34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146</w:t>
            </w: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172</w:t>
            </w: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452</w:t>
            </w:r>
          </w:p>
        </w:tc>
        <w:tc>
          <w:tcPr>
            <w:tcW w:w="2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490</w:t>
            </w:r>
          </w:p>
        </w:tc>
      </w:tr>
      <w:tr>
        <w:trPr>
          <w:trHeight w:val="237"/>
        </w:trPr>
        <w:tc>
          <w:tcPr>
            <w:tcW w:w="3480" w:type="dxa"/>
            <w:vAlign w:val="bottom"/>
          </w:tcPr>
          <w:p>
            <w:pPr>
              <w:ind w:left="200"/>
              <w:spacing w:after="0"/>
              <w:rPr>
                <w:sz w:val="20"/>
                <w:szCs w:val="20"/>
                <w:color w:val="auto"/>
              </w:rPr>
            </w:pPr>
            <w:r>
              <w:rPr>
                <w:rFonts w:ascii="Arial" w:cs="Arial" w:eastAsia="Arial" w:hAnsi="Arial"/>
                <w:sz w:val="18"/>
                <w:szCs w:val="18"/>
                <w:i w:val="1"/>
                <w:iCs w:val="1"/>
                <w:color w:val="auto"/>
              </w:rPr>
              <w:t>Specialty Additives</w:t>
            </w:r>
          </w:p>
        </w:tc>
        <w:tc>
          <w:tcPr>
            <w:tcW w:w="340" w:type="dxa"/>
            <w:vAlign w:val="bottom"/>
          </w:tcPr>
          <w:p>
            <w:pPr>
              <w:spacing w:after="0"/>
              <w:rPr>
                <w:sz w:val="20"/>
                <w:szCs w:val="20"/>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152</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194</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456</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532</w:t>
            </w:r>
          </w:p>
        </w:tc>
      </w:tr>
      <w:tr>
        <w:trPr>
          <w:trHeight w:val="249"/>
        </w:trPr>
        <w:tc>
          <w:tcPr>
            <w:tcW w:w="3480" w:type="dxa"/>
            <w:vAlign w:val="bottom"/>
            <w:shd w:val="clear" w:color="auto" w:fill="CFF0FC"/>
          </w:tcPr>
          <w:p>
            <w:pPr>
              <w:ind w:left="200"/>
              <w:spacing w:after="0"/>
              <w:rPr>
                <w:sz w:val="20"/>
                <w:szCs w:val="20"/>
                <w:color w:val="auto"/>
              </w:rPr>
            </w:pPr>
            <w:r>
              <w:rPr>
                <w:rFonts w:ascii="Arial" w:cs="Arial" w:eastAsia="Arial" w:hAnsi="Arial"/>
                <w:sz w:val="18"/>
                <w:szCs w:val="18"/>
                <w:i w:val="1"/>
                <w:iCs w:val="1"/>
                <w:color w:val="auto"/>
              </w:rPr>
              <w:t>Intermediates</w:t>
            </w:r>
          </w:p>
        </w:tc>
        <w:tc>
          <w:tcPr>
            <w:tcW w:w="34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73</w:t>
            </w: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148</w:t>
            </w:r>
          </w:p>
        </w:tc>
        <w:tc>
          <w:tcPr>
            <w:tcW w:w="2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192</w:t>
            </w:r>
          </w:p>
        </w:tc>
      </w:tr>
      <w:tr>
        <w:trPr>
          <w:trHeight w:val="243"/>
        </w:trPr>
        <w:tc>
          <w:tcPr>
            <w:tcW w:w="3480" w:type="dxa"/>
            <w:vAlign w:val="bottom"/>
          </w:tcPr>
          <w:p>
            <w:pPr>
              <w:ind w:left="200"/>
              <w:spacing w:after="0"/>
              <w:rPr>
                <w:sz w:val="20"/>
                <w:szCs w:val="20"/>
                <w:color w:val="auto"/>
              </w:rPr>
            </w:pPr>
            <w:r>
              <w:rPr>
                <w:rFonts w:ascii="Arial" w:cs="Arial" w:eastAsia="Arial" w:hAnsi="Arial"/>
                <w:sz w:val="18"/>
                <w:szCs w:val="18"/>
                <w:i w:val="1"/>
                <w:iCs w:val="1"/>
                <w:color w:val="auto"/>
              </w:rPr>
              <w:t xml:space="preserve">Intersegment sales </w:t>
            </w:r>
            <w:r>
              <w:rPr>
                <w:rFonts w:ascii="Arial" w:cs="Arial" w:eastAsia="Arial" w:hAnsi="Arial"/>
                <w:sz w:val="14"/>
                <w:szCs w:val="14"/>
                <w:color w:val="auto"/>
              </w:rPr>
              <w:t>(a)</w:t>
            </w:r>
          </w:p>
        </w:tc>
        <w:tc>
          <w:tcPr>
            <w:tcW w:w="3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(14 )</w:t>
            </w:r>
          </w:p>
        </w:tc>
        <w:tc>
          <w:tcPr>
            <w:tcW w:w="2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(23 )</w:t>
            </w:r>
          </w:p>
        </w:tc>
        <w:tc>
          <w:tcPr>
            <w:tcW w:w="2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(48 )</w:t>
            </w:r>
          </w:p>
        </w:tc>
        <w:tc>
          <w:tcPr>
            <w:tcW w:w="20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(57 )</w:t>
            </w:r>
          </w:p>
        </w:tc>
      </w:tr>
      <w:tr>
        <w:trPr>
          <w:trHeight w:val="270"/>
        </w:trPr>
        <w:tc>
          <w:tcPr>
            <w:tcW w:w="348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546</w:t>
            </w:r>
          </w:p>
        </w:tc>
        <w:tc>
          <w:tcPr>
            <w:tcW w:w="20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644</w:t>
            </w:r>
          </w:p>
        </w:tc>
        <w:tc>
          <w:tcPr>
            <w:tcW w:w="20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1,674</w:t>
            </w:r>
          </w:p>
        </w:tc>
        <w:tc>
          <w:tcPr>
            <w:tcW w:w="200" w:type="dxa"/>
            <w:vAlign w:val="bottom"/>
            <w:tcBorders>
              <w:bottom w:val="single" w:sz="8" w:color="CFF0FC"/>
            </w:tcBorders>
            <w:shd w:val="clear" w:color="auto" w:fill="CFF0FC"/>
          </w:tcPr>
          <w:p>
            <w:pPr>
              <w:spacing w:after="0"/>
              <w:rPr>
                <w:sz w:val="23"/>
                <w:szCs w:val="23"/>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1,759</w:t>
            </w:r>
          </w:p>
        </w:tc>
      </w:tr>
      <w:tr>
        <w:trPr>
          <w:trHeight w:val="226"/>
        </w:trPr>
        <w:tc>
          <w:tcPr>
            <w:tcW w:w="3480" w:type="dxa"/>
            <w:vAlign w:val="bottom"/>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47"/>
        </w:trPr>
        <w:tc>
          <w:tcPr>
            <w:tcW w:w="3480" w:type="dxa"/>
            <w:vAlign w:val="bottom"/>
            <w:shd w:val="clear" w:color="auto" w:fill="CFF0FC"/>
          </w:tcPr>
          <w:p>
            <w:pPr>
              <w:ind w:left="200"/>
              <w:spacing w:after="0"/>
              <w:rPr>
                <w:sz w:val="20"/>
                <w:szCs w:val="20"/>
                <w:color w:val="auto"/>
              </w:rPr>
            </w:pPr>
            <w:r>
              <w:rPr>
                <w:rFonts w:ascii="Arial" w:cs="Arial" w:eastAsia="Arial" w:hAnsi="Arial"/>
                <w:sz w:val="18"/>
                <w:szCs w:val="18"/>
                <w:i w:val="1"/>
                <w:iCs w:val="1"/>
                <w:color w:val="auto"/>
              </w:rPr>
              <w:t>Life Sciences</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49</w:t>
            </w:r>
          </w:p>
        </w:tc>
        <w:tc>
          <w:tcPr>
            <w:tcW w:w="5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51</w:t>
            </w:r>
          </w:p>
        </w:tc>
        <w:tc>
          <w:tcPr>
            <w:tcW w:w="5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141</w:t>
            </w:r>
          </w:p>
        </w:tc>
        <w:tc>
          <w:tcPr>
            <w:tcW w:w="740" w:type="dxa"/>
            <w:vAlign w:val="bottom"/>
            <w:gridSpan w:val="2"/>
            <w:shd w:val="clear" w:color="auto" w:fill="CFF0FC"/>
          </w:tcPr>
          <w:p>
            <w:pPr>
              <w:jc w:val="right"/>
              <w:ind w:right="3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115</w:t>
            </w:r>
          </w:p>
        </w:tc>
      </w:tr>
      <w:tr>
        <w:trPr>
          <w:trHeight w:val="237"/>
        </w:trPr>
        <w:tc>
          <w:tcPr>
            <w:tcW w:w="3480" w:type="dxa"/>
            <w:vAlign w:val="bottom"/>
          </w:tcPr>
          <w:p>
            <w:pPr>
              <w:ind w:left="200"/>
              <w:spacing w:after="0"/>
              <w:rPr>
                <w:sz w:val="20"/>
                <w:szCs w:val="20"/>
                <w:color w:val="auto"/>
              </w:rPr>
            </w:pPr>
            <w:r>
              <w:rPr>
                <w:rFonts w:ascii="Arial" w:cs="Arial" w:eastAsia="Arial" w:hAnsi="Arial"/>
                <w:sz w:val="18"/>
                <w:szCs w:val="18"/>
                <w:i w:val="1"/>
                <w:iCs w:val="1"/>
                <w:color w:val="auto"/>
              </w:rPr>
              <w:t>Personal Care</w:t>
            </w:r>
          </w:p>
        </w:tc>
        <w:tc>
          <w:tcPr>
            <w:tcW w:w="340" w:type="dxa"/>
            <w:vAlign w:val="bottom"/>
          </w:tcPr>
          <w:p>
            <w:pPr>
              <w:spacing w:after="0"/>
              <w:rPr>
                <w:sz w:val="20"/>
                <w:szCs w:val="20"/>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67</w:t>
            </w:r>
          </w:p>
        </w:tc>
      </w:tr>
      <w:tr>
        <w:trPr>
          <w:trHeight w:val="249"/>
        </w:trPr>
        <w:tc>
          <w:tcPr>
            <w:tcW w:w="3480" w:type="dxa"/>
            <w:vAlign w:val="bottom"/>
            <w:shd w:val="clear" w:color="auto" w:fill="CFF0FC"/>
          </w:tcPr>
          <w:p>
            <w:pPr>
              <w:ind w:left="200"/>
              <w:spacing w:after="0"/>
              <w:rPr>
                <w:sz w:val="20"/>
                <w:szCs w:val="20"/>
                <w:color w:val="auto"/>
              </w:rPr>
            </w:pPr>
            <w:r>
              <w:rPr>
                <w:rFonts w:ascii="Arial" w:cs="Arial" w:eastAsia="Arial" w:hAnsi="Arial"/>
                <w:sz w:val="18"/>
                <w:szCs w:val="18"/>
                <w:i w:val="1"/>
                <w:iCs w:val="1"/>
                <w:color w:val="auto"/>
              </w:rPr>
              <w:t>Specialty Additives</w:t>
            </w:r>
          </w:p>
        </w:tc>
        <w:tc>
          <w:tcPr>
            <w:tcW w:w="34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79</w:t>
            </w:r>
          </w:p>
        </w:tc>
      </w:tr>
      <w:tr>
        <w:trPr>
          <w:trHeight w:val="237"/>
        </w:trPr>
        <w:tc>
          <w:tcPr>
            <w:tcW w:w="3480" w:type="dxa"/>
            <w:vAlign w:val="bottom"/>
          </w:tcPr>
          <w:p>
            <w:pPr>
              <w:ind w:left="200"/>
              <w:spacing w:after="0"/>
              <w:rPr>
                <w:sz w:val="20"/>
                <w:szCs w:val="20"/>
                <w:color w:val="auto"/>
              </w:rPr>
            </w:pPr>
            <w:r>
              <w:rPr>
                <w:rFonts w:ascii="Arial" w:cs="Arial" w:eastAsia="Arial" w:hAnsi="Arial"/>
                <w:sz w:val="18"/>
                <w:szCs w:val="18"/>
                <w:i w:val="1"/>
                <w:iCs w:val="1"/>
                <w:color w:val="auto"/>
              </w:rPr>
              <w:t>Intermediates</w:t>
            </w:r>
          </w:p>
        </w:tc>
        <w:tc>
          <w:tcPr>
            <w:tcW w:w="340" w:type="dxa"/>
            <w:vAlign w:val="bottom"/>
          </w:tcPr>
          <w:p>
            <w:pPr>
              <w:spacing w:after="0"/>
              <w:rPr>
                <w:sz w:val="20"/>
                <w:szCs w:val="20"/>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72</w:t>
            </w:r>
          </w:p>
        </w:tc>
      </w:tr>
      <w:tr>
        <w:trPr>
          <w:trHeight w:val="249"/>
        </w:trPr>
        <w:tc>
          <w:tcPr>
            <w:tcW w:w="34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i w:val="1"/>
                <w:iCs w:val="1"/>
                <w:color w:val="auto"/>
              </w:rPr>
              <w:t>Unallocated and other</w:t>
            </w:r>
          </w:p>
        </w:tc>
        <w:tc>
          <w:tcPr>
            <w:tcW w:w="34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(19 )</w:t>
            </w:r>
          </w:p>
        </w:tc>
        <w:tc>
          <w:tcPr>
            <w:tcW w:w="2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(29 )</w:t>
            </w:r>
          </w:p>
        </w:tc>
        <w:tc>
          <w:tcPr>
            <w:tcW w:w="2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(69 )</w:t>
            </w:r>
          </w:p>
        </w:tc>
        <w:tc>
          <w:tcPr>
            <w:tcW w:w="20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(79 )</w:t>
            </w:r>
          </w:p>
        </w:tc>
      </w:tr>
      <w:tr>
        <w:trPr>
          <w:trHeight w:val="230"/>
        </w:trPr>
        <w:tc>
          <w:tcPr>
            <w:tcW w:w="348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62</w:t>
            </w:r>
          </w:p>
        </w:tc>
        <w:tc>
          <w:tcPr>
            <w:tcW w:w="5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112</w:t>
            </w:r>
          </w:p>
        </w:tc>
        <w:tc>
          <w:tcPr>
            <w:tcW w:w="5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182</w:t>
            </w:r>
          </w:p>
        </w:tc>
        <w:tc>
          <w:tcPr>
            <w:tcW w:w="74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254</w:t>
            </w:r>
          </w:p>
        </w:tc>
      </w:tr>
      <w:tr>
        <w:trPr>
          <w:trHeight w:val="20"/>
        </w:trPr>
        <w:tc>
          <w:tcPr>
            <w:tcW w:w="34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30"/>
        </w:trPr>
        <w:tc>
          <w:tcPr>
            <w:tcW w:w="34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DEPRECIATION EXPENSE</w:t>
            </w:r>
          </w:p>
        </w:tc>
        <w:tc>
          <w:tcPr>
            <w:tcW w:w="3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r>
      <w:tr>
        <w:trPr>
          <w:trHeight w:val="237"/>
        </w:trPr>
        <w:tc>
          <w:tcPr>
            <w:tcW w:w="3480" w:type="dxa"/>
            <w:vAlign w:val="bottom"/>
          </w:tcPr>
          <w:p>
            <w:pPr>
              <w:ind w:left="200"/>
              <w:spacing w:after="0"/>
              <w:rPr>
                <w:sz w:val="20"/>
                <w:szCs w:val="20"/>
                <w:color w:val="auto"/>
              </w:rPr>
            </w:pPr>
            <w:r>
              <w:rPr>
                <w:rFonts w:ascii="Arial" w:cs="Arial" w:eastAsia="Arial" w:hAnsi="Arial"/>
                <w:sz w:val="18"/>
                <w:szCs w:val="18"/>
                <w:i w:val="1"/>
                <w:iCs w:val="1"/>
                <w:color w:val="auto"/>
              </w:rPr>
              <w:t>Life Sciences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11</w:t>
            </w:r>
          </w:p>
        </w:tc>
        <w:tc>
          <w:tcPr>
            <w:tcW w:w="5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9</w:t>
            </w:r>
          </w:p>
        </w:tc>
        <w:tc>
          <w:tcPr>
            <w:tcW w:w="5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31</w:t>
            </w:r>
          </w:p>
        </w:tc>
        <w:tc>
          <w:tcPr>
            <w:tcW w:w="74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25</w:t>
            </w:r>
          </w:p>
        </w:tc>
      </w:tr>
      <w:tr>
        <w:trPr>
          <w:trHeight w:val="249"/>
        </w:trPr>
        <w:tc>
          <w:tcPr>
            <w:tcW w:w="3480" w:type="dxa"/>
            <w:vAlign w:val="bottom"/>
            <w:shd w:val="clear" w:color="auto" w:fill="CFF0FC"/>
          </w:tcPr>
          <w:p>
            <w:pPr>
              <w:ind w:left="200"/>
              <w:spacing w:after="0"/>
              <w:rPr>
                <w:sz w:val="20"/>
                <w:szCs w:val="20"/>
                <w:color w:val="auto"/>
              </w:rPr>
            </w:pPr>
            <w:r>
              <w:rPr>
                <w:rFonts w:ascii="Arial" w:cs="Arial" w:eastAsia="Arial" w:hAnsi="Arial"/>
                <w:sz w:val="18"/>
                <w:szCs w:val="18"/>
                <w:i w:val="1"/>
                <w:iCs w:val="1"/>
                <w:color w:val="auto"/>
              </w:rPr>
              <w:t>Personal Care</w:t>
            </w:r>
          </w:p>
        </w:tc>
        <w:tc>
          <w:tcPr>
            <w:tcW w:w="34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w:t>
            </w: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28</w:t>
            </w:r>
          </w:p>
        </w:tc>
      </w:tr>
      <w:tr>
        <w:trPr>
          <w:trHeight w:val="237"/>
        </w:trPr>
        <w:tc>
          <w:tcPr>
            <w:tcW w:w="3480" w:type="dxa"/>
            <w:vAlign w:val="bottom"/>
          </w:tcPr>
          <w:p>
            <w:pPr>
              <w:ind w:left="200"/>
              <w:spacing w:after="0"/>
              <w:rPr>
                <w:sz w:val="20"/>
                <w:szCs w:val="20"/>
                <w:color w:val="auto"/>
              </w:rPr>
            </w:pPr>
            <w:r>
              <w:rPr>
                <w:rFonts w:ascii="Arial" w:cs="Arial" w:eastAsia="Arial" w:hAnsi="Arial"/>
                <w:sz w:val="18"/>
                <w:szCs w:val="18"/>
                <w:i w:val="1"/>
                <w:iCs w:val="1"/>
                <w:color w:val="auto"/>
              </w:rPr>
              <w:t>Specialty Additives</w:t>
            </w:r>
          </w:p>
        </w:tc>
        <w:tc>
          <w:tcPr>
            <w:tcW w:w="340" w:type="dxa"/>
            <w:vAlign w:val="bottom"/>
          </w:tcPr>
          <w:p>
            <w:pPr>
              <w:spacing w:after="0"/>
              <w:rPr>
                <w:sz w:val="20"/>
                <w:szCs w:val="20"/>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48</w:t>
            </w:r>
          </w:p>
        </w:tc>
      </w:tr>
      <w:tr>
        <w:trPr>
          <w:trHeight w:val="249"/>
        </w:trPr>
        <w:tc>
          <w:tcPr>
            <w:tcW w:w="3480" w:type="dxa"/>
            <w:vAlign w:val="bottom"/>
            <w:shd w:val="clear" w:color="auto" w:fill="CFF0FC"/>
          </w:tcPr>
          <w:p>
            <w:pPr>
              <w:ind w:left="200"/>
              <w:spacing w:after="0"/>
              <w:rPr>
                <w:sz w:val="20"/>
                <w:szCs w:val="20"/>
                <w:color w:val="auto"/>
              </w:rPr>
            </w:pPr>
            <w:r>
              <w:rPr>
                <w:rFonts w:ascii="Arial" w:cs="Arial" w:eastAsia="Arial" w:hAnsi="Arial"/>
                <w:sz w:val="18"/>
                <w:szCs w:val="18"/>
                <w:i w:val="1"/>
                <w:iCs w:val="1"/>
                <w:color w:val="auto"/>
              </w:rPr>
              <w:t>Intermediates</w:t>
            </w:r>
          </w:p>
        </w:tc>
        <w:tc>
          <w:tcPr>
            <w:tcW w:w="34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w:t>
            </w:r>
          </w:p>
        </w:tc>
        <w:tc>
          <w:tcPr>
            <w:tcW w:w="2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w:t>
            </w:r>
          </w:p>
        </w:tc>
      </w:tr>
      <w:tr>
        <w:trPr>
          <w:trHeight w:val="243"/>
        </w:trPr>
        <w:tc>
          <w:tcPr>
            <w:tcW w:w="3480" w:type="dxa"/>
            <w:vAlign w:val="bottom"/>
          </w:tcPr>
          <w:p>
            <w:pPr>
              <w:ind w:left="200"/>
              <w:spacing w:after="0"/>
              <w:rPr>
                <w:sz w:val="20"/>
                <w:szCs w:val="20"/>
                <w:color w:val="auto"/>
              </w:rPr>
            </w:pPr>
            <w:r>
              <w:rPr>
                <w:rFonts w:ascii="Arial" w:cs="Arial" w:eastAsia="Arial" w:hAnsi="Arial"/>
                <w:sz w:val="18"/>
                <w:szCs w:val="18"/>
                <w:i w:val="1"/>
                <w:iCs w:val="1"/>
                <w:color w:val="auto"/>
              </w:rPr>
              <w:t>Unallocated and other</w:t>
            </w:r>
          </w:p>
        </w:tc>
        <w:tc>
          <w:tcPr>
            <w:tcW w:w="3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w:t>
            </w:r>
          </w:p>
        </w:tc>
      </w:tr>
      <w:tr>
        <w:trPr>
          <w:trHeight w:val="270"/>
        </w:trPr>
        <w:tc>
          <w:tcPr>
            <w:tcW w:w="348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38</w:t>
            </w:r>
          </w:p>
        </w:tc>
        <w:tc>
          <w:tcPr>
            <w:tcW w:w="20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37</w:t>
            </w:r>
          </w:p>
        </w:tc>
        <w:tc>
          <w:tcPr>
            <w:tcW w:w="20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111</w:t>
            </w:r>
          </w:p>
        </w:tc>
        <w:tc>
          <w:tcPr>
            <w:tcW w:w="200" w:type="dxa"/>
            <w:vAlign w:val="bottom"/>
            <w:tcBorders>
              <w:bottom w:val="single" w:sz="8" w:color="CFF0FC"/>
            </w:tcBorders>
            <w:shd w:val="clear" w:color="auto" w:fill="CFF0FC"/>
          </w:tcPr>
          <w:p>
            <w:pPr>
              <w:spacing w:after="0"/>
              <w:rPr>
                <w:sz w:val="23"/>
                <w:szCs w:val="23"/>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111</w:t>
            </w:r>
          </w:p>
        </w:tc>
      </w:tr>
      <w:tr>
        <w:trPr>
          <w:trHeight w:val="226"/>
        </w:trPr>
        <w:tc>
          <w:tcPr>
            <w:tcW w:w="3480" w:type="dxa"/>
            <w:vAlign w:val="bottom"/>
          </w:tcPr>
          <w:p>
            <w:pPr>
              <w:ind w:left="20"/>
              <w:spacing w:after="0"/>
              <w:rPr>
                <w:sz w:val="20"/>
                <w:szCs w:val="20"/>
                <w:color w:val="auto"/>
              </w:rPr>
            </w:pPr>
            <w:r>
              <w:rPr>
                <w:rFonts w:ascii="Arial" w:cs="Arial" w:eastAsia="Arial" w:hAnsi="Arial"/>
                <w:sz w:val="18"/>
                <w:szCs w:val="18"/>
                <w:b w:val="1"/>
                <w:bCs w:val="1"/>
                <w:color w:val="auto"/>
              </w:rPr>
              <w:t>AMORTIZATION EXPENSE</w:t>
            </w: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47"/>
        </w:trPr>
        <w:tc>
          <w:tcPr>
            <w:tcW w:w="3480" w:type="dxa"/>
            <w:vAlign w:val="bottom"/>
            <w:shd w:val="clear" w:color="auto" w:fill="CFF0FC"/>
          </w:tcPr>
          <w:p>
            <w:pPr>
              <w:ind w:left="200"/>
              <w:spacing w:after="0"/>
              <w:rPr>
                <w:sz w:val="20"/>
                <w:szCs w:val="20"/>
                <w:color w:val="auto"/>
              </w:rPr>
            </w:pPr>
            <w:r>
              <w:rPr>
                <w:rFonts w:ascii="Arial" w:cs="Arial" w:eastAsia="Arial" w:hAnsi="Arial"/>
                <w:sz w:val="18"/>
                <w:szCs w:val="18"/>
                <w:i w:val="1"/>
                <w:iCs w:val="1"/>
                <w:color w:val="auto"/>
              </w:rPr>
              <w:t>Life Sciences</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w:t>
            </w:r>
          </w:p>
        </w:tc>
        <w:tc>
          <w:tcPr>
            <w:tcW w:w="5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w:t>
            </w:r>
          </w:p>
        </w:tc>
        <w:tc>
          <w:tcPr>
            <w:tcW w:w="5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20</w:t>
            </w:r>
          </w:p>
        </w:tc>
        <w:tc>
          <w:tcPr>
            <w:tcW w:w="740" w:type="dxa"/>
            <w:vAlign w:val="bottom"/>
            <w:gridSpan w:val="2"/>
            <w:shd w:val="clear" w:color="auto" w:fill="CFF0FC"/>
          </w:tcPr>
          <w:p>
            <w:pPr>
              <w:jc w:val="right"/>
              <w:ind w:right="3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21</w:t>
            </w:r>
          </w:p>
        </w:tc>
      </w:tr>
      <w:tr>
        <w:trPr>
          <w:trHeight w:val="237"/>
        </w:trPr>
        <w:tc>
          <w:tcPr>
            <w:tcW w:w="3480" w:type="dxa"/>
            <w:vAlign w:val="bottom"/>
          </w:tcPr>
          <w:p>
            <w:pPr>
              <w:ind w:left="200"/>
              <w:spacing w:after="0"/>
              <w:rPr>
                <w:sz w:val="20"/>
                <w:szCs w:val="20"/>
                <w:color w:val="auto"/>
              </w:rPr>
            </w:pPr>
            <w:r>
              <w:rPr>
                <w:rFonts w:ascii="Arial" w:cs="Arial" w:eastAsia="Arial" w:hAnsi="Arial"/>
                <w:sz w:val="18"/>
                <w:szCs w:val="18"/>
                <w:i w:val="1"/>
                <w:iCs w:val="1"/>
                <w:color w:val="auto"/>
              </w:rPr>
              <w:t>Personal Care</w:t>
            </w:r>
          </w:p>
        </w:tc>
        <w:tc>
          <w:tcPr>
            <w:tcW w:w="340" w:type="dxa"/>
            <w:vAlign w:val="bottom"/>
          </w:tcPr>
          <w:p>
            <w:pPr>
              <w:spacing w:after="0"/>
              <w:rPr>
                <w:sz w:val="20"/>
                <w:szCs w:val="20"/>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35</w:t>
            </w:r>
          </w:p>
        </w:tc>
      </w:tr>
      <w:tr>
        <w:trPr>
          <w:trHeight w:val="249"/>
        </w:trPr>
        <w:tc>
          <w:tcPr>
            <w:tcW w:w="3480" w:type="dxa"/>
            <w:vAlign w:val="bottom"/>
            <w:shd w:val="clear" w:color="auto" w:fill="CFF0FC"/>
          </w:tcPr>
          <w:p>
            <w:pPr>
              <w:ind w:left="200"/>
              <w:spacing w:after="0"/>
              <w:rPr>
                <w:sz w:val="20"/>
                <w:szCs w:val="20"/>
                <w:color w:val="auto"/>
              </w:rPr>
            </w:pPr>
            <w:r>
              <w:rPr>
                <w:rFonts w:ascii="Arial" w:cs="Arial" w:eastAsia="Arial" w:hAnsi="Arial"/>
                <w:sz w:val="18"/>
                <w:szCs w:val="18"/>
                <w:i w:val="1"/>
                <w:iCs w:val="1"/>
                <w:color w:val="auto"/>
              </w:rPr>
              <w:t>Specialty Additives</w:t>
            </w:r>
          </w:p>
        </w:tc>
        <w:tc>
          <w:tcPr>
            <w:tcW w:w="34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14</w:t>
            </w:r>
          </w:p>
        </w:tc>
      </w:tr>
      <w:tr>
        <w:trPr>
          <w:trHeight w:val="243"/>
        </w:trPr>
        <w:tc>
          <w:tcPr>
            <w:tcW w:w="3480" w:type="dxa"/>
            <w:vAlign w:val="bottom"/>
          </w:tcPr>
          <w:p>
            <w:pPr>
              <w:ind w:left="200"/>
              <w:spacing w:after="0"/>
              <w:rPr>
                <w:sz w:val="20"/>
                <w:szCs w:val="20"/>
                <w:color w:val="auto"/>
              </w:rPr>
            </w:pPr>
            <w:r>
              <w:rPr>
                <w:rFonts w:ascii="Arial" w:cs="Arial" w:eastAsia="Arial" w:hAnsi="Arial"/>
                <w:sz w:val="18"/>
                <w:szCs w:val="18"/>
                <w:i w:val="1"/>
                <w:iCs w:val="1"/>
                <w:color w:val="auto"/>
              </w:rPr>
              <w:t>Intermediates</w:t>
            </w:r>
          </w:p>
        </w:tc>
        <w:tc>
          <w:tcPr>
            <w:tcW w:w="3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w:t>
            </w:r>
          </w:p>
        </w:tc>
      </w:tr>
      <w:tr>
        <w:trPr>
          <w:trHeight w:val="270"/>
        </w:trPr>
        <w:tc>
          <w:tcPr>
            <w:tcW w:w="348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24</w:t>
            </w:r>
          </w:p>
        </w:tc>
        <w:tc>
          <w:tcPr>
            <w:tcW w:w="20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24</w:t>
            </w:r>
          </w:p>
        </w:tc>
        <w:tc>
          <w:tcPr>
            <w:tcW w:w="20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70</w:t>
            </w:r>
          </w:p>
        </w:tc>
        <w:tc>
          <w:tcPr>
            <w:tcW w:w="200" w:type="dxa"/>
            <w:vAlign w:val="bottom"/>
            <w:tcBorders>
              <w:bottom w:val="single" w:sz="8" w:color="CFF0FC"/>
            </w:tcBorders>
            <w:shd w:val="clear" w:color="auto" w:fill="CFF0FC"/>
          </w:tcPr>
          <w:p>
            <w:pPr>
              <w:spacing w:after="0"/>
              <w:rPr>
                <w:sz w:val="23"/>
                <w:szCs w:val="23"/>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71</w:t>
            </w:r>
          </w:p>
        </w:tc>
      </w:tr>
      <w:tr>
        <w:trPr>
          <w:trHeight w:val="225"/>
        </w:trPr>
        <w:tc>
          <w:tcPr>
            <w:tcW w:w="3480" w:type="dxa"/>
            <w:vAlign w:val="bottom"/>
          </w:tcPr>
          <w:p>
            <w:pPr>
              <w:ind w:left="20"/>
              <w:spacing w:after="0"/>
              <w:rPr>
                <w:sz w:val="20"/>
                <w:szCs w:val="20"/>
                <w:color w:val="auto"/>
              </w:rPr>
            </w:pPr>
            <w:r>
              <w:rPr>
                <w:rFonts w:ascii="Arial" w:cs="Arial" w:eastAsia="Arial" w:hAnsi="Arial"/>
                <w:sz w:val="18"/>
                <w:szCs w:val="18"/>
                <w:b w:val="1"/>
                <w:bCs w:val="1"/>
                <w:color w:val="auto"/>
              </w:rPr>
              <w:t xml:space="preserve">EBITDA </w:t>
            </w:r>
            <w:r>
              <w:rPr>
                <w:rFonts w:ascii="Arial" w:cs="Arial" w:eastAsia="Arial" w:hAnsi="Arial"/>
                <w:sz w:val="14"/>
                <w:szCs w:val="14"/>
                <w:color w:val="auto"/>
              </w:rPr>
              <w:t>(b)</w:t>
            </w: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47"/>
        </w:trPr>
        <w:tc>
          <w:tcPr>
            <w:tcW w:w="3480" w:type="dxa"/>
            <w:vAlign w:val="bottom"/>
            <w:shd w:val="clear" w:color="auto" w:fill="CFF0FC"/>
          </w:tcPr>
          <w:p>
            <w:pPr>
              <w:ind w:left="200"/>
              <w:spacing w:after="0"/>
              <w:rPr>
                <w:sz w:val="20"/>
                <w:szCs w:val="20"/>
                <w:color w:val="auto"/>
              </w:rPr>
            </w:pPr>
            <w:r>
              <w:rPr>
                <w:rFonts w:ascii="Arial" w:cs="Arial" w:eastAsia="Arial" w:hAnsi="Arial"/>
                <w:sz w:val="18"/>
                <w:szCs w:val="18"/>
                <w:i w:val="1"/>
                <w:iCs w:val="1"/>
                <w:color w:val="auto"/>
              </w:rPr>
              <w:t>Life Sciences</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67</w:t>
            </w:r>
          </w:p>
        </w:tc>
        <w:tc>
          <w:tcPr>
            <w:tcW w:w="5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67</w:t>
            </w:r>
          </w:p>
        </w:tc>
        <w:tc>
          <w:tcPr>
            <w:tcW w:w="5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192</w:t>
            </w:r>
          </w:p>
        </w:tc>
        <w:tc>
          <w:tcPr>
            <w:tcW w:w="740" w:type="dxa"/>
            <w:vAlign w:val="bottom"/>
            <w:gridSpan w:val="2"/>
            <w:shd w:val="clear" w:color="auto" w:fill="CFF0FC"/>
          </w:tcPr>
          <w:p>
            <w:pPr>
              <w:jc w:val="right"/>
              <w:ind w:right="3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161</w:t>
            </w:r>
          </w:p>
        </w:tc>
      </w:tr>
      <w:tr>
        <w:trPr>
          <w:trHeight w:val="237"/>
        </w:trPr>
        <w:tc>
          <w:tcPr>
            <w:tcW w:w="3480" w:type="dxa"/>
            <w:vAlign w:val="bottom"/>
          </w:tcPr>
          <w:p>
            <w:pPr>
              <w:ind w:left="200"/>
              <w:spacing w:after="0"/>
              <w:rPr>
                <w:sz w:val="20"/>
                <w:szCs w:val="20"/>
                <w:color w:val="auto"/>
              </w:rPr>
            </w:pPr>
            <w:r>
              <w:rPr>
                <w:rFonts w:ascii="Arial" w:cs="Arial" w:eastAsia="Arial" w:hAnsi="Arial"/>
                <w:sz w:val="18"/>
                <w:szCs w:val="18"/>
                <w:i w:val="1"/>
                <w:iCs w:val="1"/>
                <w:color w:val="auto"/>
              </w:rPr>
              <w:t>Personal Care</w:t>
            </w:r>
          </w:p>
        </w:tc>
        <w:tc>
          <w:tcPr>
            <w:tcW w:w="340" w:type="dxa"/>
            <w:vAlign w:val="bottom"/>
          </w:tcPr>
          <w:p>
            <w:pPr>
              <w:spacing w:after="0"/>
              <w:rPr>
                <w:sz w:val="20"/>
                <w:szCs w:val="20"/>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130</w:t>
            </w:r>
          </w:p>
        </w:tc>
      </w:tr>
      <w:tr>
        <w:trPr>
          <w:trHeight w:val="249"/>
        </w:trPr>
        <w:tc>
          <w:tcPr>
            <w:tcW w:w="3480" w:type="dxa"/>
            <w:vAlign w:val="bottom"/>
            <w:shd w:val="clear" w:color="auto" w:fill="CFF0FC"/>
          </w:tcPr>
          <w:p>
            <w:pPr>
              <w:ind w:left="200"/>
              <w:spacing w:after="0"/>
              <w:rPr>
                <w:sz w:val="20"/>
                <w:szCs w:val="20"/>
                <w:color w:val="auto"/>
              </w:rPr>
            </w:pPr>
            <w:r>
              <w:rPr>
                <w:rFonts w:ascii="Arial" w:cs="Arial" w:eastAsia="Arial" w:hAnsi="Arial"/>
                <w:sz w:val="18"/>
                <w:szCs w:val="18"/>
                <w:i w:val="1"/>
                <w:iCs w:val="1"/>
                <w:color w:val="auto"/>
              </w:rPr>
              <w:t>Specialty Additives</w:t>
            </w:r>
          </w:p>
        </w:tc>
        <w:tc>
          <w:tcPr>
            <w:tcW w:w="34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56</w:t>
            </w: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79</w:t>
            </w:r>
          </w:p>
        </w:tc>
        <w:tc>
          <w:tcPr>
            <w:tcW w:w="2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141</w:t>
            </w:r>
          </w:p>
        </w:tc>
      </w:tr>
      <w:tr>
        <w:trPr>
          <w:trHeight w:val="237"/>
        </w:trPr>
        <w:tc>
          <w:tcPr>
            <w:tcW w:w="3480" w:type="dxa"/>
            <w:vAlign w:val="bottom"/>
          </w:tcPr>
          <w:p>
            <w:pPr>
              <w:ind w:left="200"/>
              <w:spacing w:after="0"/>
              <w:rPr>
                <w:sz w:val="20"/>
                <w:szCs w:val="20"/>
                <w:color w:val="auto"/>
              </w:rPr>
            </w:pPr>
            <w:r>
              <w:rPr>
                <w:rFonts w:ascii="Arial" w:cs="Arial" w:eastAsia="Arial" w:hAnsi="Arial"/>
                <w:sz w:val="18"/>
                <w:szCs w:val="18"/>
                <w:i w:val="1"/>
                <w:iCs w:val="1"/>
                <w:color w:val="auto"/>
              </w:rPr>
              <w:t>Intermediates</w:t>
            </w:r>
          </w:p>
        </w:tc>
        <w:tc>
          <w:tcPr>
            <w:tcW w:w="340" w:type="dxa"/>
            <w:vAlign w:val="bottom"/>
          </w:tcPr>
          <w:p>
            <w:pPr>
              <w:spacing w:after="0"/>
              <w:rPr>
                <w:sz w:val="20"/>
                <w:szCs w:val="20"/>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82</w:t>
            </w:r>
          </w:p>
        </w:tc>
      </w:tr>
      <w:tr>
        <w:trPr>
          <w:trHeight w:val="249"/>
        </w:trPr>
        <w:tc>
          <w:tcPr>
            <w:tcW w:w="34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i w:val="1"/>
                <w:iCs w:val="1"/>
                <w:color w:val="auto"/>
              </w:rPr>
              <w:t>Unallocated and other</w:t>
            </w:r>
          </w:p>
        </w:tc>
        <w:tc>
          <w:tcPr>
            <w:tcW w:w="34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(19 )</w:t>
            </w:r>
          </w:p>
        </w:tc>
        <w:tc>
          <w:tcPr>
            <w:tcW w:w="2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(64 )</w:t>
            </w:r>
          </w:p>
        </w:tc>
        <w:tc>
          <w:tcPr>
            <w:tcW w:w="2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(69 )</w:t>
            </w:r>
          </w:p>
        </w:tc>
        <w:tc>
          <w:tcPr>
            <w:tcW w:w="20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(120 )</w:t>
            </w:r>
          </w:p>
        </w:tc>
      </w:tr>
      <w:tr>
        <w:trPr>
          <w:trHeight w:val="230"/>
        </w:trPr>
        <w:tc>
          <w:tcPr>
            <w:tcW w:w="348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124</w:t>
            </w:r>
          </w:p>
        </w:tc>
        <w:tc>
          <w:tcPr>
            <w:tcW w:w="5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138</w:t>
            </w:r>
          </w:p>
        </w:tc>
        <w:tc>
          <w:tcPr>
            <w:tcW w:w="5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363</w:t>
            </w:r>
          </w:p>
        </w:tc>
        <w:tc>
          <w:tcPr>
            <w:tcW w:w="74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394</w:t>
            </w:r>
          </w:p>
        </w:tc>
      </w:tr>
      <w:tr>
        <w:trPr>
          <w:trHeight w:val="20"/>
        </w:trPr>
        <w:tc>
          <w:tcPr>
            <w:tcW w:w="34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135"/>
        </w:trPr>
        <w:tc>
          <w:tcPr>
            <w:tcW w:w="3480" w:type="dxa"/>
            <w:vAlign w:val="bottom"/>
            <w:tcBorders>
              <w:bottom w:val="single" w:sz="8" w:color="auto"/>
            </w:tcBorders>
            <w:shd w:val="clear" w:color="auto" w:fill="CFF0FC"/>
          </w:tcPr>
          <w:p>
            <w:pPr>
              <w:spacing w:after="0"/>
              <w:rPr>
                <w:sz w:val="11"/>
                <w:szCs w:val="11"/>
                <w:color w:val="auto"/>
              </w:rPr>
            </w:pPr>
          </w:p>
        </w:tc>
        <w:tc>
          <w:tcPr>
            <w:tcW w:w="340" w:type="dxa"/>
            <w:vAlign w:val="bottom"/>
            <w:tcBorders>
              <w:bottom w:val="single" w:sz="8" w:color="auto"/>
            </w:tcBorders>
            <w:shd w:val="clear" w:color="auto" w:fill="CFF0FC"/>
          </w:tcPr>
          <w:p>
            <w:pPr>
              <w:spacing w:after="0"/>
              <w:rPr>
                <w:sz w:val="11"/>
                <w:szCs w:val="11"/>
                <w:color w:val="auto"/>
              </w:rPr>
            </w:pPr>
          </w:p>
        </w:tc>
        <w:tc>
          <w:tcPr>
            <w:tcW w:w="1260" w:type="dxa"/>
            <w:vAlign w:val="bottom"/>
            <w:tcBorders>
              <w:bottom w:val="single" w:sz="8" w:color="auto"/>
            </w:tcBorders>
            <w:shd w:val="clear" w:color="auto" w:fill="CFF0FC"/>
          </w:tcPr>
          <w:p>
            <w:pPr>
              <w:spacing w:after="0"/>
              <w:rPr>
                <w:sz w:val="11"/>
                <w:szCs w:val="11"/>
                <w:color w:val="auto"/>
              </w:rPr>
            </w:pPr>
          </w:p>
        </w:tc>
        <w:tc>
          <w:tcPr>
            <w:tcW w:w="200" w:type="dxa"/>
            <w:vAlign w:val="bottom"/>
            <w:tcBorders>
              <w:bottom w:val="single" w:sz="8" w:color="auto"/>
            </w:tcBorders>
            <w:shd w:val="clear" w:color="auto" w:fill="CFF0FC"/>
          </w:tcPr>
          <w:p>
            <w:pPr>
              <w:spacing w:after="0"/>
              <w:rPr>
                <w:sz w:val="11"/>
                <w:szCs w:val="11"/>
                <w:color w:val="auto"/>
              </w:rPr>
            </w:pPr>
          </w:p>
        </w:tc>
        <w:tc>
          <w:tcPr>
            <w:tcW w:w="320" w:type="dxa"/>
            <w:vAlign w:val="bottom"/>
            <w:tcBorders>
              <w:bottom w:val="single" w:sz="8" w:color="auto"/>
            </w:tcBorders>
            <w:shd w:val="clear" w:color="auto" w:fill="CFF0FC"/>
          </w:tcPr>
          <w:p>
            <w:pPr>
              <w:spacing w:after="0"/>
              <w:rPr>
                <w:sz w:val="11"/>
                <w:szCs w:val="11"/>
                <w:color w:val="auto"/>
              </w:rPr>
            </w:pPr>
          </w:p>
        </w:tc>
        <w:tc>
          <w:tcPr>
            <w:tcW w:w="1260" w:type="dxa"/>
            <w:vAlign w:val="bottom"/>
            <w:tcBorders>
              <w:bottom w:val="single" w:sz="8" w:color="auto"/>
            </w:tcBorders>
            <w:shd w:val="clear" w:color="auto" w:fill="CFF0FC"/>
          </w:tcPr>
          <w:p>
            <w:pPr>
              <w:spacing w:after="0"/>
              <w:rPr>
                <w:sz w:val="11"/>
                <w:szCs w:val="11"/>
                <w:color w:val="auto"/>
              </w:rPr>
            </w:pPr>
          </w:p>
        </w:tc>
        <w:tc>
          <w:tcPr>
            <w:tcW w:w="200" w:type="dxa"/>
            <w:vAlign w:val="bottom"/>
            <w:tcBorders>
              <w:bottom w:val="single" w:sz="8" w:color="auto"/>
            </w:tcBorders>
            <w:shd w:val="clear" w:color="auto" w:fill="CFF0FC"/>
          </w:tcPr>
          <w:p>
            <w:pPr>
              <w:spacing w:after="0"/>
              <w:rPr>
                <w:sz w:val="11"/>
                <w:szCs w:val="11"/>
                <w:color w:val="auto"/>
              </w:rPr>
            </w:pPr>
          </w:p>
        </w:tc>
        <w:tc>
          <w:tcPr>
            <w:tcW w:w="320" w:type="dxa"/>
            <w:vAlign w:val="bottom"/>
            <w:tcBorders>
              <w:bottom w:val="single" w:sz="8" w:color="auto"/>
            </w:tcBorders>
            <w:shd w:val="clear" w:color="auto" w:fill="CFF0FC"/>
          </w:tcPr>
          <w:p>
            <w:pPr>
              <w:spacing w:after="0"/>
              <w:rPr>
                <w:sz w:val="11"/>
                <w:szCs w:val="11"/>
                <w:color w:val="auto"/>
              </w:rPr>
            </w:pPr>
          </w:p>
        </w:tc>
        <w:tc>
          <w:tcPr>
            <w:tcW w:w="1280" w:type="dxa"/>
            <w:vAlign w:val="bottom"/>
            <w:tcBorders>
              <w:bottom w:val="single" w:sz="8" w:color="auto"/>
            </w:tcBorders>
            <w:shd w:val="clear" w:color="auto" w:fill="CFF0FC"/>
          </w:tcPr>
          <w:p>
            <w:pPr>
              <w:spacing w:after="0"/>
              <w:rPr>
                <w:sz w:val="11"/>
                <w:szCs w:val="11"/>
                <w:color w:val="auto"/>
              </w:rPr>
            </w:pPr>
          </w:p>
        </w:tc>
        <w:tc>
          <w:tcPr>
            <w:tcW w:w="200" w:type="dxa"/>
            <w:vAlign w:val="bottom"/>
            <w:tcBorders>
              <w:bottom w:val="single" w:sz="8" w:color="auto"/>
            </w:tcBorders>
            <w:shd w:val="clear" w:color="auto" w:fill="CFF0FC"/>
          </w:tcPr>
          <w:p>
            <w:pPr>
              <w:spacing w:after="0"/>
              <w:rPr>
                <w:sz w:val="11"/>
                <w:szCs w:val="11"/>
                <w:color w:val="auto"/>
              </w:rPr>
            </w:pPr>
          </w:p>
        </w:tc>
        <w:tc>
          <w:tcPr>
            <w:tcW w:w="540" w:type="dxa"/>
            <w:vAlign w:val="bottom"/>
            <w:tcBorders>
              <w:bottom w:val="single" w:sz="8" w:color="auto"/>
            </w:tcBorders>
            <w:shd w:val="clear" w:color="auto" w:fill="CFF0FC"/>
          </w:tcPr>
          <w:p>
            <w:pPr>
              <w:spacing w:after="0"/>
              <w:rPr>
                <w:sz w:val="11"/>
                <w:szCs w:val="11"/>
                <w:color w:val="auto"/>
              </w:rPr>
            </w:pPr>
          </w:p>
        </w:tc>
        <w:tc>
          <w:tcPr>
            <w:tcW w:w="1040" w:type="dxa"/>
            <w:vAlign w:val="bottom"/>
            <w:tcBorders>
              <w:bottom w:val="single" w:sz="8" w:color="auto"/>
            </w:tcBorders>
            <w:shd w:val="clear" w:color="auto" w:fill="CFF0FC"/>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3235325</wp:posOffset>
            </wp:positionH>
            <wp:positionV relativeFrom="paragraph">
              <wp:posOffset>-4431665</wp:posOffset>
            </wp:positionV>
            <wp:extent cx="2400300" cy="17970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400300" cy="179705"/>
                    </a:xfrm>
                    <a:prstGeom prst="rect">
                      <a:avLst/>
                    </a:prstGeom>
                    <a:noFill/>
                  </pic:spPr>
                </pic:pic>
              </a:graphicData>
            </a:graphic>
          </wp:anchor>
        </w:drawing>
        <w:drawing>
          <wp:anchor simplePos="0" relativeHeight="251657728" behindDoc="1" locked="0" layoutInCell="0" allowOverlap="1">
            <wp:simplePos x="0" y="0"/>
            <wp:positionH relativeFrom="column">
              <wp:posOffset>3235325</wp:posOffset>
            </wp:positionH>
            <wp:positionV relativeFrom="paragraph">
              <wp:posOffset>-3479800</wp:posOffset>
            </wp:positionV>
            <wp:extent cx="128905" cy="18859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8905" cy="188595"/>
                    </a:xfrm>
                    <a:prstGeom prst="rect">
                      <a:avLst/>
                    </a:prstGeom>
                    <a:noFill/>
                  </pic:spPr>
                </pic:pic>
              </a:graphicData>
            </a:graphic>
          </wp:anchor>
        </w:drawing>
        <w:drawing>
          <wp:anchor simplePos="0" relativeHeight="251657728" behindDoc="1" locked="0" layoutInCell="0" allowOverlap="1">
            <wp:simplePos x="0" y="0"/>
            <wp:positionH relativeFrom="column">
              <wp:posOffset>4366895</wp:posOffset>
            </wp:positionH>
            <wp:positionV relativeFrom="paragraph">
              <wp:posOffset>-3479800</wp:posOffset>
            </wp:positionV>
            <wp:extent cx="128905" cy="18859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8905" cy="188595"/>
                    </a:xfrm>
                    <a:prstGeom prst="rect">
                      <a:avLst/>
                    </a:prstGeom>
                    <a:noFill/>
                  </pic:spPr>
                </pic:pic>
              </a:graphicData>
            </a:graphic>
          </wp:anchor>
        </w:drawing>
        <w:drawing>
          <wp:anchor simplePos="0" relativeHeight="251657728" behindDoc="1" locked="0" layoutInCell="0" allowOverlap="1">
            <wp:simplePos x="0" y="0"/>
            <wp:positionH relativeFrom="column">
              <wp:posOffset>5507355</wp:posOffset>
            </wp:positionH>
            <wp:positionV relativeFrom="paragraph">
              <wp:posOffset>-3479800</wp:posOffset>
            </wp:positionV>
            <wp:extent cx="128905" cy="18859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8905" cy="188595"/>
                    </a:xfrm>
                    <a:prstGeom prst="rect">
                      <a:avLst/>
                    </a:prstGeom>
                    <a:noFill/>
                  </pic:spPr>
                </pic:pic>
              </a:graphicData>
            </a:graphic>
          </wp:anchor>
        </w:drawing>
        <w:drawing>
          <wp:anchor simplePos="0" relativeHeight="251657728" behindDoc="1" locked="0" layoutInCell="0" allowOverlap="1">
            <wp:simplePos x="0" y="0"/>
            <wp:positionH relativeFrom="column">
              <wp:posOffset>3235325</wp:posOffset>
            </wp:positionH>
            <wp:positionV relativeFrom="paragraph">
              <wp:posOffset>-2202815</wp:posOffset>
            </wp:positionV>
            <wp:extent cx="2400300" cy="1803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400300" cy="180340"/>
                    </a:xfrm>
                    <a:prstGeom prst="rect">
                      <a:avLst/>
                    </a:prstGeom>
                    <a:noFill/>
                  </pic:spPr>
                </pic:pic>
              </a:graphicData>
            </a:graphic>
          </wp:anchor>
        </w:drawing>
        <w:drawing>
          <wp:anchor simplePos="0" relativeHeight="251657728" behindDoc="1" locked="0" layoutInCell="0" allowOverlap="1">
            <wp:simplePos x="0" y="0"/>
            <wp:positionH relativeFrom="column">
              <wp:posOffset>3235325</wp:posOffset>
            </wp:positionH>
            <wp:positionV relativeFrom="paragraph">
              <wp:posOffset>-1242695</wp:posOffset>
            </wp:positionV>
            <wp:extent cx="2400300" cy="1797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400300" cy="179705"/>
                    </a:xfrm>
                    <a:prstGeom prst="rect">
                      <a:avLst/>
                    </a:prstGeom>
                    <a:noFill/>
                  </pic:spPr>
                </pic:pic>
              </a:graphicData>
            </a:graphic>
          </wp:anchor>
        </w:drawing>
        <w:drawing>
          <wp:anchor simplePos="0" relativeHeight="251657728" behindDoc="1" locked="0" layoutInCell="0" allowOverlap="1">
            <wp:simplePos x="0" y="0"/>
            <wp:positionH relativeFrom="column">
              <wp:posOffset>3235325</wp:posOffset>
            </wp:positionH>
            <wp:positionV relativeFrom="paragraph">
              <wp:posOffset>-290830</wp:posOffset>
            </wp:positionV>
            <wp:extent cx="128905" cy="18859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8905" cy="188595"/>
                    </a:xfrm>
                    <a:prstGeom prst="rect">
                      <a:avLst/>
                    </a:prstGeom>
                    <a:noFill/>
                  </pic:spPr>
                </pic:pic>
              </a:graphicData>
            </a:graphic>
          </wp:anchor>
        </w:drawing>
        <w:drawing>
          <wp:anchor simplePos="0" relativeHeight="251657728" behindDoc="1" locked="0" layoutInCell="0" allowOverlap="1">
            <wp:simplePos x="0" y="0"/>
            <wp:positionH relativeFrom="column">
              <wp:posOffset>4366895</wp:posOffset>
            </wp:positionH>
            <wp:positionV relativeFrom="paragraph">
              <wp:posOffset>-290830</wp:posOffset>
            </wp:positionV>
            <wp:extent cx="128905" cy="18859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8905" cy="188595"/>
                    </a:xfrm>
                    <a:prstGeom prst="rect">
                      <a:avLst/>
                    </a:prstGeom>
                    <a:noFill/>
                  </pic:spPr>
                </pic:pic>
              </a:graphicData>
            </a:graphic>
          </wp:anchor>
        </w:drawing>
        <w:drawing>
          <wp:anchor simplePos="0" relativeHeight="251657728" behindDoc="1" locked="0" layoutInCell="0" allowOverlap="1">
            <wp:simplePos x="0" y="0"/>
            <wp:positionH relativeFrom="column">
              <wp:posOffset>5507355</wp:posOffset>
            </wp:positionH>
            <wp:positionV relativeFrom="paragraph">
              <wp:posOffset>-290830</wp:posOffset>
            </wp:positionV>
            <wp:extent cx="128905" cy="18859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8905" cy="188595"/>
                    </a:xfrm>
                    <a:prstGeom prst="rect">
                      <a:avLst/>
                    </a:prstGeom>
                    <a:noFill/>
                  </pic:spPr>
                </pic:pic>
              </a:graphicData>
            </a:graphic>
          </wp:anchor>
        </w:drawing>
      </w:r>
    </w:p>
    <w:p>
      <w:pPr>
        <w:spacing w:after="0" w:line="42" w:lineRule="exact"/>
        <w:rPr>
          <w:sz w:val="20"/>
          <w:szCs w:val="20"/>
          <w:color w:val="auto"/>
        </w:rPr>
      </w:pPr>
    </w:p>
    <w:p>
      <w:pPr>
        <w:ind w:left="360" w:hanging="358"/>
        <w:spacing w:after="0"/>
        <w:tabs>
          <w:tab w:leader="none" w:pos="3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Intersegment sales from Intermediates are accounted for at prices that approximate fair value. All other intersegment transfers are accounted for at cost.</w:t>
      </w:r>
    </w:p>
    <w:p>
      <w:pPr>
        <w:spacing w:after="0" w:line="28" w:lineRule="exact"/>
        <w:rPr>
          <w:rFonts w:ascii="Arial" w:cs="Arial" w:eastAsia="Arial" w:hAnsi="Arial"/>
          <w:sz w:val="14"/>
          <w:szCs w:val="14"/>
          <w:color w:val="auto"/>
        </w:rPr>
      </w:pPr>
    </w:p>
    <w:p>
      <w:pPr>
        <w:ind w:left="360" w:hanging="358"/>
        <w:spacing w:after="0" w:line="253" w:lineRule="auto"/>
        <w:tabs>
          <w:tab w:leader="none" w:pos="3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Excludes income (loss) from discontinued operations, other net periodic benefit loss. See the Statement of Consolidated Comprehensive Income (Loss) for applicable amounts excluded.</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447" w:right="719" w:bottom="1440" w:gutter="0" w:footer="0" w:header="0"/>
        </w:sectPr>
      </w:pPr>
    </w:p>
    <w:bookmarkStart w:id="42" w:name="page43"/>
    <w:bookmarkEnd w:id="42"/>
    <w:p>
      <w:pPr>
        <w:spacing w:after="0"/>
        <w:rPr>
          <w:sz w:val="20"/>
          <w:szCs w:val="20"/>
          <w:color w:val="auto"/>
        </w:rPr>
      </w:pPr>
      <w:r>
        <w:rPr>
          <w:rFonts w:ascii="Arial" w:cs="Arial" w:eastAsia="Arial" w:hAnsi="Arial"/>
          <w:sz w:val="20"/>
          <w:szCs w:val="20"/>
          <w:b w:val="1"/>
          <w:bCs w:val="1"/>
          <w:color w:val="auto"/>
        </w:rPr>
        <w:t>Life Sciences</w:t>
      </w:r>
    </w:p>
    <w:p>
      <w:pPr>
        <w:spacing w:after="0" w:line="114"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Life Sciences is comprised of pharmaceuticals, nutrition, nutraceuticals, agricultural chemicals, advanced materials and fine chemicals. Pharmaceutical solutions include controlled release polymers, disintegrants, film coatings, solubilizers, and tablet binders. Nutrition solutions include thickeners, stabilizers, emulsifiers and additives for enhancing mouthfeel, controlling moisture migration, reducing oil uptake and controlling color. Nutraceutical solutions include products for weight management, joint comfort, stomach and intestinal health, sports nutrition and general wellness, and providing custom formulation, toll processing and particle engineering solutions. Customers include pharmaceutical, food, beverage, nutraceuticals and supplements manufacturers, hospitals and radiologists and industrial manufacturers.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June 2023 quarter compared to June 2022 quarter</w:t>
      </w:r>
    </w:p>
    <w:p>
      <w:pPr>
        <w:spacing w:after="0" w:line="108"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Life Sciences’ sales decreased $9 million to $219 million in the current quarter. Lower volume decreased sales by $32 million while favorable product pricing and foreign currency exchange increased sales by $22 million and $1 million, respectively.</w:t>
      </w:r>
    </w:p>
    <w:p>
      <w:pPr>
        <w:spacing w:after="0" w:line="22"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Operating income decreased $2 million to income of $49 million for the current quarter. Lower volume and higher costs (including restructuring and environmental costs incurred during the current quarter) decreased operating income by $9 million and $16 million, respectively. These decreases were partially offset by favorable price/mix and foreign currency exchange which increased operating income by $22 million and $1 million, respectively. Current quarter EBITDA remained consistent at $67 million while Adjusted EBITDA increased $5 million to $72 million. Adjusted EBITDA margin increased 3.5 percentage points in the current quarter to 32.9%.</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Fiscal 2023 year-to-date compared to fiscal 2022 year-to-date</w:t>
      </w:r>
    </w:p>
    <w:p>
      <w:pPr>
        <w:spacing w:after="0" w:line="108"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Life Sciences’ sales increased $64 million to $666 million in the current period. Favorable pricing increased sales by $82 million while lower volume and unfavorable foreign currency exchange decreased sales by $5 million and $13 million, respectively. Life Sciences experienced strong global demand for pharmaceutical ingredients throughout the current period.</w:t>
      </w:r>
    </w:p>
    <w:p>
      <w:pPr>
        <w:spacing w:after="0" w:line="6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Operating income increased $26 million to income of $141 million for the current period. Favorable price/mix and higher volume increased operating income by $81 million and $5 million, respectively, while unfavorable foreign currency exchange and higher costs (including restructuring and environmental costs incurred during the current year) decreased operating income by $9 million and $51 million, respectively. Current period EBITDA increased $31 million to $192 million while Adjusted EBITDA increased $37 million to $198 million. Adjusted EBITDA margin increased 3.0 percentage points in the current period to 29.7%.</w:t>
      </w:r>
    </w:p>
    <w:p>
      <w:pPr>
        <w:spacing w:after="0" w:line="5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EBITDA and Adjusted EBITDA reconciliation</w:t>
      </w:r>
    </w:p>
    <w:p>
      <w:pPr>
        <w:spacing w:after="0" w:line="108"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The EBITDA and Adjusted EBITDA amounts presented within this business section are provided as a means to enhance the understanding of financial measurements that Ashland has internally determined to be relevant measures of comparison for each segment. Each of these non-GAAP measures is defined as follows: EBITDA (operating income plus depreciation and amortization), Adjusted EBITDA (EBITDA adjusted for key items, which may include pro forma effects for significant acquisitions or divestitures, as applicable), and Adjusted EBITDA margin (Adjusted EBITDA, which may include pro forma adjustments, divided by sales or sales adjusted for pro forma results). Ashland does not allocate items to each reportable segment below operating income, such as interest expense and income taxes. As a result, reportable segment EBITDA and Adjusted EBITDA are reconciled directly to operating income since it is the most directly comparable Statements of Consolidated Comprehensive Income (Loss) caption.</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333" w:right="719" w:bottom="1440" w:gutter="0" w:footer="0" w:header="0"/>
        </w:sectPr>
      </w:pPr>
    </w:p>
    <w:bookmarkStart w:id="43" w:name="page44"/>
    <w:bookmarkEnd w:id="43"/>
    <w:p>
      <w:pPr>
        <w:jc w:val="both"/>
        <w:spacing w:after="0" w:line="244" w:lineRule="auto"/>
        <w:rPr>
          <w:sz w:val="20"/>
          <w:szCs w:val="20"/>
          <w:color w:val="auto"/>
        </w:rPr>
      </w:pPr>
      <w:r>
        <w:rPr>
          <w:rFonts w:ascii="Arial" w:cs="Arial" w:eastAsia="Arial" w:hAnsi="Arial"/>
          <w:sz w:val="20"/>
          <w:szCs w:val="20"/>
          <w:color w:val="auto"/>
        </w:rPr>
        <w:t>The following EBITDA presentation for the three and nine months ended June 30, 2023 and 2022 is provided as a means to enhance the understanding of financial measurements that Ashland has internally determined to be relevant measures of comparison for the results of Life Sciences. The key items during the three and nine months ended June 30, 2023 related to charges of $3 million and $4 million for restructuring programs, and $2 million each, for environmental reserve adjustments for the three and nine months ended June 30, 2023.</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250"/>
        </w:trPr>
        <w:tc>
          <w:tcPr>
            <w:tcW w:w="434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w w:val="93"/>
              </w:rPr>
              <w:t>Life Sciences</w:t>
            </w:r>
          </w:p>
        </w:tc>
        <w:tc>
          <w:tcPr>
            <w:tcW w:w="100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r>
      <w:tr>
        <w:trPr>
          <w:trHeight w:val="236"/>
        </w:trPr>
        <w:tc>
          <w:tcPr>
            <w:tcW w:w="4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3"/>
              </w:rPr>
              <w:t>Three months ended June 30</w:t>
            </w:r>
          </w:p>
        </w:tc>
        <w:tc>
          <w:tcPr>
            <w:tcW w:w="5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w w:val="89"/>
              </w:rPr>
              <w:t>Nine months ended June 30</w:t>
            </w:r>
          </w:p>
        </w:tc>
        <w:tc>
          <w:tcPr>
            <w:tcW w:w="520" w:type="dxa"/>
            <w:vAlign w:val="bottom"/>
            <w:tcBorders>
              <w:bottom w:val="single" w:sz="8" w:color="auto"/>
            </w:tcBorders>
          </w:tcPr>
          <w:p>
            <w:pPr>
              <w:spacing w:after="0"/>
              <w:rPr>
                <w:sz w:val="20"/>
                <w:szCs w:val="20"/>
                <w:color w:val="auto"/>
              </w:rPr>
            </w:pPr>
          </w:p>
        </w:tc>
      </w:tr>
      <w:tr>
        <w:trPr>
          <w:trHeight w:val="237"/>
        </w:trPr>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2023</w:t>
            </w: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4"/>
              </w:rPr>
              <w:t>2022</w:t>
            </w:r>
          </w:p>
        </w:tc>
        <w:tc>
          <w:tcPr>
            <w:tcW w:w="1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2023</w:t>
            </w: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9"/>
              </w:rPr>
              <w:t>2022</w:t>
            </w:r>
          </w:p>
        </w:tc>
      </w:tr>
      <w:tr>
        <w:trPr>
          <w:trHeight w:val="243"/>
        </w:trPr>
        <w:tc>
          <w:tcPr>
            <w:tcW w:w="4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49</w:t>
            </w:r>
          </w:p>
        </w:tc>
        <w:tc>
          <w:tcPr>
            <w:tcW w:w="1060" w:type="dxa"/>
            <w:vAlign w:val="bottom"/>
            <w:gridSpan w:val="2"/>
            <w:shd w:val="clear" w:color="auto" w:fill="CFF0FC"/>
          </w:tcPr>
          <w:p>
            <w:pPr>
              <w:jc w:val="right"/>
              <w:ind w:right="69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51</w:t>
            </w:r>
          </w:p>
        </w:tc>
        <w:tc>
          <w:tcPr>
            <w:tcW w:w="5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141</w:t>
            </w:r>
          </w:p>
        </w:tc>
        <w:tc>
          <w:tcPr>
            <w:tcW w:w="1060" w:type="dxa"/>
            <w:vAlign w:val="bottom"/>
            <w:gridSpan w:val="2"/>
            <w:shd w:val="clear" w:color="auto" w:fill="CFF0FC"/>
          </w:tcPr>
          <w:p>
            <w:pPr>
              <w:jc w:val="right"/>
              <w:ind w:right="7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115</w:t>
            </w:r>
          </w:p>
        </w:tc>
      </w:tr>
      <w:tr>
        <w:trPr>
          <w:trHeight w:val="243"/>
        </w:trPr>
        <w:tc>
          <w:tcPr>
            <w:tcW w:w="434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51</w:t>
            </w:r>
          </w:p>
        </w:tc>
        <w:tc>
          <w:tcPr>
            <w:tcW w:w="18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46</w:t>
            </w:r>
          </w:p>
        </w:tc>
      </w:tr>
      <w:tr>
        <w:trPr>
          <w:trHeight w:val="277"/>
        </w:trPr>
        <w:tc>
          <w:tcPr>
            <w:tcW w:w="43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EBITDA</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67</w:t>
            </w:r>
          </w:p>
        </w:tc>
        <w:tc>
          <w:tcPr>
            <w:tcW w:w="18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auto"/>
            </w:tcBorders>
            <w:shd w:val="clear" w:color="auto" w:fill="CFF0FC"/>
          </w:tcPr>
          <w:p>
            <w:pPr>
              <w:jc w:val="right"/>
              <w:ind w:right="69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67</w:t>
            </w:r>
          </w:p>
        </w:tc>
        <w:tc>
          <w:tcPr>
            <w:tcW w:w="18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spacing w:after="0"/>
              <w:rPr>
                <w:sz w:val="24"/>
                <w:szCs w:val="24"/>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192</w:t>
            </w:r>
          </w:p>
        </w:tc>
        <w:tc>
          <w:tcPr>
            <w:tcW w:w="18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auto"/>
            </w:tcBorders>
            <w:shd w:val="clear" w:color="auto" w:fill="CFF0FC"/>
          </w:tcPr>
          <w:p>
            <w:pPr>
              <w:spacing w:after="0"/>
              <w:rPr>
                <w:sz w:val="24"/>
                <w:szCs w:val="24"/>
                <w:color w:val="auto"/>
              </w:rPr>
            </w:pPr>
          </w:p>
        </w:tc>
        <w:tc>
          <w:tcPr>
            <w:tcW w:w="5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161</w:t>
            </w:r>
          </w:p>
        </w:tc>
      </w:tr>
      <w:tr>
        <w:trPr>
          <w:trHeight w:val="217"/>
        </w:trPr>
        <w:tc>
          <w:tcPr>
            <w:tcW w:w="4340" w:type="dxa"/>
            <w:vAlign w:val="bottom"/>
          </w:tcPr>
          <w:p>
            <w:pPr>
              <w:ind w:left="20"/>
              <w:spacing w:after="0"/>
              <w:rPr>
                <w:sz w:val="20"/>
                <w:szCs w:val="20"/>
                <w:color w:val="auto"/>
              </w:rPr>
            </w:pPr>
            <w:r>
              <w:rPr>
                <w:rFonts w:ascii="Arial" w:cs="Arial" w:eastAsia="Arial" w:hAnsi="Arial"/>
                <w:sz w:val="18"/>
                <w:szCs w:val="18"/>
                <w:color w:val="auto"/>
              </w:rPr>
              <w:t>Restructuring and other costs</w:t>
            </w:r>
          </w:p>
        </w:tc>
        <w:tc>
          <w:tcPr>
            <w:tcW w:w="24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49"/>
        </w:trPr>
        <w:tc>
          <w:tcPr>
            <w:tcW w:w="43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Environmental reserve adjustments</w:t>
            </w:r>
          </w:p>
        </w:tc>
        <w:tc>
          <w:tcPr>
            <w:tcW w:w="2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37"/>
        </w:trPr>
        <w:tc>
          <w:tcPr>
            <w:tcW w:w="434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72</w:t>
            </w:r>
          </w:p>
        </w:tc>
        <w:tc>
          <w:tcPr>
            <w:tcW w:w="106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50"/>
              <w:spacing w:after="0"/>
              <w:rPr>
                <w:sz w:val="20"/>
                <w:szCs w:val="20"/>
                <w:color w:val="auto"/>
              </w:rPr>
            </w:pPr>
            <w:r>
              <w:rPr>
                <w:rFonts w:ascii="Arial" w:cs="Arial" w:eastAsia="Arial" w:hAnsi="Arial"/>
                <w:sz w:val="18"/>
                <w:szCs w:val="18"/>
                <w:color w:val="auto"/>
              </w:rPr>
              <w:t>67</w:t>
            </w: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198</w:t>
            </w:r>
          </w:p>
        </w:tc>
        <w:tc>
          <w:tcPr>
            <w:tcW w:w="106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50"/>
              <w:spacing w:after="0"/>
              <w:rPr>
                <w:sz w:val="20"/>
                <w:szCs w:val="20"/>
                <w:color w:val="auto"/>
              </w:rPr>
            </w:pPr>
            <w:r>
              <w:rPr>
                <w:rFonts w:ascii="Arial" w:cs="Arial" w:eastAsia="Arial" w:hAnsi="Arial"/>
                <w:sz w:val="18"/>
                <w:szCs w:val="18"/>
                <w:color w:val="auto"/>
              </w:rPr>
              <w:t>161</w:t>
            </w:r>
          </w:p>
        </w:tc>
      </w:tr>
      <w:tr>
        <w:trPr>
          <w:trHeight w:val="20"/>
        </w:trPr>
        <w:tc>
          <w:tcPr>
            <w:tcW w:w="4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3655695</wp:posOffset>
            </wp:positionH>
            <wp:positionV relativeFrom="paragraph">
              <wp:posOffset>-521970</wp:posOffset>
            </wp:positionV>
            <wp:extent cx="2100580" cy="17970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100580" cy="179705"/>
                    </a:xfrm>
                    <a:prstGeom prst="rect">
                      <a:avLst/>
                    </a:prstGeom>
                    <a:noFill/>
                  </pic:spPr>
                </pic:pic>
              </a:graphicData>
            </a:graphic>
          </wp:anchor>
        </w:drawing>
        <w:drawing>
          <wp:anchor simplePos="0" relativeHeight="251657728" behindDoc="1" locked="0" layoutInCell="0" allowOverlap="1">
            <wp:simplePos x="0" y="0"/>
            <wp:positionH relativeFrom="column">
              <wp:posOffset>3655695</wp:posOffset>
            </wp:positionH>
            <wp:positionV relativeFrom="paragraph">
              <wp:posOffset>-187960</wp:posOffset>
            </wp:positionV>
            <wp:extent cx="111760" cy="18859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11760" cy="188595"/>
                    </a:xfrm>
                    <a:prstGeom prst="rect">
                      <a:avLst/>
                    </a:prstGeom>
                    <a:noFill/>
                  </pic:spPr>
                </pic:pic>
              </a:graphicData>
            </a:graphic>
          </wp:anchor>
        </w:drawing>
        <w:drawing>
          <wp:anchor simplePos="0" relativeHeight="251657728" behindDoc="1" locked="0" layoutInCell="0" allowOverlap="1">
            <wp:simplePos x="0" y="0"/>
            <wp:positionH relativeFrom="column">
              <wp:posOffset>4650105</wp:posOffset>
            </wp:positionH>
            <wp:positionV relativeFrom="paragraph">
              <wp:posOffset>-187960</wp:posOffset>
            </wp:positionV>
            <wp:extent cx="111125" cy="18859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11125" cy="188595"/>
                    </a:xfrm>
                    <a:prstGeom prst="rect">
                      <a:avLst/>
                    </a:prstGeom>
                    <a:noFill/>
                  </pic:spPr>
                </pic:pic>
              </a:graphicData>
            </a:graphic>
          </wp:anchor>
        </w:drawing>
        <w:drawing>
          <wp:anchor simplePos="0" relativeHeight="251657728" behindDoc="1" locked="0" layoutInCell="0" allowOverlap="1">
            <wp:simplePos x="0" y="0"/>
            <wp:positionH relativeFrom="column">
              <wp:posOffset>5644515</wp:posOffset>
            </wp:positionH>
            <wp:positionV relativeFrom="paragraph">
              <wp:posOffset>-187960</wp:posOffset>
            </wp:positionV>
            <wp:extent cx="111125" cy="18859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11125" cy="188595"/>
                    </a:xfrm>
                    <a:prstGeom prst="rect">
                      <a:avLst/>
                    </a:prstGeom>
                    <a:noFill/>
                  </pic:spPr>
                </pic:pic>
              </a:graphicData>
            </a:graphic>
          </wp:anchor>
        </w:drawing>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Personal Care</w:t>
      </w:r>
    </w:p>
    <w:p>
      <w:pPr>
        <w:spacing w:after="0" w:line="114"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Personal Care is comprised of biofunctionals, microbial protectants (preservatives), skin care, sun care, oral care, hair care and household solutions. These businesses have a broad range of natural, nature-derived, biodegradable, and high-performance ingredients for customer driven solutions to help protect, renew, moisturize and revitalize skin and hair, and provide solutions for toothpastes, mouth washes and rinses, denture cleaning and care for teeth. Household supplies nature-derived rheology ingredients, biodegradable surface wetting agents, performance encapsulates, and specialty polymers for household, industrial and institutional cleaning products. Customers include formulators at large multinational branded consumer products companies and smaller, independent boutique companies.</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June 2023 quarter compared to June 2022 quarter</w:t>
      </w:r>
    </w:p>
    <w:p>
      <w:pPr>
        <w:spacing w:after="0" w:line="108"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Personal Care's sales decreased $26 million to $146 million in the current quarter. Lower volume decreased sales by $40 million while favorable product pricing and foreign currency exchange increased sales by $13 million and $1 million, respectively.</w:t>
      </w:r>
    </w:p>
    <w:p>
      <w:pPr>
        <w:spacing w:after="0" w:line="2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Operating income decreased $11 million to income of $14 million for the current quarter. Lower volume and higher operating costs decreased operating income by $15 million and $10 million, respectively. These decreases were partially offset by favorable price/mix and foreign currency exchange which increased operating income by $13 million and $1 million, respectively. Current quarter EBITDA decreased $11 million to $35 million. EBITDA margin decreased 2.7 percentage points in the current quarter to 24.0%.</w:t>
      </w:r>
    </w:p>
    <w:p>
      <w:pPr>
        <w:spacing w:after="0" w:line="8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Fiscal 2023 year-to-date compared to fiscal 2022 year-to-date</w:t>
      </w:r>
    </w:p>
    <w:p>
      <w:pPr>
        <w:spacing w:after="0" w:line="10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Personal Care's sales decreased $38 million to $452 million in the current year period. Lower volume and unfavorable foreign currency exchange decreased sales by $72 million and $9 million, respectively, while favorable product pricing increased sales by $43 million.</w:t>
      </w:r>
    </w:p>
    <w:p>
      <w:pPr>
        <w:spacing w:after="0" w:line="7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Operating income decreased $29 million to income of $38 million for the current year period. Lower volume, higher operating costs and unfavorable foreign currency exchange decreased operating income by $27 million, $35 million and $3 million, respectively. These decreases were partially offset by favorable price/mix which increased operating income by $36 million. Current year EBITDA decreased $29 million to $101 million. EBITDA margin decreased 4.2 percentage points in the current period to 22.3%.</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447" w:right="719" w:bottom="1440" w:gutter="0" w:footer="0" w:header="0"/>
        </w:sectPr>
      </w:pPr>
    </w:p>
    <w:bookmarkStart w:id="44" w:name="page45"/>
    <w:bookmarkEnd w:id="44"/>
    <w:p>
      <w:pPr>
        <w:spacing w:after="0"/>
        <w:rPr>
          <w:sz w:val="20"/>
          <w:szCs w:val="20"/>
          <w:color w:val="auto"/>
        </w:rPr>
      </w:pPr>
      <w:r>
        <w:rPr>
          <w:rFonts w:ascii="Arial" w:cs="Arial" w:eastAsia="Arial" w:hAnsi="Arial"/>
          <w:sz w:val="20"/>
          <w:szCs w:val="20"/>
          <w:i w:val="1"/>
          <w:iCs w:val="1"/>
          <w:color w:val="auto"/>
        </w:rPr>
        <w:t>EBITDA and Adjusted EBITDA reconciliation</w:t>
      </w:r>
    </w:p>
    <w:p>
      <w:pPr>
        <w:spacing w:after="0" w:line="10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following EBITDA presentation for the three and nine months ended June 30, 2023 and 2022 is provided as a means to enhance the understanding of financial measurements that Ashland has internally determined to be relevant measures of comparison for the results of Personal Care. Personal Care had no key items for the three and nine months ended June 30, 2023 or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21590</wp:posOffset>
            </wp:positionV>
            <wp:extent cx="6647815" cy="50990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647815" cy="509905"/>
                    </a:xfrm>
                    <a:prstGeom prst="rect">
                      <a:avLst/>
                    </a:prstGeom>
                    <a:noFill/>
                  </pic:spPr>
                </pic:pic>
              </a:graphicData>
            </a:graphic>
          </wp:anchor>
        </w:drawing>
      </w:r>
    </w:p>
    <w:p>
      <w:pPr>
        <w:spacing w:after="0" w:line="46"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Personal Care</w:t>
      </w:r>
    </w:p>
    <w:p>
      <w:pPr>
        <w:spacing w:after="0" w:line="23"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434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22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93"/>
              </w:rPr>
              <w:t>Three months ended June 30</w:t>
            </w:r>
          </w:p>
        </w:tc>
        <w:tc>
          <w:tcPr>
            <w:tcW w:w="38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2180" w:type="dxa"/>
            <w:vAlign w:val="bottom"/>
            <w:tcBorders>
              <w:top w:val="single" w:sz="8" w:color="auto"/>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w w:val="95"/>
              </w:rPr>
              <w:t>Nine months ended June 30</w:t>
            </w:r>
          </w:p>
        </w:tc>
        <w:tc>
          <w:tcPr>
            <w:tcW w:w="40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37"/>
        </w:trPr>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2022</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2022</w:t>
            </w:r>
          </w:p>
        </w:tc>
        <w:tc>
          <w:tcPr>
            <w:tcW w:w="120" w:type="dxa"/>
            <w:vAlign w:val="bottom"/>
          </w:tcPr>
          <w:p>
            <w:pPr>
              <w:spacing w:after="0"/>
              <w:rPr>
                <w:sz w:val="20"/>
                <w:szCs w:val="20"/>
                <w:color w:val="auto"/>
              </w:rPr>
            </w:pPr>
          </w:p>
        </w:tc>
      </w:tr>
      <w:tr>
        <w:trPr>
          <w:trHeight w:val="243"/>
        </w:trPr>
        <w:tc>
          <w:tcPr>
            <w:tcW w:w="4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69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FF0FC"/>
          </w:tcPr>
          <w:p>
            <w:pPr>
              <w:spacing w:after="0"/>
              <w:rPr>
                <w:sz w:val="21"/>
                <w:szCs w:val="21"/>
                <w:color w:val="auto"/>
              </w:rPr>
            </w:pP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7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FF0FC"/>
          </w:tcPr>
          <w:p>
            <w:pPr>
              <w:spacing w:after="0"/>
              <w:rPr>
                <w:sz w:val="21"/>
                <w:szCs w:val="21"/>
                <w:color w:val="auto"/>
              </w:rPr>
            </w:pPr>
          </w:p>
        </w:tc>
      </w:tr>
      <w:tr>
        <w:trPr>
          <w:trHeight w:val="243"/>
        </w:trPr>
        <w:tc>
          <w:tcPr>
            <w:tcW w:w="434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r>
      <w:tr>
        <w:trPr>
          <w:trHeight w:val="277"/>
        </w:trPr>
        <w:tc>
          <w:tcPr>
            <w:tcW w:w="43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EBITDA</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320" w:type="dxa"/>
            <w:vAlign w:val="bottom"/>
            <w:tcBorders>
              <w:bottom w:val="single" w:sz="8" w:color="CFF0FC"/>
            </w:tcBorders>
            <w:gridSpan w:val="2"/>
            <w:shd w:val="clear" w:color="auto" w:fill="CFF0FC"/>
          </w:tcPr>
          <w:p>
            <w:pPr>
              <w:spacing w:after="0"/>
              <w:rPr>
                <w:sz w:val="24"/>
                <w:szCs w:val="24"/>
                <w:color w:val="auto"/>
              </w:rPr>
            </w:pPr>
          </w:p>
        </w:tc>
        <w:tc>
          <w:tcPr>
            <w:tcW w:w="880" w:type="dxa"/>
            <w:vAlign w:val="bottom"/>
            <w:tcBorders>
              <w:bottom w:val="single" w:sz="8" w:color="auto"/>
            </w:tcBorders>
            <w:shd w:val="clear" w:color="auto" w:fill="CFF0FC"/>
          </w:tcPr>
          <w:p>
            <w:pPr>
              <w:jc w:val="right"/>
              <w:ind w:right="690"/>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spacing w:after="0"/>
              <w:rPr>
                <w:sz w:val="24"/>
                <w:szCs w:val="2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auto"/>
            </w:tcBorders>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3569970</wp:posOffset>
            </wp:positionH>
            <wp:positionV relativeFrom="paragraph">
              <wp:posOffset>-24765</wp:posOffset>
            </wp:positionV>
            <wp:extent cx="8572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3569970</wp:posOffset>
            </wp:positionH>
            <wp:positionV relativeFrom="paragraph">
              <wp:posOffset>-7620</wp:posOffset>
            </wp:positionV>
            <wp:extent cx="8572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4572635</wp:posOffset>
            </wp:positionH>
            <wp:positionV relativeFrom="paragraph">
              <wp:posOffset>-24765</wp:posOffset>
            </wp:positionV>
            <wp:extent cx="7747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4572635</wp:posOffset>
            </wp:positionH>
            <wp:positionV relativeFrom="paragraph">
              <wp:posOffset>-7620</wp:posOffset>
            </wp:positionV>
            <wp:extent cx="7747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5567045</wp:posOffset>
            </wp:positionH>
            <wp:positionV relativeFrom="paragraph">
              <wp:posOffset>-24765</wp:posOffset>
            </wp:positionV>
            <wp:extent cx="7747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5567045</wp:posOffset>
            </wp:positionH>
            <wp:positionV relativeFrom="paragraph">
              <wp:posOffset>-7620</wp:posOffset>
            </wp:positionV>
            <wp:extent cx="7747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6561455</wp:posOffset>
            </wp:positionH>
            <wp:positionV relativeFrom="paragraph">
              <wp:posOffset>-24765</wp:posOffset>
            </wp:positionV>
            <wp:extent cx="8572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6561455</wp:posOffset>
            </wp:positionH>
            <wp:positionV relativeFrom="paragraph">
              <wp:posOffset>-7620</wp:posOffset>
            </wp:positionV>
            <wp:extent cx="8572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Specialty Additives</w:t>
      </w:r>
    </w:p>
    <w:p>
      <w:pPr>
        <w:spacing w:after="0" w:line="114"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Specialty Additives is comprised of rheology- and performance-enhancing additives serving the coatings, construction, energy, automotive and various industrial markets. Solutions include coatings additives for architectural paints, finishes and lacquers, cement- and gypsum- based dry mortars, ready-mixed joint compounds, synthetic plasters for commercial and residential construction, and specialty materials for industrial applications. Products include rheology modifiers (cellulosic and associative thickeners), foam-control agents, surfactants and wetting agents, pH neutralizers, advanced ceramics used in catalytic converters, and environmental filters, ingredients that aid the manufacturing process of ceramic capacitors, plasma display panels and solar cells, ingredients for textile printing, thermoplastic metals and alloys for welding. Products help improve desired functional outcomes through rheology modification and control, water retention, workability, adhesive strength, binding power, film formation, deposition and suspension and emulsification. Customers include global paint manufacturers, electronics and automotive manufacturers, textile mills, the construction industry, and welders.</w:t>
      </w:r>
    </w:p>
    <w:p>
      <w:pPr>
        <w:spacing w:after="0" w:line="8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June 2023 quarter compared to June 2022 quarter</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Specialty Additives’ sales decreased $42 million to $152 million in the current quarter. Lower volume decreased sales by $47 million which was partially offset by favorable product pricing which increased sales by $5 million.</w:t>
      </w:r>
    </w:p>
    <w:p>
      <w:pPr>
        <w:spacing w:after="0" w:line="6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Operating income decreased $30 million to income of $5 million for the current quarter. Lower volume and higher operating costs (including increased environmental costs) decreased operating income by $15 million and $16 million, respectively. These decreases were partially offset by favorable pricing/mix which increased operating income by $1 million. Current quarter EBITDA decreased $31 million to $25 million while Adjusted EBITDA decreased $28 million to $29 million. Adjusted EBITDA margin decreased 10.3 percentage points in the current quarter to 19.1%.</w:t>
      </w:r>
    </w:p>
    <w:p>
      <w:pPr>
        <w:spacing w:after="0" w:line="8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Fiscal 2023 year-to-date compared to fiscal 2022 year-to-date</w:t>
      </w:r>
    </w:p>
    <w:p>
      <w:pPr>
        <w:spacing w:after="0" w:line="10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Specialty Additives’ sales decreased $76 million to $456 million in the current year period. Lower volume and unfavorable foreign currency exchange decreased sales by $108 million and $11 million, respectively. Those decreases were partially offset by favorable product pricing which increased sales by $43 million. Specialty Additives sales were negatively impacted by the COVID-19 impact related to the China re-opening (particularly in the first and second quarter of the current period) and the general economic slowdown in Europe in the current period.</w:t>
      </w:r>
    </w:p>
    <w:p>
      <w:pPr>
        <w:spacing w:after="0" w:line="86"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Operating income decreased $57 million to income of $22 million for the current year period. Lower volume, higher operating costs (including increased environmental costs), asset impairments, and unfavorable foreign currency exchange decreased operating income by $31 million, $43 million, $4 million, and $1 million, respectively. Operating costs were negatively impacted by COVID-19 dynamics in China which resulted in additional extended unplanned plant shutdowns, that were in addition to planned plant maintenance shutdowns. These decreases were partially offset by favorable pricing/mix which increased operating income by $22 million. Current year EBITDA decreased $62 million to $79 million while Adjusted EBITDA decreased $55 million to $87 million. Adjusted EBITDA margin decreased 7.6 percentage points in the current period to 19.1%.</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447" w:right="719" w:bottom="1440" w:gutter="0" w:footer="0" w:header="0"/>
        </w:sectPr>
      </w:pPr>
    </w:p>
    <w:bookmarkStart w:id="45" w:name="page46"/>
    <w:bookmarkEnd w:id="45"/>
    <w:p>
      <w:pPr>
        <w:ind w:left="380"/>
        <w:spacing w:after="0"/>
        <w:rPr>
          <w:sz w:val="20"/>
          <w:szCs w:val="20"/>
          <w:color w:val="auto"/>
        </w:rPr>
      </w:pPr>
      <w:r>
        <w:rPr>
          <w:rFonts w:ascii="Arial" w:cs="Arial" w:eastAsia="Arial" w:hAnsi="Arial"/>
          <w:sz w:val="20"/>
          <w:szCs w:val="20"/>
          <w:i w:val="1"/>
          <w:iCs w:val="1"/>
          <w:color w:val="auto"/>
        </w:rPr>
        <w:t>EBITDA and Adjusted EBITDA reconciliation</w:t>
      </w:r>
    </w:p>
    <w:p>
      <w:pPr>
        <w:spacing w:after="0" w:line="108" w:lineRule="exact"/>
        <w:rPr>
          <w:sz w:val="20"/>
          <w:szCs w:val="20"/>
          <w:color w:val="auto"/>
        </w:rPr>
      </w:pPr>
    </w:p>
    <w:p>
      <w:pPr>
        <w:jc w:val="both"/>
        <w:ind w:left="380" w:right="380"/>
        <w:spacing w:after="0" w:line="278" w:lineRule="auto"/>
        <w:rPr>
          <w:sz w:val="20"/>
          <w:szCs w:val="20"/>
          <w:color w:val="auto"/>
        </w:rPr>
      </w:pPr>
      <w:r>
        <w:rPr>
          <w:rFonts w:ascii="Arial" w:cs="Arial" w:eastAsia="Arial" w:hAnsi="Arial"/>
          <w:sz w:val="18"/>
          <w:szCs w:val="18"/>
          <w:color w:val="auto"/>
        </w:rPr>
        <w:t>The following EBITDA presentation for the three and nine months ended June 30, 2023 and 2022 is provided as a means to enhance the understanding of financial measurements that Ashland has internally determined to be relevant measures of comparison for the results of Specialty Additives. The key items during the nine months ended June 30, 2023 related to an impairment charge of $4 million associated with a manufacturing facility, and environmental reserve adjustments of $4 million, each for the three and nine months ended June 30, 2023 and $1 million, each for the three and nine months ended June 30, 2022.</w:t>
      </w:r>
    </w:p>
    <w:p>
      <w:pPr>
        <w:spacing w:after="0" w:line="81" w:lineRule="exact"/>
        <w:rPr>
          <w:sz w:val="20"/>
          <w:szCs w:val="20"/>
          <w:color w:val="auto"/>
        </w:rPr>
      </w:pPr>
    </w:p>
    <w:tbl>
      <w:tblPr>
        <w:tblLayout w:type="fixed"/>
        <w:tblInd w:w="400" w:type="dxa"/>
        <w:tblCellMar>
          <w:top w:w="0" w:type="dxa"/>
          <w:left w:w="0" w:type="dxa"/>
          <w:bottom w:w="0" w:type="dxa"/>
          <w:right w:w="0" w:type="dxa"/>
        </w:tblCellMar>
      </w:tblPr>
      <w:tr>
        <w:trPr>
          <w:trHeight w:val="250"/>
        </w:trPr>
        <w:tc>
          <w:tcPr>
            <w:tcW w:w="434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2540" w:type="dxa"/>
            <w:vAlign w:val="bottom"/>
            <w:tcBorders>
              <w:top w:val="single" w:sz="8" w:color="auto"/>
              <w:bottom w:val="single" w:sz="8" w:color="auto"/>
            </w:tcBorders>
            <w:gridSpan w:val="4"/>
          </w:tcPr>
          <w:p>
            <w:pPr>
              <w:jc w:val="right"/>
              <w:ind w:right="730"/>
              <w:spacing w:after="0"/>
              <w:rPr>
                <w:sz w:val="20"/>
                <w:szCs w:val="20"/>
                <w:color w:val="auto"/>
              </w:rPr>
            </w:pPr>
            <w:r>
              <w:rPr>
                <w:rFonts w:ascii="Arial" w:cs="Arial" w:eastAsia="Arial" w:hAnsi="Arial"/>
                <w:sz w:val="18"/>
                <w:szCs w:val="18"/>
                <w:color w:val="auto"/>
              </w:rPr>
              <w:t>Specialty Additives</w:t>
            </w:r>
          </w:p>
        </w:tc>
        <w:tc>
          <w:tcPr>
            <w:tcW w:w="18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r>
      <w:tr>
        <w:trPr>
          <w:trHeight w:val="236"/>
        </w:trPr>
        <w:tc>
          <w:tcPr>
            <w:tcW w:w="4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8"/>
                <w:szCs w:val="18"/>
                <w:color w:val="auto"/>
                <w:w w:val="93"/>
              </w:rPr>
              <w:t>Three months ended June 30</w:t>
            </w:r>
          </w:p>
        </w:tc>
        <w:tc>
          <w:tcPr>
            <w:tcW w:w="1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w w:val="95"/>
              </w:rPr>
              <w:t>Nine months ended June 30</w:t>
            </w:r>
          </w:p>
        </w:tc>
        <w:tc>
          <w:tcPr>
            <w:tcW w:w="520" w:type="dxa"/>
            <w:vAlign w:val="bottom"/>
            <w:tcBorders>
              <w:bottom w:val="single" w:sz="8" w:color="auto"/>
            </w:tcBorders>
          </w:tcPr>
          <w:p>
            <w:pPr>
              <w:spacing w:after="0"/>
              <w:rPr>
                <w:sz w:val="20"/>
                <w:szCs w:val="20"/>
                <w:color w:val="auto"/>
              </w:rPr>
            </w:pPr>
          </w:p>
        </w:tc>
      </w:tr>
      <w:tr>
        <w:trPr>
          <w:trHeight w:val="237"/>
        </w:trPr>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2023</w:t>
            </w:r>
          </w:p>
        </w:tc>
        <w:tc>
          <w:tcPr>
            <w:tcW w:w="1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2022</w:t>
            </w:r>
          </w:p>
        </w:tc>
        <w:tc>
          <w:tcPr>
            <w:tcW w:w="1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2023</w:t>
            </w: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9"/>
              </w:rPr>
              <w:t>2022</w:t>
            </w:r>
          </w:p>
        </w:tc>
      </w:tr>
      <w:tr>
        <w:trPr>
          <w:trHeight w:val="243"/>
        </w:trPr>
        <w:tc>
          <w:tcPr>
            <w:tcW w:w="4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w:t>
            </w:r>
          </w:p>
        </w:tc>
        <w:tc>
          <w:tcPr>
            <w:tcW w:w="5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35</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22</w:t>
            </w:r>
          </w:p>
        </w:tc>
        <w:tc>
          <w:tcPr>
            <w:tcW w:w="1060" w:type="dxa"/>
            <w:vAlign w:val="bottom"/>
            <w:gridSpan w:val="2"/>
            <w:shd w:val="clear" w:color="auto" w:fill="CFF0FC"/>
          </w:tcPr>
          <w:p>
            <w:pPr>
              <w:jc w:val="right"/>
              <w:ind w:right="7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79</w:t>
            </w:r>
          </w:p>
        </w:tc>
      </w:tr>
      <w:tr>
        <w:trPr>
          <w:trHeight w:val="243"/>
        </w:trPr>
        <w:tc>
          <w:tcPr>
            <w:tcW w:w="434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57</w:t>
            </w:r>
          </w:p>
        </w:tc>
        <w:tc>
          <w:tcPr>
            <w:tcW w:w="18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62</w:t>
            </w:r>
          </w:p>
        </w:tc>
      </w:tr>
      <w:tr>
        <w:trPr>
          <w:trHeight w:val="276"/>
        </w:trPr>
        <w:tc>
          <w:tcPr>
            <w:tcW w:w="43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EBITDA</w:t>
            </w:r>
          </w:p>
        </w:tc>
        <w:tc>
          <w:tcPr>
            <w:tcW w:w="240" w:type="dxa"/>
            <w:vAlign w:val="bottom"/>
            <w:tcBorders>
              <w:bottom w:val="single" w:sz="8" w:color="auto"/>
            </w:tcBorders>
            <w:shd w:val="clear" w:color="auto" w:fill="CFF0FC"/>
          </w:tcPr>
          <w:p>
            <w:pPr>
              <w:spacing w:after="0"/>
              <w:rPr>
                <w:sz w:val="24"/>
                <w:szCs w:val="24"/>
                <w:color w:val="auto"/>
              </w:rPr>
            </w:pPr>
          </w:p>
        </w:tc>
        <w:tc>
          <w:tcPr>
            <w:tcW w:w="11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25</w:t>
            </w:r>
          </w:p>
        </w:tc>
        <w:tc>
          <w:tcPr>
            <w:tcW w:w="18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spacing w:after="0"/>
              <w:rPr>
                <w:sz w:val="24"/>
                <w:szCs w:val="24"/>
                <w:color w:val="auto"/>
              </w:rPr>
            </w:pPr>
          </w:p>
        </w:tc>
        <w:tc>
          <w:tcPr>
            <w:tcW w:w="9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56</w:t>
            </w:r>
          </w:p>
        </w:tc>
        <w:tc>
          <w:tcPr>
            <w:tcW w:w="18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spacing w:after="0"/>
              <w:rPr>
                <w:sz w:val="24"/>
                <w:szCs w:val="24"/>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79</w:t>
            </w:r>
          </w:p>
        </w:tc>
        <w:tc>
          <w:tcPr>
            <w:tcW w:w="18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auto"/>
            </w:tcBorders>
            <w:shd w:val="clear" w:color="auto" w:fill="CFF0FC"/>
          </w:tcPr>
          <w:p>
            <w:pPr>
              <w:spacing w:after="0"/>
              <w:rPr>
                <w:sz w:val="24"/>
                <w:szCs w:val="24"/>
                <w:color w:val="auto"/>
              </w:rPr>
            </w:pPr>
          </w:p>
        </w:tc>
        <w:tc>
          <w:tcPr>
            <w:tcW w:w="5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141</w:t>
            </w:r>
          </w:p>
        </w:tc>
      </w:tr>
      <w:tr>
        <w:trPr>
          <w:trHeight w:val="217"/>
        </w:trPr>
        <w:tc>
          <w:tcPr>
            <w:tcW w:w="4340" w:type="dxa"/>
            <w:vAlign w:val="bottom"/>
          </w:tcPr>
          <w:p>
            <w:pPr>
              <w:ind w:left="20"/>
              <w:spacing w:after="0"/>
              <w:rPr>
                <w:sz w:val="20"/>
                <w:szCs w:val="20"/>
                <w:color w:val="auto"/>
              </w:rPr>
            </w:pPr>
            <w:r>
              <w:rPr>
                <w:rFonts w:ascii="Arial" w:cs="Arial" w:eastAsia="Arial" w:hAnsi="Arial"/>
                <w:sz w:val="18"/>
                <w:szCs w:val="18"/>
                <w:color w:val="auto"/>
              </w:rPr>
              <w:t>Environmental reserve adjustments</w:t>
            </w:r>
          </w:p>
        </w:tc>
        <w:tc>
          <w:tcPr>
            <w:tcW w:w="24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jc w:val="right"/>
              <w:ind w:right="50"/>
              <w:spacing w:after="0"/>
              <w:rPr>
                <w:sz w:val="20"/>
                <w:szCs w:val="20"/>
                <w:color w:val="auto"/>
              </w:rPr>
            </w:pPr>
            <w:r>
              <w:rPr>
                <w:rFonts w:ascii="Arial" w:cs="Arial" w:eastAsia="Arial" w:hAnsi="Arial"/>
                <w:sz w:val="18"/>
                <w:szCs w:val="18"/>
                <w:color w:val="auto"/>
              </w:rPr>
              <w:t>1</w:t>
            </w:r>
          </w:p>
        </w:tc>
      </w:tr>
      <w:tr>
        <w:trPr>
          <w:trHeight w:val="249"/>
        </w:trPr>
        <w:tc>
          <w:tcPr>
            <w:tcW w:w="43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Impairments</w:t>
            </w:r>
          </w:p>
        </w:tc>
        <w:tc>
          <w:tcPr>
            <w:tcW w:w="2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c>
          <w:tcPr>
            <w:tcW w:w="18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37"/>
        </w:trPr>
        <w:tc>
          <w:tcPr>
            <w:tcW w:w="434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29</w:t>
            </w:r>
          </w:p>
        </w:tc>
        <w:tc>
          <w:tcPr>
            <w:tcW w:w="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57</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87</w:t>
            </w:r>
          </w:p>
        </w:tc>
        <w:tc>
          <w:tcPr>
            <w:tcW w:w="106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50"/>
              <w:spacing w:after="0"/>
              <w:rPr>
                <w:sz w:val="20"/>
                <w:szCs w:val="20"/>
                <w:color w:val="auto"/>
              </w:rPr>
            </w:pPr>
            <w:r>
              <w:rPr>
                <w:rFonts w:ascii="Arial" w:cs="Arial" w:eastAsia="Arial" w:hAnsi="Arial"/>
                <w:sz w:val="18"/>
                <w:szCs w:val="18"/>
                <w:color w:val="auto"/>
              </w:rPr>
              <w:t>142</w:t>
            </w:r>
          </w:p>
        </w:tc>
      </w:tr>
      <w:tr>
        <w:trPr>
          <w:trHeight w:val="20"/>
        </w:trPr>
        <w:tc>
          <w:tcPr>
            <w:tcW w:w="4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-521970</wp:posOffset>
            </wp:positionV>
            <wp:extent cx="2100580" cy="17970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100580" cy="17970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-187960</wp:posOffset>
            </wp:positionV>
            <wp:extent cx="111760" cy="18859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11760" cy="18859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-187960</wp:posOffset>
            </wp:positionV>
            <wp:extent cx="111125" cy="18859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11125" cy="18859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-187960</wp:posOffset>
            </wp:positionV>
            <wp:extent cx="111125" cy="18859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11125" cy="188595"/>
                    </a:xfrm>
                    <a:prstGeom prst="rect">
                      <a:avLst/>
                    </a:prstGeom>
                    <a:noFill/>
                  </pic:spPr>
                </pic:pic>
              </a:graphicData>
            </a:graphic>
          </wp:anchor>
        </w:drawing>
      </w:r>
    </w:p>
    <w:p>
      <w:pPr>
        <w:spacing w:after="0" w:line="65"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Intermediates</w:t>
      </w:r>
    </w:p>
    <w:p>
      <w:pPr>
        <w:spacing w:after="0" w:line="114" w:lineRule="exact"/>
        <w:rPr>
          <w:sz w:val="20"/>
          <w:szCs w:val="20"/>
          <w:color w:val="auto"/>
        </w:rPr>
      </w:pPr>
    </w:p>
    <w:p>
      <w:pPr>
        <w:jc w:val="both"/>
        <w:ind w:left="380" w:right="380"/>
        <w:spacing w:after="0" w:line="263" w:lineRule="auto"/>
        <w:rPr>
          <w:sz w:val="20"/>
          <w:szCs w:val="20"/>
          <w:color w:val="auto"/>
        </w:rPr>
      </w:pPr>
      <w:r>
        <w:rPr>
          <w:rFonts w:ascii="Arial" w:cs="Arial" w:eastAsia="Arial" w:hAnsi="Arial"/>
          <w:sz w:val="19"/>
          <w:szCs w:val="19"/>
          <w:color w:val="auto"/>
        </w:rPr>
        <w:t>Intermediates is comprised of the production of 1,4 butanediol (BDO) and related derivatives, including n-methylpyrrolidone. These products are used as chemical intermediates in the production of engineering polymers and polyurethanes, and as specialty process solvents in a wide array of applications including electronics, pharmaceuticals, water filtration membranes and more. Butanediol is also provided to Life Sciences, Personal Care, and Specialty Additives for use as a raw material.</w:t>
      </w:r>
    </w:p>
    <w:p>
      <w:pPr>
        <w:spacing w:after="0" w:line="68" w:lineRule="exact"/>
        <w:rPr>
          <w:sz w:val="20"/>
          <w:szCs w:val="20"/>
          <w:color w:val="auto"/>
        </w:rPr>
      </w:pPr>
    </w:p>
    <w:p>
      <w:pPr>
        <w:ind w:left="380"/>
        <w:spacing w:after="0"/>
        <w:rPr>
          <w:sz w:val="20"/>
          <w:szCs w:val="20"/>
          <w:color w:val="auto"/>
        </w:rPr>
      </w:pPr>
      <w:r>
        <w:rPr>
          <w:rFonts w:ascii="Arial" w:cs="Arial" w:eastAsia="Arial" w:hAnsi="Arial"/>
          <w:sz w:val="20"/>
          <w:szCs w:val="20"/>
          <w:i w:val="1"/>
          <w:iCs w:val="1"/>
          <w:color w:val="auto"/>
        </w:rPr>
        <w:t>June 2023 quarter compared to June 2022 quarter</w:t>
      </w:r>
    </w:p>
    <w:p>
      <w:pPr>
        <w:spacing w:after="0" w:line="108" w:lineRule="exact"/>
        <w:rPr>
          <w:sz w:val="20"/>
          <w:szCs w:val="20"/>
          <w:color w:val="auto"/>
        </w:rPr>
      </w:pPr>
    </w:p>
    <w:p>
      <w:pPr>
        <w:jc w:val="both"/>
        <w:ind w:left="380" w:right="380"/>
        <w:spacing w:after="0" w:line="260" w:lineRule="auto"/>
        <w:rPr>
          <w:sz w:val="20"/>
          <w:szCs w:val="20"/>
          <w:color w:val="auto"/>
        </w:rPr>
      </w:pPr>
      <w:r>
        <w:rPr>
          <w:rFonts w:ascii="Arial" w:cs="Arial" w:eastAsia="Arial" w:hAnsi="Arial"/>
          <w:sz w:val="20"/>
          <w:szCs w:val="20"/>
          <w:color w:val="auto"/>
        </w:rPr>
        <w:t>Intermediates’ sales decreased $30 million to $43 million in the current quarter. Unfavorable product pricing and lower volume decreased sales by $17 million and $13 million, respectively.</w:t>
      </w:r>
    </w:p>
    <w:p>
      <w:pPr>
        <w:spacing w:after="0" w:line="69" w:lineRule="exact"/>
        <w:rPr>
          <w:sz w:val="20"/>
          <w:szCs w:val="20"/>
          <w:color w:val="auto"/>
        </w:rPr>
      </w:pPr>
    </w:p>
    <w:p>
      <w:pPr>
        <w:jc w:val="both"/>
        <w:ind w:left="380" w:right="380"/>
        <w:spacing w:after="0" w:line="291" w:lineRule="auto"/>
        <w:rPr>
          <w:sz w:val="20"/>
          <w:szCs w:val="20"/>
          <w:color w:val="auto"/>
        </w:rPr>
      </w:pPr>
      <w:r>
        <w:rPr>
          <w:rFonts w:ascii="Arial" w:cs="Arial" w:eastAsia="Arial" w:hAnsi="Arial"/>
          <w:sz w:val="18"/>
          <w:szCs w:val="18"/>
          <w:color w:val="auto"/>
        </w:rPr>
        <w:t>Operating income decreased $17 million to $13 million for the current quarter. Unfavorable price/mix, lower volume and higher production costs decreased operating income by $7 million, $9 million, and $1 million, respectively. Current quarter EBITDA decreased $17 million to $16 million. EBITDA margin decreased 8.0 percentage points in the current quarter to 37.2%.</w:t>
      </w:r>
    </w:p>
    <w:p>
      <w:pPr>
        <w:spacing w:after="0" w:line="44" w:lineRule="exact"/>
        <w:rPr>
          <w:sz w:val="20"/>
          <w:szCs w:val="20"/>
          <w:color w:val="auto"/>
        </w:rPr>
      </w:pPr>
    </w:p>
    <w:p>
      <w:pPr>
        <w:ind w:left="380"/>
        <w:spacing w:after="0"/>
        <w:rPr>
          <w:sz w:val="20"/>
          <w:szCs w:val="20"/>
          <w:color w:val="auto"/>
        </w:rPr>
      </w:pPr>
      <w:r>
        <w:rPr>
          <w:rFonts w:ascii="Arial" w:cs="Arial" w:eastAsia="Arial" w:hAnsi="Arial"/>
          <w:sz w:val="20"/>
          <w:szCs w:val="20"/>
          <w:i w:val="1"/>
          <w:iCs w:val="1"/>
          <w:color w:val="auto"/>
        </w:rPr>
        <w:t>Fiscal 2023 year-to-date compared to fiscal 2022 year-to-date</w:t>
      </w:r>
    </w:p>
    <w:p>
      <w:pPr>
        <w:spacing w:after="0" w:line="108" w:lineRule="exact"/>
        <w:rPr>
          <w:sz w:val="20"/>
          <w:szCs w:val="20"/>
          <w:color w:val="auto"/>
        </w:rPr>
      </w:pPr>
    </w:p>
    <w:p>
      <w:pPr>
        <w:jc w:val="both"/>
        <w:ind w:left="380" w:right="380"/>
        <w:spacing w:after="0" w:line="287" w:lineRule="auto"/>
        <w:rPr>
          <w:sz w:val="20"/>
          <w:szCs w:val="20"/>
          <w:color w:val="auto"/>
        </w:rPr>
      </w:pPr>
      <w:r>
        <w:rPr>
          <w:rFonts w:ascii="Arial" w:cs="Arial" w:eastAsia="Arial" w:hAnsi="Arial"/>
          <w:sz w:val="19"/>
          <w:szCs w:val="19"/>
          <w:color w:val="auto"/>
        </w:rPr>
        <w:t>Intermediates’ sales decreased $44 million to $148 million in the current period. Unfavorable product pricing, lower volume and unfavorable foreign currency exchange decreased sales by $7 million, $36 million and $1 million, respectively.</w:t>
      </w:r>
    </w:p>
    <w:p>
      <w:pPr>
        <w:spacing w:after="0" w:line="44" w:lineRule="exact"/>
        <w:rPr>
          <w:sz w:val="20"/>
          <w:szCs w:val="20"/>
          <w:color w:val="auto"/>
        </w:rPr>
      </w:pPr>
    </w:p>
    <w:p>
      <w:pPr>
        <w:jc w:val="both"/>
        <w:ind w:left="380" w:right="380"/>
        <w:spacing w:after="0" w:line="246" w:lineRule="auto"/>
        <w:rPr>
          <w:sz w:val="20"/>
          <w:szCs w:val="20"/>
          <w:color w:val="auto"/>
        </w:rPr>
      </w:pPr>
      <w:r>
        <w:rPr>
          <w:rFonts w:ascii="Arial" w:cs="Arial" w:eastAsia="Arial" w:hAnsi="Arial"/>
          <w:sz w:val="20"/>
          <w:szCs w:val="20"/>
          <w:color w:val="auto"/>
        </w:rPr>
        <w:t>Operating income decreased $22 million to $50 million for the current period. Unfavorable price/mix, lower volume, higher production costs and unfavorable foreign currency exchange decreased operating income by $2 million, $16 million, $3 million and $1 million, respectively. Current year EBITDA decreased $22 million to $60 million. EBITDA margin decreased 2.2 percentage points in the current period to 40.5%.</w:t>
      </w:r>
    </w:p>
    <w:p>
      <w:pPr>
        <w:spacing w:after="0" w:line="83" w:lineRule="exact"/>
        <w:rPr>
          <w:sz w:val="20"/>
          <w:szCs w:val="20"/>
          <w:color w:val="auto"/>
        </w:rPr>
      </w:pPr>
    </w:p>
    <w:p>
      <w:pPr>
        <w:ind w:left="380"/>
        <w:spacing w:after="0"/>
        <w:rPr>
          <w:sz w:val="20"/>
          <w:szCs w:val="20"/>
          <w:color w:val="auto"/>
        </w:rPr>
      </w:pPr>
      <w:r>
        <w:rPr>
          <w:rFonts w:ascii="Arial" w:cs="Arial" w:eastAsia="Arial" w:hAnsi="Arial"/>
          <w:sz w:val="20"/>
          <w:szCs w:val="20"/>
          <w:i w:val="1"/>
          <w:iCs w:val="1"/>
          <w:color w:val="auto"/>
        </w:rPr>
        <w:t>EBITDA and Adjusted EBITDA reconciliation</w:t>
      </w:r>
    </w:p>
    <w:p>
      <w:pPr>
        <w:spacing w:after="0" w:line="108" w:lineRule="exact"/>
        <w:rPr>
          <w:sz w:val="20"/>
          <w:szCs w:val="20"/>
          <w:color w:val="auto"/>
        </w:rPr>
      </w:pPr>
    </w:p>
    <w:p>
      <w:pPr>
        <w:jc w:val="both"/>
        <w:ind w:left="380" w:right="380"/>
        <w:spacing w:after="0" w:line="246" w:lineRule="auto"/>
        <w:rPr>
          <w:sz w:val="20"/>
          <w:szCs w:val="20"/>
          <w:color w:val="auto"/>
        </w:rPr>
      </w:pPr>
      <w:r>
        <w:rPr>
          <w:rFonts w:ascii="Arial" w:cs="Arial" w:eastAsia="Arial" w:hAnsi="Arial"/>
          <w:sz w:val="20"/>
          <w:szCs w:val="20"/>
          <w:color w:val="auto"/>
        </w:rPr>
        <w:t>The following EBITDA presentation (as defined and described in the section above) for the three and nine months ended June 30, 2023 and 2022 is provided as a means to enhance the understanding of financial measurements that Ashland has internally determined to be relevant measures of comparison for the results of Intermediates. Intermediates had no key items for the three and nine months ended June 30, 2023 or 2022.</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00" w:type="dxa"/>
            <w:vAlign w:val="bottom"/>
          </w:tcPr>
          <w:p>
            <w:pPr>
              <w:spacing w:after="0"/>
              <w:rPr>
                <w:sz w:val="21"/>
                <w:szCs w:val="21"/>
                <w:color w:val="auto"/>
              </w:rPr>
            </w:pPr>
          </w:p>
        </w:tc>
        <w:tc>
          <w:tcPr>
            <w:tcW w:w="434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1"/>
              </w:rPr>
              <w:t>Intermediates</w:t>
            </w:r>
          </w:p>
        </w:tc>
        <w:tc>
          <w:tcPr>
            <w:tcW w:w="100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400" w:type="dxa"/>
            <w:vAlign w:val="bottom"/>
          </w:tcPr>
          <w:p>
            <w:pPr>
              <w:spacing w:after="0"/>
              <w:rPr>
                <w:sz w:val="21"/>
                <w:szCs w:val="21"/>
                <w:color w:val="auto"/>
              </w:rPr>
            </w:pPr>
          </w:p>
        </w:tc>
      </w:tr>
      <w:tr>
        <w:trPr>
          <w:trHeight w:val="236"/>
        </w:trPr>
        <w:tc>
          <w:tcPr>
            <w:tcW w:w="40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3"/>
              </w:rPr>
              <w:t>Three months ended June 30</w:t>
            </w:r>
          </w:p>
        </w:tc>
        <w:tc>
          <w:tcPr>
            <w:tcW w:w="5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9"/>
              </w:rPr>
              <w:t>Nine months ended June 30</w:t>
            </w:r>
          </w:p>
        </w:tc>
        <w:tc>
          <w:tcPr>
            <w:tcW w:w="52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r>
      <w:tr>
        <w:trPr>
          <w:trHeight w:val="237"/>
        </w:trPr>
        <w:tc>
          <w:tcPr>
            <w:tcW w:w="400" w:type="dxa"/>
            <w:vAlign w:val="bottom"/>
          </w:tcPr>
          <w:p>
            <w:pPr>
              <w:spacing w:after="0"/>
              <w:rPr>
                <w:sz w:val="20"/>
                <w:szCs w:val="20"/>
                <w:color w:val="auto"/>
              </w:rPr>
            </w:pPr>
          </w:p>
        </w:tc>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2023</w:t>
            </w: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4"/>
              </w:rPr>
              <w:t>2022</w:t>
            </w:r>
          </w:p>
        </w:tc>
        <w:tc>
          <w:tcPr>
            <w:tcW w:w="1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2023</w:t>
            </w: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9"/>
              </w:rPr>
              <w:t>2022</w:t>
            </w:r>
          </w:p>
        </w:tc>
        <w:tc>
          <w:tcPr>
            <w:tcW w:w="400" w:type="dxa"/>
            <w:vAlign w:val="bottom"/>
          </w:tcPr>
          <w:p>
            <w:pPr>
              <w:spacing w:after="0"/>
              <w:rPr>
                <w:sz w:val="20"/>
                <w:szCs w:val="20"/>
                <w:color w:val="auto"/>
              </w:rPr>
            </w:pPr>
          </w:p>
        </w:tc>
      </w:tr>
      <w:tr>
        <w:trPr>
          <w:trHeight w:val="243"/>
        </w:trPr>
        <w:tc>
          <w:tcPr>
            <w:tcW w:w="400" w:type="dxa"/>
            <w:vAlign w:val="bottom"/>
          </w:tcPr>
          <w:p>
            <w:pPr>
              <w:spacing w:after="0"/>
              <w:rPr>
                <w:sz w:val="21"/>
                <w:szCs w:val="21"/>
                <w:color w:val="auto"/>
              </w:rPr>
            </w:pPr>
          </w:p>
        </w:tc>
        <w:tc>
          <w:tcPr>
            <w:tcW w:w="4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13</w:t>
            </w:r>
          </w:p>
        </w:tc>
        <w:tc>
          <w:tcPr>
            <w:tcW w:w="1060" w:type="dxa"/>
            <w:vAlign w:val="bottom"/>
            <w:gridSpan w:val="2"/>
            <w:shd w:val="clear" w:color="auto" w:fill="CFF0FC"/>
          </w:tcPr>
          <w:p>
            <w:pPr>
              <w:jc w:val="right"/>
              <w:ind w:right="69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30</w:t>
            </w:r>
          </w:p>
        </w:tc>
        <w:tc>
          <w:tcPr>
            <w:tcW w:w="56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50</w:t>
            </w:r>
          </w:p>
        </w:tc>
        <w:tc>
          <w:tcPr>
            <w:tcW w:w="1060" w:type="dxa"/>
            <w:vAlign w:val="bottom"/>
            <w:gridSpan w:val="2"/>
            <w:shd w:val="clear" w:color="auto" w:fill="CFF0FC"/>
          </w:tcPr>
          <w:p>
            <w:pPr>
              <w:jc w:val="right"/>
              <w:ind w:right="67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72</w:t>
            </w:r>
          </w:p>
        </w:tc>
        <w:tc>
          <w:tcPr>
            <w:tcW w:w="400" w:type="dxa"/>
            <w:vAlign w:val="bottom"/>
          </w:tcPr>
          <w:p>
            <w:pPr>
              <w:spacing w:after="0"/>
              <w:rPr>
                <w:sz w:val="21"/>
                <w:szCs w:val="21"/>
                <w:color w:val="auto"/>
              </w:rPr>
            </w:pPr>
          </w:p>
        </w:tc>
      </w:tr>
      <w:tr>
        <w:trPr>
          <w:trHeight w:val="243"/>
        </w:trPr>
        <w:tc>
          <w:tcPr>
            <w:tcW w:w="400" w:type="dxa"/>
            <w:vAlign w:val="bottom"/>
          </w:tcPr>
          <w:p>
            <w:pPr>
              <w:spacing w:after="0"/>
              <w:rPr>
                <w:sz w:val="21"/>
                <w:szCs w:val="21"/>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w:t>
            </w:r>
          </w:p>
        </w:tc>
        <w:tc>
          <w:tcPr>
            <w:tcW w:w="400" w:type="dxa"/>
            <w:vAlign w:val="bottom"/>
          </w:tcPr>
          <w:p>
            <w:pPr>
              <w:spacing w:after="0"/>
              <w:rPr>
                <w:sz w:val="21"/>
                <w:szCs w:val="21"/>
                <w:color w:val="auto"/>
              </w:rPr>
            </w:pPr>
          </w:p>
        </w:tc>
      </w:tr>
      <w:tr>
        <w:trPr>
          <w:trHeight w:val="276"/>
        </w:trPr>
        <w:tc>
          <w:tcPr>
            <w:tcW w:w="400" w:type="dxa"/>
            <w:vAlign w:val="bottom"/>
          </w:tcPr>
          <w:p>
            <w:pPr>
              <w:spacing w:after="0"/>
              <w:rPr>
                <w:sz w:val="24"/>
                <w:szCs w:val="24"/>
                <w:color w:val="auto"/>
              </w:rPr>
            </w:pPr>
          </w:p>
        </w:tc>
        <w:tc>
          <w:tcPr>
            <w:tcW w:w="43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EBITDA</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16</w:t>
            </w:r>
          </w:p>
        </w:tc>
        <w:tc>
          <w:tcPr>
            <w:tcW w:w="18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auto"/>
            </w:tcBorders>
            <w:shd w:val="clear" w:color="auto" w:fill="CFF0FC"/>
          </w:tcPr>
          <w:p>
            <w:pPr>
              <w:jc w:val="right"/>
              <w:ind w:right="69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33</w:t>
            </w:r>
          </w:p>
        </w:tc>
        <w:tc>
          <w:tcPr>
            <w:tcW w:w="18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60</w:t>
            </w:r>
          </w:p>
        </w:tc>
        <w:tc>
          <w:tcPr>
            <w:tcW w:w="18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auto"/>
            </w:tcBorders>
            <w:shd w:val="clear" w:color="auto" w:fill="CFF0FC"/>
          </w:tcPr>
          <w:p>
            <w:pPr>
              <w:jc w:val="right"/>
              <w:ind w:right="6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82</w:t>
            </w:r>
          </w:p>
        </w:tc>
        <w:tc>
          <w:tcPr>
            <w:tcW w:w="400" w:type="dxa"/>
            <w:vAlign w:val="bottom"/>
          </w:tcPr>
          <w:p>
            <w:pPr>
              <w:spacing w:after="0"/>
              <w:rPr>
                <w:sz w:val="24"/>
                <w:szCs w:val="24"/>
                <w:color w:val="auto"/>
              </w:rPr>
            </w:pPr>
          </w:p>
        </w:tc>
      </w:tr>
      <w:tr>
        <w:trPr>
          <w:trHeight w:val="520"/>
        </w:trPr>
        <w:tc>
          <w:tcPr>
            <w:tcW w:w="40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ind w:right="330"/>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15"/>
        </w:trPr>
        <w:tc>
          <w:tcPr>
            <w:tcW w:w="400" w:type="dxa"/>
            <w:vAlign w:val="bottom"/>
            <w:tcBorders>
              <w:bottom w:val="single" w:sz="8" w:color="9A9A9A"/>
            </w:tcBorders>
          </w:tcPr>
          <w:p>
            <w:pPr>
              <w:spacing w:after="0"/>
              <w:rPr>
                <w:sz w:val="10"/>
                <w:szCs w:val="10"/>
                <w:color w:val="auto"/>
              </w:rPr>
            </w:pPr>
          </w:p>
        </w:tc>
        <w:tc>
          <w:tcPr>
            <w:tcW w:w="43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-453390</wp:posOffset>
            </wp:positionV>
            <wp:extent cx="11176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-436245</wp:posOffset>
            </wp:positionV>
            <wp:extent cx="11176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-453390</wp:posOffset>
            </wp:positionV>
            <wp:extent cx="11112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-436245</wp:posOffset>
            </wp:positionV>
            <wp:extent cx="11112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-453390</wp:posOffset>
            </wp:positionV>
            <wp:extent cx="11112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-436245</wp:posOffset>
            </wp:positionV>
            <wp:extent cx="11112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46" w:name="page47"/>
    <w:bookmarkEnd w:id="46"/>
    <w:p>
      <w:pPr>
        <w:ind w:left="380"/>
        <w:spacing w:after="0"/>
        <w:rPr>
          <w:sz w:val="20"/>
          <w:szCs w:val="20"/>
          <w:color w:val="auto"/>
        </w:rPr>
      </w:pPr>
      <w:r>
        <w:rPr>
          <w:rFonts w:ascii="Arial" w:cs="Arial" w:eastAsia="Arial" w:hAnsi="Arial"/>
          <w:sz w:val="20"/>
          <w:szCs w:val="20"/>
          <w:b w:val="1"/>
          <w:bCs w:val="1"/>
          <w:color w:val="auto"/>
        </w:rPr>
        <w:t>Unallocated and other</w:t>
      </w:r>
    </w:p>
    <w:p>
      <w:pPr>
        <w:spacing w:after="0" w:line="114" w:lineRule="exact"/>
        <w:rPr>
          <w:sz w:val="20"/>
          <w:szCs w:val="20"/>
          <w:color w:val="auto"/>
        </w:rPr>
      </w:pPr>
    </w:p>
    <w:p>
      <w:pPr>
        <w:jc w:val="both"/>
        <w:ind w:left="380"/>
        <w:spacing w:after="0" w:line="260" w:lineRule="auto"/>
        <w:rPr>
          <w:sz w:val="20"/>
          <w:szCs w:val="20"/>
          <w:color w:val="auto"/>
        </w:rPr>
      </w:pPr>
      <w:r>
        <w:rPr>
          <w:rFonts w:ascii="Arial" w:cs="Arial" w:eastAsia="Arial" w:hAnsi="Arial"/>
          <w:sz w:val="20"/>
          <w:szCs w:val="20"/>
          <w:color w:val="auto"/>
        </w:rPr>
        <w:t>The following table summarizes the key components of the Unallocated and other segment’s operating income (loss) for the three and nine months ended June 30,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59055</wp:posOffset>
            </wp:positionV>
            <wp:extent cx="6647815" cy="50990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647815" cy="509905"/>
                    </a:xfrm>
                    <a:prstGeom prst="rect">
                      <a:avLst/>
                    </a:prstGeom>
                    <a:noFill/>
                  </pic:spPr>
                </pic:pic>
              </a:graphicData>
            </a:graphic>
          </wp:anchor>
        </w:drawing>
      </w:r>
    </w:p>
    <w:p>
      <w:pPr>
        <w:spacing w:after="0" w:line="105"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Unallocated and Other</w:t>
      </w:r>
    </w:p>
    <w:p>
      <w:pPr>
        <w:spacing w:after="0" w:line="23" w:lineRule="exact"/>
        <w:rPr>
          <w:sz w:val="20"/>
          <w:szCs w:val="20"/>
          <w:color w:val="auto"/>
        </w:rPr>
      </w:pPr>
    </w:p>
    <w:tbl>
      <w:tblPr>
        <w:tblLayout w:type="fixed"/>
        <w:tblInd w:w="400" w:type="dxa"/>
        <w:tblCellMar>
          <w:top w:w="0" w:type="dxa"/>
          <w:left w:w="0" w:type="dxa"/>
          <w:bottom w:w="0" w:type="dxa"/>
          <w:right w:w="0" w:type="dxa"/>
        </w:tblCellMar>
      </w:tblPr>
      <w:tr>
        <w:trPr>
          <w:trHeight w:val="243"/>
        </w:trPr>
        <w:tc>
          <w:tcPr>
            <w:tcW w:w="434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22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93"/>
              </w:rPr>
              <w:t>Three months ended June 30</w:t>
            </w:r>
          </w:p>
        </w:tc>
        <w:tc>
          <w:tcPr>
            <w:tcW w:w="38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2180" w:type="dxa"/>
            <w:vAlign w:val="bottom"/>
            <w:tcBorders>
              <w:top w:val="single" w:sz="8" w:color="auto"/>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w w:val="95"/>
              </w:rPr>
              <w:t>Nine months ended June 30</w:t>
            </w:r>
          </w:p>
        </w:tc>
        <w:tc>
          <w:tcPr>
            <w:tcW w:w="40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2022</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2022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Restructuring activities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FF0FC"/>
          </w:tcPr>
          <w:p>
            <w:pPr>
              <w:jc w:val="right"/>
              <w:ind w:right="7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FF0FC"/>
          </w:tcPr>
          <w:p>
            <w:pPr>
              <w:jc w:val="right"/>
              <w:ind w:right="7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4340" w:type="dxa"/>
            <w:vAlign w:val="bottom"/>
          </w:tcPr>
          <w:p>
            <w:pPr>
              <w:ind w:left="20"/>
              <w:spacing w:after="0"/>
              <w:rPr>
                <w:sz w:val="20"/>
                <w:szCs w:val="20"/>
                <w:color w:val="auto"/>
              </w:rPr>
            </w:pPr>
            <w:r>
              <w:rPr>
                <w:rFonts w:ascii="Arial" w:cs="Arial" w:eastAsia="Arial" w:hAnsi="Arial"/>
                <w:sz w:val="18"/>
                <w:szCs w:val="18"/>
                <w:color w:val="auto"/>
              </w:rPr>
              <w:t>Environmental expenses</w:t>
            </w:r>
          </w:p>
        </w:tc>
        <w:tc>
          <w:tcPr>
            <w:tcW w:w="24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(12 )</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(34 )</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(24 )</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49"/>
        </w:trPr>
        <w:tc>
          <w:tcPr>
            <w:tcW w:w="4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ICMS Brazil tax credit</w:t>
            </w:r>
          </w:p>
        </w:tc>
        <w:tc>
          <w:tcPr>
            <w:tcW w:w="2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680" w:type="dxa"/>
            <w:vAlign w:val="bottom"/>
            <w:gridSpan w:val="3"/>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5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340" w:type="dxa"/>
            <w:vAlign w:val="bottom"/>
          </w:tcPr>
          <w:p>
            <w:pPr>
              <w:ind w:left="20"/>
              <w:spacing w:after="0"/>
              <w:rPr>
                <w:sz w:val="20"/>
                <w:szCs w:val="20"/>
                <w:color w:val="auto"/>
              </w:rPr>
            </w:pPr>
            <w:r>
              <w:rPr>
                <w:rFonts w:ascii="Arial" w:cs="Arial" w:eastAsia="Arial" w:hAnsi="Arial"/>
                <w:sz w:val="18"/>
                <w:szCs w:val="18"/>
                <w:color w:val="auto"/>
              </w:rPr>
              <w:t>Income on acquisitions and divestitures, net</w:t>
            </w:r>
          </w:p>
        </w:tc>
        <w:tc>
          <w:tcPr>
            <w:tcW w:w="240" w:type="dxa"/>
            <w:vAlign w:val="bottom"/>
          </w:tcPr>
          <w:p>
            <w:pPr>
              <w:spacing w:after="0"/>
              <w:rPr>
                <w:sz w:val="20"/>
                <w:szCs w:val="20"/>
                <w:color w:val="auto"/>
              </w:rPr>
            </w:pPr>
          </w:p>
        </w:tc>
        <w:tc>
          <w:tcPr>
            <w:tcW w:w="11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expenses (primarily governance and legacy</w:t>
            </w:r>
          </w:p>
        </w:tc>
        <w:tc>
          <w:tcPr>
            <w:tcW w:w="240" w:type="dxa"/>
            <w:vAlign w:val="bottom"/>
            <w:shd w:val="clear" w:color="auto" w:fill="CFF0FC"/>
          </w:tcPr>
          <w:p>
            <w:pPr>
              <w:spacing w:after="0"/>
              <w:rPr>
                <w:sz w:val="19"/>
                <w:szCs w:val="19"/>
                <w:color w:val="auto"/>
              </w:rPr>
            </w:pPr>
          </w:p>
        </w:tc>
        <w:tc>
          <w:tcPr>
            <w:tcW w:w="116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(16 )</w:t>
            </w: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0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(28 )</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(52 )</w:t>
            </w: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2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(65 )</w:t>
            </w:r>
          </w:p>
        </w:tc>
        <w:tc>
          <w:tcPr>
            <w:tcW w:w="0" w:type="dxa"/>
            <w:vAlign w:val="bottom"/>
          </w:tcPr>
          <w:p>
            <w:pPr>
              <w:spacing w:after="0"/>
              <w:rPr>
                <w:sz w:val="1"/>
                <w:szCs w:val="1"/>
                <w:color w:val="auto"/>
              </w:rPr>
            </w:pPr>
          </w:p>
        </w:tc>
      </w:tr>
      <w:tr>
        <w:trPr>
          <w:trHeight w:val="230"/>
        </w:trPr>
        <w:tc>
          <w:tcPr>
            <w:tcW w:w="4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expenses)</w:t>
            </w:r>
          </w:p>
        </w:tc>
        <w:tc>
          <w:tcPr>
            <w:tcW w:w="240" w:type="dxa"/>
            <w:vAlign w:val="bottom"/>
            <w:shd w:val="clear" w:color="auto" w:fill="CFF0FC"/>
          </w:tcPr>
          <w:p>
            <w:pPr>
              <w:spacing w:after="0"/>
              <w:rPr>
                <w:sz w:val="20"/>
                <w:szCs w:val="20"/>
                <w:color w:val="auto"/>
              </w:rPr>
            </w:pPr>
          </w:p>
        </w:tc>
        <w:tc>
          <w:tcPr>
            <w:tcW w:w="1160" w:type="dxa"/>
            <w:vAlign w:val="bottom"/>
            <w:gridSpan w:val="2"/>
            <w:vMerge w:val="continue"/>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500" w:type="dxa"/>
            <w:vAlign w:val="bottom"/>
            <w:gridSpan w:val="2"/>
            <w:vMerge w:val="continue"/>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20" w:type="dxa"/>
            <w:vAlign w:val="bottom"/>
            <w:gridSpan w:val="2"/>
            <w:vMerge w:val="continue"/>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52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40" w:type="dxa"/>
            <w:vAlign w:val="bottom"/>
          </w:tcPr>
          <w:p>
            <w:pPr>
              <w:ind w:left="20"/>
              <w:spacing w:after="0"/>
              <w:rPr>
                <w:sz w:val="20"/>
                <w:szCs w:val="20"/>
                <w:color w:val="auto"/>
              </w:rPr>
            </w:pPr>
            <w:r>
              <w:rPr>
                <w:rFonts w:ascii="Arial" w:cs="Arial" w:eastAsia="Arial" w:hAnsi="Arial"/>
                <w:sz w:val="18"/>
                <w:szCs w:val="18"/>
                <w:color w:val="auto"/>
              </w:rPr>
              <w:t>Total expense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(19 )</w:t>
            </w:r>
          </w:p>
        </w:tc>
        <w:tc>
          <w:tcPr>
            <w:tcW w:w="106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(29 )</w:t>
            </w:r>
          </w:p>
        </w:tc>
        <w:tc>
          <w:tcPr>
            <w:tcW w:w="18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(69 )</w:t>
            </w:r>
          </w:p>
        </w:tc>
        <w:tc>
          <w:tcPr>
            <w:tcW w:w="106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(79 )</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-187960</wp:posOffset>
            </wp:positionV>
            <wp:extent cx="85725" cy="18859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-187960</wp:posOffset>
            </wp:positionV>
            <wp:extent cx="77470" cy="18859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-187960</wp:posOffset>
            </wp:positionV>
            <wp:extent cx="77470" cy="18859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6802755</wp:posOffset>
            </wp:positionH>
            <wp:positionV relativeFrom="paragraph">
              <wp:posOffset>-187960</wp:posOffset>
            </wp:positionV>
            <wp:extent cx="85725" cy="18859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85" w:lineRule="exact"/>
        <w:rPr>
          <w:sz w:val="20"/>
          <w:szCs w:val="20"/>
          <w:color w:val="auto"/>
        </w:rPr>
      </w:pPr>
    </w:p>
    <w:p>
      <w:pPr>
        <w:ind w:left="380"/>
        <w:spacing w:after="0"/>
        <w:rPr>
          <w:sz w:val="20"/>
          <w:szCs w:val="20"/>
          <w:color w:val="auto"/>
        </w:rPr>
      </w:pPr>
      <w:r>
        <w:rPr>
          <w:rFonts w:ascii="Arial" w:cs="Arial" w:eastAsia="Arial" w:hAnsi="Arial"/>
          <w:sz w:val="20"/>
          <w:szCs w:val="20"/>
          <w:i w:val="1"/>
          <w:iCs w:val="1"/>
          <w:color w:val="auto"/>
        </w:rPr>
        <w:t>June 2023 quarter compared to June 2022 quarter</w:t>
      </w:r>
    </w:p>
    <w:p>
      <w:pPr>
        <w:spacing w:after="0" w:line="108" w:lineRule="exact"/>
        <w:rPr>
          <w:sz w:val="20"/>
          <w:szCs w:val="20"/>
          <w:color w:val="auto"/>
        </w:rPr>
      </w:pPr>
    </w:p>
    <w:p>
      <w:pPr>
        <w:jc w:val="both"/>
        <w:ind w:left="380"/>
        <w:spacing w:after="0" w:line="244" w:lineRule="auto"/>
        <w:rPr>
          <w:sz w:val="20"/>
          <w:szCs w:val="20"/>
          <w:color w:val="auto"/>
        </w:rPr>
      </w:pPr>
      <w:r>
        <w:rPr>
          <w:rFonts w:ascii="Arial" w:cs="Arial" w:eastAsia="Arial" w:hAnsi="Arial"/>
          <w:sz w:val="20"/>
          <w:szCs w:val="20"/>
          <w:color w:val="auto"/>
        </w:rPr>
        <w:t>Unallocated and other recorded expense of $19 million and $29 million for the three months ended June 30, 2023 and 2022, respectively. The current and prior year quarter included expense of $3 million and $2 million, respectively, for restructuring activities mainly comprised of severance, lease abandonment and other restructuring costs related to company-wide cost reduction programs during the current and prior year quarter, respectively, which included stranded costs of $1 million for prior year quarter associated with the Performance Adhesives divestiture.</w:t>
      </w:r>
    </w:p>
    <w:p>
      <w:pPr>
        <w:spacing w:after="0" w:line="86" w:lineRule="exact"/>
        <w:rPr>
          <w:sz w:val="20"/>
          <w:szCs w:val="20"/>
          <w:color w:val="auto"/>
        </w:rPr>
      </w:pPr>
    </w:p>
    <w:p>
      <w:pPr>
        <w:jc w:val="both"/>
        <w:ind w:left="380"/>
        <w:spacing w:after="0" w:line="250" w:lineRule="auto"/>
        <w:rPr>
          <w:sz w:val="20"/>
          <w:szCs w:val="20"/>
          <w:color w:val="auto"/>
        </w:rPr>
      </w:pPr>
      <w:r>
        <w:rPr>
          <w:rFonts w:ascii="Arial" w:cs="Arial" w:eastAsia="Arial" w:hAnsi="Arial"/>
          <w:sz w:val="20"/>
          <w:szCs w:val="20"/>
          <w:color w:val="auto"/>
        </w:rPr>
        <w:t>The current quarter and prior year quarter included $12 million and $34 million for environmental expenses, respectively. The prior year quarter also included income of $35 million from acquisitions and divestitures. See income on acquisitions and divestitures caption review above for additional details.</w:t>
      </w:r>
    </w:p>
    <w:p>
      <w:pPr>
        <w:spacing w:after="0" w:line="78" w:lineRule="exact"/>
        <w:rPr>
          <w:sz w:val="20"/>
          <w:szCs w:val="20"/>
          <w:color w:val="auto"/>
        </w:rPr>
      </w:pPr>
    </w:p>
    <w:p>
      <w:pPr>
        <w:ind w:left="380"/>
        <w:spacing w:after="0"/>
        <w:rPr>
          <w:sz w:val="20"/>
          <w:szCs w:val="20"/>
          <w:color w:val="auto"/>
        </w:rPr>
      </w:pPr>
      <w:r>
        <w:rPr>
          <w:rFonts w:ascii="Arial" w:cs="Arial" w:eastAsia="Arial" w:hAnsi="Arial"/>
          <w:sz w:val="20"/>
          <w:szCs w:val="20"/>
          <w:color w:val="auto"/>
        </w:rPr>
        <w:t>The current quarter also included income of $12 million ICMS tax credits in Brazil (see Note L for more information).</w:t>
      </w:r>
    </w:p>
    <w:p>
      <w:pPr>
        <w:spacing w:after="0" w:line="108" w:lineRule="exact"/>
        <w:rPr>
          <w:sz w:val="20"/>
          <w:szCs w:val="20"/>
          <w:color w:val="auto"/>
        </w:rPr>
      </w:pPr>
    </w:p>
    <w:p>
      <w:pPr>
        <w:jc w:val="both"/>
        <w:ind w:left="380"/>
        <w:spacing w:after="0" w:line="260" w:lineRule="auto"/>
        <w:rPr>
          <w:sz w:val="20"/>
          <w:szCs w:val="20"/>
          <w:color w:val="auto"/>
        </w:rPr>
      </w:pPr>
      <w:r>
        <w:rPr>
          <w:rFonts w:ascii="Arial" w:cs="Arial" w:eastAsia="Arial" w:hAnsi="Arial"/>
          <w:sz w:val="20"/>
          <w:szCs w:val="20"/>
          <w:color w:val="auto"/>
        </w:rPr>
        <w:t>Other expenses between periods were driven by decreases in governance and legacy expenses primarily associated with fluctuations in foreign currency, deferred compensation and incentive compensation.</w:t>
      </w:r>
    </w:p>
    <w:p>
      <w:pPr>
        <w:spacing w:after="0" w:line="69" w:lineRule="exact"/>
        <w:rPr>
          <w:sz w:val="20"/>
          <w:szCs w:val="20"/>
          <w:color w:val="auto"/>
        </w:rPr>
      </w:pPr>
    </w:p>
    <w:p>
      <w:pPr>
        <w:ind w:left="380"/>
        <w:spacing w:after="0"/>
        <w:rPr>
          <w:sz w:val="20"/>
          <w:szCs w:val="20"/>
          <w:color w:val="auto"/>
        </w:rPr>
      </w:pPr>
      <w:r>
        <w:rPr>
          <w:rFonts w:ascii="Arial" w:cs="Arial" w:eastAsia="Arial" w:hAnsi="Arial"/>
          <w:sz w:val="20"/>
          <w:szCs w:val="20"/>
          <w:i w:val="1"/>
          <w:iCs w:val="1"/>
          <w:color w:val="auto"/>
        </w:rPr>
        <w:t>Fiscal 2023 year-to-date compared to fiscal 2022 year-to-date</w:t>
      </w:r>
    </w:p>
    <w:p>
      <w:pPr>
        <w:spacing w:after="0" w:line="108" w:lineRule="exact"/>
        <w:rPr>
          <w:sz w:val="20"/>
          <w:szCs w:val="20"/>
          <w:color w:val="auto"/>
        </w:rPr>
      </w:pPr>
    </w:p>
    <w:p>
      <w:pPr>
        <w:jc w:val="both"/>
        <w:ind w:left="380"/>
        <w:spacing w:after="0" w:line="244" w:lineRule="auto"/>
        <w:rPr>
          <w:sz w:val="20"/>
          <w:szCs w:val="20"/>
          <w:color w:val="auto"/>
        </w:rPr>
      </w:pPr>
      <w:r>
        <w:rPr>
          <w:rFonts w:ascii="Arial" w:cs="Arial" w:eastAsia="Arial" w:hAnsi="Arial"/>
          <w:sz w:val="20"/>
          <w:szCs w:val="20"/>
          <w:color w:val="auto"/>
        </w:rPr>
        <w:t>Unallocated and other recorded expense of $69 million and $79 million for the nine months ended June 30, 2023 and 2022, respectively. The current and prior year period included expense of $5 million and $11 million, respectively, for restructuring activities mainly comprised of severance, lease abandonment and other restructuring costs related to company-wide cost reduction programs during the current and prior year period, respectively, which included stranded costs of $8 million for the prior year associated with the Performance Adhesives divestiture.</w:t>
      </w:r>
    </w:p>
    <w:p>
      <w:pPr>
        <w:spacing w:after="0" w:line="86" w:lineRule="exact"/>
        <w:rPr>
          <w:sz w:val="20"/>
          <w:szCs w:val="20"/>
          <w:color w:val="auto"/>
        </w:rPr>
      </w:pPr>
    </w:p>
    <w:p>
      <w:pPr>
        <w:jc w:val="both"/>
        <w:ind w:left="380"/>
        <w:spacing w:after="0" w:line="250" w:lineRule="auto"/>
        <w:rPr>
          <w:sz w:val="20"/>
          <w:szCs w:val="20"/>
          <w:color w:val="auto"/>
        </w:rPr>
      </w:pPr>
      <w:r>
        <w:rPr>
          <w:rFonts w:ascii="Arial" w:cs="Arial" w:eastAsia="Arial" w:hAnsi="Arial"/>
          <w:sz w:val="20"/>
          <w:szCs w:val="20"/>
          <w:color w:val="auto"/>
        </w:rPr>
        <w:t>The current period and prior year period included $24 million and $45 million for environmental expenses, respectively. The prior year period also included income of $42 million from acquisitions and divestitures. See income on acquisitions and divestitures caption review above for additional details.</w:t>
      </w:r>
    </w:p>
    <w:p>
      <w:pPr>
        <w:spacing w:after="0" w:line="78" w:lineRule="exact"/>
        <w:rPr>
          <w:sz w:val="20"/>
          <w:szCs w:val="20"/>
          <w:color w:val="auto"/>
        </w:rPr>
      </w:pPr>
    </w:p>
    <w:p>
      <w:pPr>
        <w:ind w:left="380"/>
        <w:spacing w:after="0"/>
        <w:rPr>
          <w:sz w:val="20"/>
          <w:szCs w:val="20"/>
          <w:color w:val="auto"/>
        </w:rPr>
      </w:pPr>
      <w:r>
        <w:rPr>
          <w:rFonts w:ascii="Arial" w:cs="Arial" w:eastAsia="Arial" w:hAnsi="Arial"/>
          <w:sz w:val="20"/>
          <w:szCs w:val="20"/>
          <w:color w:val="auto"/>
        </w:rPr>
        <w:t>The current period also included income of $12 million ICMS tax credits in Brazil (see Note L for more information).</w:t>
      </w:r>
    </w:p>
    <w:p>
      <w:pPr>
        <w:spacing w:after="0" w:line="108" w:lineRule="exact"/>
        <w:rPr>
          <w:sz w:val="20"/>
          <w:szCs w:val="20"/>
          <w:color w:val="auto"/>
        </w:rPr>
      </w:pPr>
    </w:p>
    <w:p>
      <w:pPr>
        <w:jc w:val="both"/>
        <w:ind w:left="380"/>
        <w:spacing w:after="0" w:line="260" w:lineRule="auto"/>
        <w:rPr>
          <w:sz w:val="20"/>
          <w:szCs w:val="20"/>
          <w:color w:val="auto"/>
        </w:rPr>
      </w:pPr>
      <w:r>
        <w:rPr>
          <w:rFonts w:ascii="Arial" w:cs="Arial" w:eastAsia="Arial" w:hAnsi="Arial"/>
          <w:sz w:val="20"/>
          <w:szCs w:val="20"/>
          <w:color w:val="auto"/>
        </w:rPr>
        <w:t>Other expenses between periods were driven by decreases in governance and legacy expenses primarily associated with fluctuations in foreign currency, deferred compensation and incentive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POSITION</w:t>
      </w:r>
    </w:p>
    <w:p>
      <w:pPr>
        <w:spacing w:after="0" w:line="108"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Liquidity</w:t>
      </w:r>
    </w:p>
    <w:p>
      <w:pPr>
        <w:spacing w:after="0" w:line="114" w:lineRule="exact"/>
        <w:rPr>
          <w:sz w:val="20"/>
          <w:szCs w:val="20"/>
          <w:color w:val="auto"/>
        </w:rPr>
      </w:pPr>
    </w:p>
    <w:p>
      <w:pPr>
        <w:jc w:val="both"/>
        <w:ind w:left="380"/>
        <w:spacing w:after="0" w:line="246" w:lineRule="auto"/>
        <w:rPr>
          <w:sz w:val="20"/>
          <w:szCs w:val="20"/>
          <w:color w:val="auto"/>
        </w:rPr>
      </w:pPr>
      <w:r>
        <w:rPr>
          <w:rFonts w:ascii="Arial" w:cs="Arial" w:eastAsia="Arial" w:hAnsi="Arial"/>
          <w:sz w:val="20"/>
          <w:szCs w:val="20"/>
          <w:color w:val="auto"/>
        </w:rPr>
        <w:t>Ashland believes that cash flow from operations, availability under existing credit facilities and arrangements, current cash and investment balances and the ability to obtain other financing, if necessary, will provide adequate cash funds for Ashland’s foreseeable working capital needs, capital expenditures at existing facilities, dividend payments and debt service obligations. Ashland’s cash requirements are subject to change as business conditions</w:t>
      </w:r>
    </w:p>
    <w:p>
      <w:pPr>
        <w:spacing w:after="0" w:line="8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454" w:right="719" w:bottom="1440" w:gutter="0" w:footer="0" w:header="0"/>
        </w:sectPr>
      </w:pPr>
    </w:p>
    <w:bookmarkStart w:id="47" w:name="page48"/>
    <w:bookmarkEnd w:id="47"/>
    <w:p>
      <w:pPr>
        <w:jc w:val="both"/>
        <w:spacing w:after="0" w:line="260" w:lineRule="auto"/>
        <w:rPr>
          <w:sz w:val="20"/>
          <w:szCs w:val="20"/>
          <w:color w:val="auto"/>
        </w:rPr>
      </w:pPr>
      <w:r>
        <w:rPr>
          <w:rFonts w:ascii="Arial" w:cs="Arial" w:eastAsia="Arial" w:hAnsi="Arial"/>
          <w:sz w:val="20"/>
          <w:szCs w:val="20"/>
          <w:color w:val="auto"/>
        </w:rPr>
        <w:t>warrant and opportunities arise. The timing and size of any new business ventures or acquisitions that the Company may complete may also impact its cash requirements.</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Cash flows</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Ashland’s cash flows from operating, investing and financing activities, as reflected in the Statements of Condensed Consolidated Cash Flows, are summarized as follows for the nine months ended June 30, 2023 and 2022.</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244"/>
        </w:trPr>
        <w:tc>
          <w:tcPr>
            <w:tcW w:w="692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20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Nine months ended</w:t>
            </w:r>
          </w:p>
        </w:tc>
        <w:tc>
          <w:tcPr>
            <w:tcW w:w="1100" w:type="dxa"/>
            <w:vAlign w:val="bottom"/>
            <w:tcBorders>
              <w:top w:val="single" w:sz="8" w:color="auto"/>
            </w:tcBorders>
          </w:tcPr>
          <w:p>
            <w:pPr>
              <w:spacing w:after="0"/>
              <w:rPr>
                <w:sz w:val="21"/>
                <w:szCs w:val="21"/>
                <w:color w:val="auto"/>
              </w:rPr>
            </w:pPr>
          </w:p>
        </w:tc>
      </w:tr>
      <w:tr>
        <w:trPr>
          <w:trHeight w:val="249"/>
        </w:trPr>
        <w:tc>
          <w:tcPr>
            <w:tcW w:w="69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color w:val="auto"/>
              </w:rPr>
              <w:t>June 30</w:t>
            </w:r>
          </w:p>
        </w:tc>
        <w:tc>
          <w:tcPr>
            <w:tcW w:w="1100" w:type="dxa"/>
            <w:vAlign w:val="bottom"/>
            <w:tcBorders>
              <w:bottom w:val="single" w:sz="8" w:color="auto"/>
            </w:tcBorders>
          </w:tcPr>
          <w:p>
            <w:pPr>
              <w:spacing w:after="0"/>
              <w:rPr>
                <w:sz w:val="21"/>
                <w:szCs w:val="21"/>
                <w:color w:val="auto"/>
              </w:rPr>
            </w:pPr>
          </w:p>
        </w:tc>
      </w:tr>
      <w:tr>
        <w:trPr>
          <w:trHeight w:val="237"/>
        </w:trPr>
        <w:tc>
          <w:tcPr>
            <w:tcW w:w="6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3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w w:val="89"/>
              </w:rPr>
              <w:t>2022</w:t>
            </w:r>
          </w:p>
        </w:tc>
      </w:tr>
      <w:tr>
        <w:trPr>
          <w:trHeight w:val="243"/>
        </w:trPr>
        <w:tc>
          <w:tcPr>
            <w:tcW w:w="69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provided (used) by:</w:t>
            </w: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r>
      <w:tr>
        <w:trPr>
          <w:trHeight w:val="237"/>
        </w:trPr>
        <w:tc>
          <w:tcPr>
            <w:tcW w:w="6920" w:type="dxa"/>
            <w:vAlign w:val="bottom"/>
          </w:tcPr>
          <w:p>
            <w:pPr>
              <w:ind w:left="200"/>
              <w:spacing w:after="0"/>
              <w:rPr>
                <w:sz w:val="20"/>
                <w:szCs w:val="20"/>
                <w:color w:val="auto"/>
              </w:rPr>
            </w:pPr>
            <w:r>
              <w:rPr>
                <w:rFonts w:ascii="Arial" w:cs="Arial" w:eastAsia="Arial" w:hAnsi="Arial"/>
                <w:sz w:val="18"/>
                <w:szCs w:val="18"/>
                <w:color w:val="auto"/>
              </w:rPr>
              <w:t>Operating activities from continuing operations</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163</w:t>
            </w:r>
          </w:p>
        </w:tc>
        <w:tc>
          <w:tcPr>
            <w:tcW w:w="76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14</w:t>
            </w:r>
          </w:p>
        </w:tc>
      </w:tr>
      <w:tr>
        <w:trPr>
          <w:trHeight w:val="249"/>
        </w:trPr>
        <w:tc>
          <w:tcPr>
            <w:tcW w:w="69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Investing activities from continuing operations</w:t>
            </w: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(57 )</w:t>
            </w:r>
          </w:p>
        </w:tc>
        <w:tc>
          <w:tcPr>
            <w:tcW w:w="2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(60 )</w:t>
            </w:r>
          </w:p>
        </w:tc>
      </w:tr>
      <w:tr>
        <w:trPr>
          <w:trHeight w:val="237"/>
        </w:trPr>
        <w:tc>
          <w:tcPr>
            <w:tcW w:w="6920" w:type="dxa"/>
            <w:vAlign w:val="bottom"/>
          </w:tcPr>
          <w:p>
            <w:pPr>
              <w:ind w:left="200"/>
              <w:spacing w:after="0"/>
              <w:rPr>
                <w:sz w:val="20"/>
                <w:szCs w:val="20"/>
                <w:color w:val="auto"/>
              </w:rPr>
            </w:pPr>
            <w:r>
              <w:rPr>
                <w:rFonts w:ascii="Arial" w:cs="Arial" w:eastAsia="Arial" w:hAnsi="Arial"/>
                <w:sz w:val="18"/>
                <w:szCs w:val="18"/>
                <w:color w:val="auto"/>
              </w:rPr>
              <w:t>Financing activities from continuing operations</w:t>
            </w:r>
          </w:p>
        </w:tc>
        <w:tc>
          <w:tcPr>
            <w:tcW w:w="3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(366 )</w:t>
            </w: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(876 )</w:t>
            </w:r>
          </w:p>
        </w:tc>
      </w:tr>
      <w:tr>
        <w:trPr>
          <w:trHeight w:val="249"/>
        </w:trPr>
        <w:tc>
          <w:tcPr>
            <w:tcW w:w="69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Discontinued operations</w:t>
            </w: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(43 )</w:t>
            </w:r>
          </w:p>
        </w:tc>
        <w:tc>
          <w:tcPr>
            <w:tcW w:w="2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1,348</w:t>
            </w:r>
          </w:p>
        </w:tc>
      </w:tr>
      <w:tr>
        <w:trPr>
          <w:trHeight w:val="243"/>
        </w:trPr>
        <w:tc>
          <w:tcPr>
            <w:tcW w:w="6920" w:type="dxa"/>
            <w:vAlign w:val="bottom"/>
          </w:tcPr>
          <w:p>
            <w:pPr>
              <w:ind w:left="200"/>
              <w:spacing w:after="0"/>
              <w:rPr>
                <w:sz w:val="20"/>
                <w:szCs w:val="20"/>
                <w:color w:val="auto"/>
              </w:rPr>
            </w:pPr>
            <w:r>
              <w:rPr>
                <w:rFonts w:ascii="Arial" w:cs="Arial" w:eastAsia="Arial" w:hAnsi="Arial"/>
                <w:sz w:val="18"/>
                <w:szCs w:val="18"/>
                <w:color w:val="auto"/>
              </w:rPr>
              <w:t>Effect of currency exchange rate changes on cash and cash equivalents</w:t>
            </w:r>
          </w:p>
        </w:tc>
        <w:tc>
          <w:tcPr>
            <w:tcW w:w="3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(7 )</w:t>
            </w:r>
          </w:p>
        </w:tc>
      </w:tr>
      <w:tr>
        <w:trPr>
          <w:trHeight w:val="277"/>
        </w:trPr>
        <w:tc>
          <w:tcPr>
            <w:tcW w:w="6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(297 )</w:t>
            </w:r>
          </w:p>
        </w:tc>
        <w:tc>
          <w:tcPr>
            <w:tcW w:w="200" w:type="dxa"/>
            <w:vAlign w:val="bottom"/>
            <w:tcBorders>
              <w:bottom w:val="single" w:sz="8" w:color="CFF0FC"/>
            </w:tcBorders>
            <w:shd w:val="clear" w:color="auto" w:fill="CFF0FC"/>
          </w:tcPr>
          <w:p>
            <w:pPr>
              <w:spacing w:after="0"/>
              <w:rPr>
                <w:sz w:val="24"/>
                <w:szCs w:val="24"/>
                <w:color w:val="auto"/>
              </w:rPr>
            </w:pPr>
          </w:p>
        </w:tc>
        <w:tc>
          <w:tcPr>
            <w:tcW w:w="560" w:type="dxa"/>
            <w:vAlign w:val="bottom"/>
            <w:tcBorders>
              <w:bottom w:val="single" w:sz="8" w:color="auto"/>
            </w:tcBorders>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5455920</wp:posOffset>
            </wp:positionH>
            <wp:positionV relativeFrom="paragraph">
              <wp:posOffset>-24765</wp:posOffset>
            </wp:positionV>
            <wp:extent cx="12890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5455920</wp:posOffset>
            </wp:positionH>
            <wp:positionV relativeFrom="paragraph">
              <wp:posOffset>-7620</wp:posOffset>
            </wp:positionV>
            <wp:extent cx="12890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7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Cash and cash equivalents decreased $297 million for the nine months ended June 30, 2023 compared to a $419 million increase for the nine months ended June 30, 2022.</w:t>
      </w:r>
    </w:p>
    <w:p>
      <w:pPr>
        <w:spacing w:after="0" w:line="6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$297 million decrease for the nine months ended June 30, 2023 was primarily driven by payment of cash dividends, additions to property, plant and equipment, and stock repurchase activity of $56 million, $101 million, and $300 million, respectively. Operating cash flows from continuing operations were inflows of $163 million.</w:t>
      </w:r>
    </w:p>
    <w:p>
      <w:pPr>
        <w:spacing w:after="0" w:line="78"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The $419 million increase for the nine months ended June 30, 2022 was primarily driven by the proceeds of the sale of the Performance Adhesives business segment of approximately $1.7 billion, net of transaction costs within discontinued operations cash flows, and $14 million of operating cash flows from continuing operations offset by short-term debt repayments of $365 million, long-term debt repayments of $250 million, $247 million of cash tax payment within discontinued operations cash flows related to the sale of Performance Adhesives, and $200 million of stock repurchase activity.</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color w:val="auto"/>
        </w:rPr>
        <w:t>See the Statements of Condensed Consolidated Cash Flows for additional details.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Free cash flow and other liquidity resources</w:t>
      </w:r>
    </w:p>
    <w:p>
      <w:pPr>
        <w:spacing w:after="0" w:line="108"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following represents Ashland’s calculation of free cash flow and ongoing free cash flows for the disclosed periods. Free cash flow does not reflect adjustments for certain non-discretionary cash flows such as mandatory debt repayments.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447" w:right="719" w:bottom="1440" w:gutter="0" w:footer="0" w:header="0"/>
        </w:sectPr>
      </w:pPr>
    </w:p>
    <w:bookmarkStart w:id="48" w:name="page49"/>
    <w:bookmarkEnd w:id="48"/>
    <w:tbl>
      <w:tblPr>
        <w:tblLayout w:type="fixed"/>
        <w:tblInd w:w="20" w:type="dxa"/>
        <w:tblCellMar>
          <w:top w:w="0" w:type="dxa"/>
          <w:left w:w="0" w:type="dxa"/>
          <w:bottom w:w="0" w:type="dxa"/>
          <w:right w:w="0" w:type="dxa"/>
        </w:tblCellMar>
      </w:tblPr>
      <w:tr>
        <w:trPr>
          <w:trHeight w:val="244"/>
        </w:trPr>
        <w:tc>
          <w:tcPr>
            <w:tcW w:w="644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2400" w:type="dxa"/>
            <w:vAlign w:val="bottom"/>
            <w:tcBorders>
              <w:top w:val="single" w:sz="8" w:color="auto"/>
            </w:tcBorders>
            <w:gridSpan w:val="3"/>
          </w:tcPr>
          <w:p>
            <w:pPr>
              <w:jc w:val="right"/>
              <w:ind w:right="330"/>
              <w:spacing w:after="0"/>
              <w:rPr>
                <w:sz w:val="20"/>
                <w:szCs w:val="20"/>
                <w:color w:val="auto"/>
              </w:rPr>
            </w:pPr>
            <w:r>
              <w:rPr>
                <w:rFonts w:ascii="Arial" w:cs="Arial" w:eastAsia="Arial" w:hAnsi="Arial"/>
                <w:sz w:val="18"/>
                <w:szCs w:val="18"/>
                <w:color w:val="auto"/>
              </w:rPr>
              <w:t>Nine months ended</w:t>
            </w:r>
          </w:p>
        </w:tc>
        <w:tc>
          <w:tcPr>
            <w:tcW w:w="94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6440" w:type="dxa"/>
            <w:vAlign w:val="bottom"/>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2400" w:type="dxa"/>
            <w:vAlign w:val="bottom"/>
            <w:tcBorders>
              <w:bottom w:val="single" w:sz="8" w:color="auto"/>
            </w:tcBorders>
            <w:gridSpan w:val="3"/>
          </w:tcPr>
          <w:p>
            <w:pPr>
              <w:jc w:val="right"/>
              <w:ind w:right="750"/>
              <w:spacing w:after="0"/>
              <w:rPr>
                <w:sz w:val="20"/>
                <w:szCs w:val="20"/>
                <w:color w:val="auto"/>
              </w:rPr>
            </w:pPr>
            <w:r>
              <w:rPr>
                <w:rFonts w:ascii="Arial" w:cs="Arial" w:eastAsia="Arial" w:hAnsi="Arial"/>
                <w:sz w:val="18"/>
                <w:szCs w:val="18"/>
                <w:color w:val="auto"/>
              </w:rPr>
              <w:t>June 30</w:t>
            </w:r>
          </w:p>
        </w:tc>
        <w:tc>
          <w:tcPr>
            <w:tcW w:w="94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6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2023</w:t>
            </w: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cash flows provided by operating activities from continuing operations</w:t>
            </w:r>
          </w:p>
        </w:tc>
        <w:tc>
          <w:tcPr>
            <w:tcW w:w="660" w:type="dxa"/>
            <w:vAlign w:val="bottom"/>
            <w:shd w:val="clear" w:color="auto" w:fill="CFF0FC"/>
          </w:tcPr>
          <w:p>
            <w:pPr>
              <w:jc w:val="right"/>
              <w:ind w:right="4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163</w:t>
            </w:r>
          </w:p>
        </w:tc>
        <w:tc>
          <w:tcPr>
            <w:tcW w:w="20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8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440" w:type="dxa"/>
            <w:vAlign w:val="bottom"/>
          </w:tcPr>
          <w:p>
            <w:pPr>
              <w:ind w:left="20"/>
              <w:spacing w:after="0"/>
              <w:rPr>
                <w:sz w:val="20"/>
                <w:szCs w:val="20"/>
                <w:color w:val="auto"/>
              </w:rPr>
            </w:pPr>
            <w:r>
              <w:rPr>
                <w:rFonts w:ascii="Arial" w:cs="Arial" w:eastAsia="Arial" w:hAnsi="Arial"/>
                <w:sz w:val="18"/>
                <w:szCs w:val="18"/>
                <w:color w:val="auto"/>
              </w:rPr>
              <w:t>less:</w:t>
            </w:r>
          </w:p>
        </w:tc>
        <w:tc>
          <w:tcPr>
            <w:tcW w:w="6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4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Additions to property, plant and equipment</w:t>
            </w:r>
          </w:p>
        </w:tc>
        <w:tc>
          <w:tcPr>
            <w:tcW w:w="66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(101 )</w:t>
            </w:r>
          </w:p>
        </w:tc>
        <w:tc>
          <w:tcPr>
            <w:tcW w:w="2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440" w:type="dxa"/>
            <w:vAlign w:val="bottom"/>
          </w:tcPr>
          <w:p>
            <w:pPr>
              <w:ind w:left="20"/>
              <w:spacing w:after="0"/>
              <w:rPr>
                <w:sz w:val="20"/>
                <w:szCs w:val="20"/>
                <w:color w:val="auto"/>
              </w:rPr>
            </w:pPr>
            <w:r>
              <w:rPr>
                <w:rFonts w:ascii="Arial" w:cs="Arial" w:eastAsia="Arial" w:hAnsi="Arial"/>
                <w:sz w:val="18"/>
                <w:szCs w:val="18"/>
                <w:color w:val="auto"/>
              </w:rPr>
              <w:t>Free cash flows</w:t>
            </w:r>
          </w:p>
        </w:tc>
        <w:tc>
          <w:tcPr>
            <w:tcW w:w="660" w:type="dxa"/>
            <w:vAlign w:val="bottom"/>
          </w:tcPr>
          <w:p>
            <w:pPr>
              <w:spacing w:after="0"/>
              <w:rPr>
                <w:sz w:val="20"/>
                <w:szCs w:val="20"/>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 xml:space="preserve">Cash outflows from U.S. Accounts Receivable Sales Program </w:t>
            </w:r>
            <w:r>
              <w:rPr>
                <w:rFonts w:ascii="Arial" w:cs="Arial" w:eastAsia="Arial" w:hAnsi="Arial"/>
                <w:sz w:val="14"/>
                <w:szCs w:val="14"/>
                <w:color w:val="auto"/>
              </w:rPr>
              <w:t>(a)</w:t>
            </w:r>
          </w:p>
        </w:tc>
        <w:tc>
          <w:tcPr>
            <w:tcW w:w="66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440" w:type="dxa"/>
            <w:vAlign w:val="bottom"/>
          </w:tcPr>
          <w:p>
            <w:pPr>
              <w:ind w:left="20"/>
              <w:spacing w:after="0"/>
              <w:rPr>
                <w:sz w:val="20"/>
                <w:szCs w:val="20"/>
                <w:color w:val="auto"/>
              </w:rPr>
            </w:pPr>
            <w:r>
              <w:rPr>
                <w:rFonts w:ascii="Arial" w:cs="Arial" w:eastAsia="Arial" w:hAnsi="Arial"/>
                <w:sz w:val="18"/>
                <w:szCs w:val="18"/>
                <w:color w:val="auto"/>
              </w:rPr>
              <w:t xml:space="preserve">Restructuring-related payments </w:t>
            </w:r>
            <w:r>
              <w:rPr>
                <w:rFonts w:ascii="Arial" w:cs="Arial" w:eastAsia="Arial" w:hAnsi="Arial"/>
                <w:sz w:val="14"/>
                <w:szCs w:val="14"/>
                <w:color w:val="auto"/>
              </w:rPr>
              <w:t>(b)</w:t>
            </w:r>
          </w:p>
        </w:tc>
        <w:tc>
          <w:tcPr>
            <w:tcW w:w="660" w:type="dxa"/>
            <w:vAlign w:val="bottom"/>
          </w:tcPr>
          <w:p>
            <w:pPr>
              <w:spacing w:after="0"/>
              <w:rPr>
                <w:sz w:val="20"/>
                <w:szCs w:val="20"/>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 xml:space="preserve">Environmental and related litigation payments </w:t>
            </w:r>
            <w:r>
              <w:rPr>
                <w:rFonts w:ascii="Arial" w:cs="Arial" w:eastAsia="Arial" w:hAnsi="Arial"/>
                <w:sz w:val="14"/>
                <w:szCs w:val="14"/>
                <w:color w:val="auto"/>
              </w:rPr>
              <w:t>(c)</w:t>
            </w:r>
          </w:p>
        </w:tc>
        <w:tc>
          <w:tcPr>
            <w:tcW w:w="66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34</w:t>
            </w:r>
          </w:p>
        </w:tc>
        <w:tc>
          <w:tcPr>
            <w:tcW w:w="2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440" w:type="dxa"/>
            <w:vAlign w:val="bottom"/>
          </w:tcPr>
          <w:p>
            <w:pPr>
              <w:ind w:left="20"/>
              <w:spacing w:after="0"/>
              <w:rPr>
                <w:sz w:val="20"/>
                <w:szCs w:val="20"/>
                <w:color w:val="auto"/>
              </w:rPr>
            </w:pPr>
            <w:r>
              <w:rPr>
                <w:rFonts w:ascii="Arial" w:cs="Arial" w:eastAsia="Arial" w:hAnsi="Arial"/>
                <w:sz w:val="18"/>
                <w:szCs w:val="18"/>
                <w:color w:val="auto"/>
              </w:rPr>
              <w:t>Ongoing free cash flow</w:t>
            </w:r>
          </w:p>
        </w:tc>
        <w:tc>
          <w:tcPr>
            <w:tcW w:w="6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113</w:t>
            </w:r>
          </w:p>
        </w:tc>
        <w:tc>
          <w:tcPr>
            <w:tcW w:w="200" w:type="dxa"/>
            <w:vAlign w:val="bottom"/>
          </w:tcPr>
          <w:p>
            <w:pPr>
              <w:spacing w:after="0"/>
              <w:rPr>
                <w:sz w:val="20"/>
                <w:szCs w:val="20"/>
                <w:color w:val="auto"/>
              </w:rPr>
            </w:pPr>
          </w:p>
        </w:tc>
        <w:tc>
          <w:tcPr>
            <w:tcW w:w="102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4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4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660" w:type="dxa"/>
            <w:vAlign w:val="bottom"/>
          </w:tcPr>
          <w:p>
            <w:pPr>
              <w:spacing w:after="0"/>
              <w:rPr>
                <w:sz w:val="20"/>
                <w:szCs w:val="20"/>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182</w:t>
            </w: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870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 xml:space="preserve">Adjusted EBITDA </w:t>
            </w:r>
            <w:r>
              <w:rPr>
                <w:rFonts w:ascii="Arial" w:cs="Arial" w:eastAsia="Arial" w:hAnsi="Arial"/>
                <w:sz w:val="14"/>
                <w:szCs w:val="14"/>
                <w:color w:val="auto"/>
              </w:rPr>
              <w:t>(d)</w:t>
            </w:r>
          </w:p>
        </w:tc>
        <w:tc>
          <w:tcPr>
            <w:tcW w:w="66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386</w:t>
            </w:r>
          </w:p>
        </w:tc>
        <w:tc>
          <w:tcPr>
            <w:tcW w:w="2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443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380" w:type="dxa"/>
            <w:vAlign w:val="bottom"/>
            <w:gridSpan w:val="2"/>
          </w:tcPr>
          <w:p>
            <w:pPr>
              <w:spacing w:after="0"/>
              <w:rPr>
                <w:sz w:val="21"/>
                <w:szCs w:val="21"/>
                <w:color w:val="auto"/>
              </w:rPr>
            </w:pPr>
          </w:p>
        </w:tc>
        <w:tc>
          <w:tcPr>
            <w:tcW w:w="10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cash flow conversion (e)</w:t>
            </w:r>
          </w:p>
        </w:tc>
        <w:tc>
          <w:tcPr>
            <w:tcW w:w="66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90 %</w:t>
            </w:r>
          </w:p>
        </w:tc>
        <w:tc>
          <w:tcPr>
            <w:tcW w:w="10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2 %</w:t>
            </w:r>
          </w:p>
        </w:tc>
        <w:tc>
          <w:tcPr>
            <w:tcW w:w="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 xml:space="preserve">Ongoing free cash flow conversion </w:t>
            </w:r>
            <w:r>
              <w:rPr>
                <w:rFonts w:ascii="Arial" w:cs="Arial" w:eastAsia="Arial" w:hAnsi="Arial"/>
                <w:sz w:val="14"/>
                <w:szCs w:val="14"/>
                <w:color w:val="auto"/>
              </w:rPr>
              <w:t>(f)</w:t>
            </w:r>
          </w:p>
        </w:tc>
        <w:tc>
          <w:tcPr>
            <w:tcW w:w="66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29 %</w:t>
            </w:r>
          </w:p>
        </w:tc>
        <w:tc>
          <w:tcPr>
            <w:tcW w:w="10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5275580</wp:posOffset>
            </wp:positionH>
            <wp:positionV relativeFrom="paragraph">
              <wp:posOffset>-1731645</wp:posOffset>
            </wp:positionV>
            <wp:extent cx="120015" cy="16319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0015" cy="163195"/>
                    </a:xfrm>
                    <a:prstGeom prst="rect">
                      <a:avLst/>
                    </a:prstGeom>
                    <a:noFill/>
                  </pic:spPr>
                </pic:pic>
              </a:graphicData>
            </a:graphic>
          </wp:anchor>
        </w:drawing>
        <w:drawing>
          <wp:anchor simplePos="0" relativeHeight="251657728" behindDoc="1" locked="0" layoutInCell="0" allowOverlap="1">
            <wp:simplePos x="0" y="0"/>
            <wp:positionH relativeFrom="column">
              <wp:posOffset>5275580</wp:posOffset>
            </wp:positionH>
            <wp:positionV relativeFrom="paragraph">
              <wp:posOffset>-1105535</wp:posOffset>
            </wp:positionV>
            <wp:extent cx="120015" cy="18859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0015" cy="18859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102235</wp:posOffset>
            </wp:positionV>
            <wp:extent cx="663511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635115" cy="8890"/>
                    </a:xfrm>
                    <a:prstGeom prst="rect">
                      <a:avLst/>
                    </a:prstGeom>
                    <a:noFill/>
                  </pic:spPr>
                </pic:pic>
              </a:graphicData>
            </a:graphic>
          </wp:anchor>
        </w:drawing>
      </w:r>
    </w:p>
    <w:p>
      <w:pPr>
        <w:spacing w:after="0" w:line="244" w:lineRule="exact"/>
        <w:rPr>
          <w:sz w:val="20"/>
          <w:szCs w:val="20"/>
          <w:color w:val="auto"/>
        </w:rPr>
      </w:pPr>
    </w:p>
    <w:p>
      <w:pPr>
        <w:ind w:left="360" w:hanging="358"/>
        <w:spacing w:after="0"/>
        <w:tabs>
          <w:tab w:leader="none" w:pos="3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Represents activity associated with the U.S. Accounts Receivable Sales Program impacting each period presented.</w:t>
      </w:r>
    </w:p>
    <w:p>
      <w:pPr>
        <w:spacing w:after="0" w:line="28" w:lineRule="exact"/>
        <w:rPr>
          <w:rFonts w:ascii="Arial" w:cs="Arial" w:eastAsia="Arial" w:hAnsi="Arial"/>
          <w:sz w:val="14"/>
          <w:szCs w:val="14"/>
          <w:color w:val="auto"/>
        </w:rPr>
      </w:pPr>
    </w:p>
    <w:p>
      <w:pPr>
        <w:ind w:left="360" w:hanging="358"/>
        <w:spacing w:after="0"/>
        <w:tabs>
          <w:tab w:leader="none" w:pos="3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Restructuring payments incurred during each period.</w:t>
      </w:r>
    </w:p>
    <w:p>
      <w:pPr>
        <w:spacing w:after="0" w:line="21" w:lineRule="exact"/>
        <w:rPr>
          <w:rFonts w:ascii="Arial" w:cs="Arial" w:eastAsia="Arial" w:hAnsi="Arial"/>
          <w:sz w:val="14"/>
          <w:szCs w:val="14"/>
          <w:color w:val="auto"/>
        </w:rPr>
      </w:pPr>
    </w:p>
    <w:p>
      <w:pPr>
        <w:ind w:left="360" w:hanging="358"/>
        <w:spacing w:after="0"/>
        <w:tabs>
          <w:tab w:leader="none" w:pos="3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Represents cash outflows associated with environmental and related litigation payments which will be reimbursed by the environmental trust.</w:t>
      </w:r>
    </w:p>
    <w:p>
      <w:pPr>
        <w:spacing w:after="0" w:line="21" w:lineRule="exact"/>
        <w:rPr>
          <w:rFonts w:ascii="Arial" w:cs="Arial" w:eastAsia="Arial" w:hAnsi="Arial"/>
          <w:sz w:val="14"/>
          <w:szCs w:val="14"/>
          <w:color w:val="auto"/>
        </w:rPr>
      </w:pPr>
    </w:p>
    <w:p>
      <w:pPr>
        <w:ind w:left="360" w:hanging="358"/>
        <w:spacing w:after="0"/>
        <w:tabs>
          <w:tab w:leader="none" w:pos="3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See adjusted EBITDA reconciliation.</w:t>
      </w:r>
    </w:p>
    <w:p>
      <w:pPr>
        <w:spacing w:after="0" w:line="28" w:lineRule="exact"/>
        <w:rPr>
          <w:rFonts w:ascii="Arial" w:cs="Arial" w:eastAsia="Arial" w:hAnsi="Arial"/>
          <w:sz w:val="14"/>
          <w:szCs w:val="14"/>
          <w:color w:val="auto"/>
        </w:rPr>
      </w:pPr>
    </w:p>
    <w:p>
      <w:pPr>
        <w:ind w:left="360" w:hanging="358"/>
        <w:spacing w:after="0"/>
        <w:tabs>
          <w:tab w:leader="none" w:pos="3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Operating cash flow conversion is defined Cash flows provided by operating activities from continuing operations divided by Net income.</w:t>
      </w:r>
    </w:p>
    <w:p>
      <w:pPr>
        <w:spacing w:after="0" w:line="21" w:lineRule="exact"/>
        <w:rPr>
          <w:rFonts w:ascii="Arial" w:cs="Arial" w:eastAsia="Arial" w:hAnsi="Arial"/>
          <w:sz w:val="14"/>
          <w:szCs w:val="14"/>
          <w:color w:val="auto"/>
        </w:rPr>
      </w:pPr>
    </w:p>
    <w:p>
      <w:pPr>
        <w:ind w:left="360" w:hanging="358"/>
        <w:spacing w:after="0"/>
        <w:tabs>
          <w:tab w:leader="none" w:pos="3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Ongoing free cash flow conversion is defined as Ongoing free cash flow divided by Adjusted EBITDA.</w:t>
      </w:r>
    </w:p>
    <w:p>
      <w:pPr>
        <w:spacing w:after="0" w:line="91" w:lineRule="exact"/>
        <w:rPr>
          <w:sz w:val="20"/>
          <w:szCs w:val="20"/>
          <w:color w:val="auto"/>
        </w:rPr>
      </w:pPr>
    </w:p>
    <w:p>
      <w:pPr>
        <w:jc w:val="both"/>
        <w:ind w:right="20"/>
        <w:spacing w:after="0" w:line="257" w:lineRule="auto"/>
        <w:rPr>
          <w:sz w:val="20"/>
          <w:szCs w:val="20"/>
          <w:color w:val="auto"/>
        </w:rPr>
      </w:pPr>
      <w:r>
        <w:rPr>
          <w:rFonts w:ascii="Arial" w:cs="Arial" w:eastAsia="Arial" w:hAnsi="Arial"/>
          <w:sz w:val="19"/>
          <w:szCs w:val="19"/>
          <w:color w:val="auto"/>
        </w:rPr>
        <w:t>Working capital (current assets minus current liabilities, excluding long-term debt due within one year) amounted to $1,094 million and $1,215 million as of June 30, 2023 and September 30, 2022, respectively. The $121 million decrease in working capital was driven by a reduction in cash and cash equivalents, primarily associated with repurchases of common stock, offset by higher trade working capital (accounts receivable and inventories minus trade and other payables and accrued expenses and other liabilities). The $79 million increase in ongoing free cash flows between periods was primarily a result of reduced trade working capital additions compared to the prior year offset by $34 million in higher additions to property, plant and equipment. Liquid assets (cash, cash equivalents and accounts receivable) amounted to 161% and 190% of current liabilities as as of June 30, 2023 and September 30, 2022, respectively.</w:t>
      </w:r>
    </w:p>
    <w:p>
      <w:pPr>
        <w:spacing w:after="0" w:line="72"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following summary reflects Ashland’s cash, unused borrowing capacity and liquidity as of June 30, 2023 and September 30, 2022.</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244"/>
        </w:trPr>
        <w:tc>
          <w:tcPr>
            <w:tcW w:w="4820" w:type="dxa"/>
            <w:vAlign w:val="bottom"/>
            <w:tcBorders>
              <w:top w:val="single" w:sz="8" w:color="auto"/>
            </w:tcBorders>
          </w:tcPr>
          <w:p>
            <w:pPr>
              <w:spacing w:after="0"/>
              <w:rPr>
                <w:sz w:val="21"/>
                <w:szCs w:val="21"/>
                <w:color w:val="auto"/>
              </w:rPr>
            </w:pPr>
          </w:p>
        </w:tc>
        <w:tc>
          <w:tcPr>
            <w:tcW w:w="2720" w:type="dxa"/>
            <w:vAlign w:val="bottom"/>
            <w:tcBorders>
              <w:top w:val="single" w:sz="8" w:color="auto"/>
            </w:tcBorders>
          </w:tcPr>
          <w:p>
            <w:pPr>
              <w:jc w:val="center"/>
              <w:ind w:left="1670"/>
              <w:spacing w:after="0"/>
              <w:rPr>
                <w:sz w:val="20"/>
                <w:szCs w:val="20"/>
                <w:color w:val="auto"/>
              </w:rPr>
            </w:pPr>
            <w:r>
              <w:rPr>
                <w:rFonts w:ascii="Arial" w:cs="Arial" w:eastAsia="Arial" w:hAnsi="Arial"/>
                <w:sz w:val="18"/>
                <w:szCs w:val="18"/>
                <w:color w:val="auto"/>
                <w:w w:val="87"/>
              </w:rPr>
              <w:t>June 30</w:t>
            </w:r>
          </w:p>
        </w:tc>
        <w:tc>
          <w:tcPr>
            <w:tcW w:w="66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78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rPr>
              <w:t>September 30</w:t>
            </w:r>
          </w:p>
        </w:tc>
      </w:tr>
      <w:tr>
        <w:trPr>
          <w:trHeight w:val="249"/>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2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2023</w:t>
            </w:r>
          </w:p>
        </w:tc>
        <w:tc>
          <w:tcPr>
            <w:tcW w:w="66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rPr>
              <w:t>2022</w:t>
            </w:r>
          </w:p>
        </w:tc>
      </w:tr>
      <w:tr>
        <w:trPr>
          <w:trHeight w:val="239"/>
        </w:trPr>
        <w:tc>
          <w:tcPr>
            <w:tcW w:w="4820" w:type="dxa"/>
            <w:vAlign w:val="bottom"/>
          </w:tcPr>
          <w:p>
            <w:pPr>
              <w:ind w:left="20"/>
              <w:spacing w:after="0"/>
              <w:rPr>
                <w:sz w:val="20"/>
                <w:szCs w:val="20"/>
                <w:color w:val="auto"/>
              </w:rPr>
            </w:pPr>
            <w:r>
              <w:rPr>
                <w:rFonts w:ascii="Arial" w:cs="Arial" w:eastAsia="Arial" w:hAnsi="Arial"/>
                <w:sz w:val="18"/>
                <w:szCs w:val="18"/>
                <w:b w:val="1"/>
                <w:bCs w:val="1"/>
                <w:color w:val="auto"/>
              </w:rPr>
              <w:t>Cash and investment securities</w:t>
            </w:r>
          </w:p>
        </w:tc>
        <w:tc>
          <w:tcPr>
            <w:tcW w:w="2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247"/>
        </w:trPr>
        <w:tc>
          <w:tcPr>
            <w:tcW w:w="4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2720" w:type="dxa"/>
            <w:vAlign w:val="bottom"/>
            <w:shd w:val="clear" w:color="auto" w:fill="CFF0FC"/>
          </w:tcPr>
          <w:p>
            <w:pPr>
              <w:jc w:val="right"/>
              <w:ind w:right="125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349</w:t>
            </w:r>
          </w:p>
        </w:tc>
        <w:tc>
          <w:tcPr>
            <w:tcW w:w="4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646</w:t>
            </w:r>
          </w:p>
        </w:tc>
      </w:tr>
      <w:tr>
        <w:trPr>
          <w:trHeight w:val="237"/>
        </w:trPr>
        <w:tc>
          <w:tcPr>
            <w:tcW w:w="4820" w:type="dxa"/>
            <w:vAlign w:val="bottom"/>
          </w:tcPr>
          <w:p>
            <w:pPr>
              <w:ind w:left="20"/>
              <w:spacing w:after="0"/>
              <w:rPr>
                <w:sz w:val="20"/>
                <w:szCs w:val="20"/>
                <w:color w:val="auto"/>
              </w:rPr>
            </w:pPr>
            <w:r>
              <w:rPr>
                <w:rFonts w:ascii="Arial" w:cs="Arial" w:eastAsia="Arial" w:hAnsi="Arial"/>
                <w:sz w:val="18"/>
                <w:szCs w:val="18"/>
                <w:color w:val="auto"/>
              </w:rPr>
              <w:t xml:space="preserve">Restricted investments </w:t>
            </w:r>
            <w:r>
              <w:rPr>
                <w:rFonts w:ascii="Arial" w:cs="Arial" w:eastAsia="Arial" w:hAnsi="Arial"/>
                <w:sz w:val="14"/>
                <w:szCs w:val="14"/>
                <w:color w:val="auto"/>
              </w:rPr>
              <w:t>(a)</w:t>
            </w:r>
          </w:p>
        </w:tc>
        <w:tc>
          <w:tcPr>
            <w:tcW w:w="2720" w:type="dxa"/>
            <w:vAlign w:val="bottom"/>
          </w:tcPr>
          <w:p>
            <w:pPr>
              <w:spacing w:after="0"/>
              <w:rPr>
                <w:sz w:val="20"/>
                <w:szCs w:val="20"/>
                <w:color w:val="auto"/>
              </w:rPr>
            </w:pP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392</w:t>
            </w:r>
          </w:p>
        </w:tc>
        <w:tc>
          <w:tcPr>
            <w:tcW w:w="460" w:type="dxa"/>
            <w:vAlign w:val="bottom"/>
          </w:tcPr>
          <w:p>
            <w:pPr>
              <w:spacing w:after="0"/>
              <w:rPr>
                <w:sz w:val="20"/>
                <w:szCs w:val="20"/>
                <w:color w:val="auto"/>
              </w:rPr>
            </w:pPr>
          </w:p>
        </w:tc>
        <w:tc>
          <w:tcPr>
            <w:tcW w:w="1780" w:type="dxa"/>
            <w:vAlign w:val="bottom"/>
          </w:tcPr>
          <w:p>
            <w:pPr>
              <w:jc w:val="right"/>
              <w:ind w:right="50"/>
              <w:spacing w:after="0"/>
              <w:rPr>
                <w:sz w:val="20"/>
                <w:szCs w:val="20"/>
                <w:color w:val="auto"/>
              </w:rPr>
            </w:pPr>
            <w:r>
              <w:rPr>
                <w:rFonts w:ascii="Arial" w:cs="Arial" w:eastAsia="Arial" w:hAnsi="Arial"/>
                <w:sz w:val="18"/>
                <w:szCs w:val="18"/>
                <w:color w:val="auto"/>
              </w:rPr>
              <w:t>374</w:t>
            </w:r>
          </w:p>
        </w:tc>
      </w:tr>
      <w:tr>
        <w:trPr>
          <w:trHeight w:val="249"/>
        </w:trPr>
        <w:tc>
          <w:tcPr>
            <w:tcW w:w="4820" w:type="dxa"/>
            <w:vAlign w:val="bottom"/>
            <w:shd w:val="clear" w:color="auto" w:fill="CFF0FC"/>
          </w:tcPr>
          <w:p>
            <w:pPr>
              <w:spacing w:after="0"/>
              <w:rPr>
                <w:sz w:val="21"/>
                <w:szCs w:val="21"/>
                <w:color w:val="auto"/>
              </w:rPr>
            </w:pPr>
          </w:p>
        </w:tc>
        <w:tc>
          <w:tcPr>
            <w:tcW w:w="27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780" w:type="dxa"/>
            <w:vAlign w:val="bottom"/>
            <w:shd w:val="clear" w:color="auto" w:fill="CFF0FC"/>
          </w:tcPr>
          <w:p>
            <w:pPr>
              <w:spacing w:after="0"/>
              <w:rPr>
                <w:sz w:val="21"/>
                <w:szCs w:val="21"/>
                <w:color w:val="auto"/>
              </w:rPr>
            </w:pPr>
          </w:p>
        </w:tc>
      </w:tr>
      <w:tr>
        <w:trPr>
          <w:trHeight w:val="239"/>
        </w:trPr>
        <w:tc>
          <w:tcPr>
            <w:tcW w:w="4820" w:type="dxa"/>
            <w:vAlign w:val="bottom"/>
          </w:tcPr>
          <w:p>
            <w:pPr>
              <w:ind w:left="20"/>
              <w:spacing w:after="0"/>
              <w:rPr>
                <w:sz w:val="20"/>
                <w:szCs w:val="20"/>
                <w:color w:val="auto"/>
              </w:rPr>
            </w:pPr>
            <w:r>
              <w:rPr>
                <w:rFonts w:ascii="Arial" w:cs="Arial" w:eastAsia="Arial" w:hAnsi="Arial"/>
                <w:sz w:val="18"/>
                <w:szCs w:val="18"/>
                <w:b w:val="1"/>
                <w:bCs w:val="1"/>
                <w:color w:val="auto"/>
              </w:rPr>
              <w:t>Unused borrowing capacity and liquidity</w:t>
            </w:r>
          </w:p>
        </w:tc>
        <w:tc>
          <w:tcPr>
            <w:tcW w:w="2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247"/>
        </w:trPr>
        <w:tc>
          <w:tcPr>
            <w:tcW w:w="4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Revolving credit facility</w:t>
            </w:r>
          </w:p>
        </w:tc>
        <w:tc>
          <w:tcPr>
            <w:tcW w:w="2720" w:type="dxa"/>
            <w:vAlign w:val="bottom"/>
            <w:shd w:val="clear" w:color="auto" w:fill="CFF0FC"/>
          </w:tcPr>
          <w:p>
            <w:pPr>
              <w:spacing w:after="0"/>
              <w:rPr>
                <w:sz w:val="21"/>
                <w:szCs w:val="21"/>
                <w:color w:val="auto"/>
              </w:rPr>
            </w:pPr>
          </w:p>
        </w:tc>
        <w:tc>
          <w:tcPr>
            <w:tcW w:w="6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593</w:t>
            </w:r>
          </w:p>
        </w:tc>
        <w:tc>
          <w:tcPr>
            <w:tcW w:w="460" w:type="dxa"/>
            <w:vAlign w:val="bottom"/>
            <w:shd w:val="clear" w:color="auto" w:fill="CFF0FC"/>
          </w:tcPr>
          <w:p>
            <w:pPr>
              <w:spacing w:after="0"/>
              <w:rPr>
                <w:sz w:val="21"/>
                <w:szCs w:val="21"/>
                <w:color w:val="auto"/>
              </w:rPr>
            </w:pPr>
          </w:p>
        </w:tc>
        <w:tc>
          <w:tcPr>
            <w:tcW w:w="17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581</w:t>
            </w:r>
          </w:p>
        </w:tc>
      </w:tr>
      <w:tr>
        <w:trPr>
          <w:trHeight w:val="237"/>
        </w:trPr>
        <w:tc>
          <w:tcPr>
            <w:tcW w:w="4820" w:type="dxa"/>
            <w:vAlign w:val="bottom"/>
          </w:tcPr>
          <w:p>
            <w:pPr>
              <w:ind w:left="20"/>
              <w:spacing w:after="0"/>
              <w:rPr>
                <w:sz w:val="20"/>
                <w:szCs w:val="20"/>
                <w:color w:val="auto"/>
              </w:rPr>
            </w:pPr>
            <w:r>
              <w:rPr>
                <w:rFonts w:ascii="Arial" w:cs="Arial" w:eastAsia="Arial" w:hAnsi="Arial"/>
                <w:sz w:val="18"/>
                <w:szCs w:val="18"/>
                <w:color w:val="auto"/>
              </w:rPr>
              <w:t>2018 accounts receivable securitization (foreign)</w:t>
            </w:r>
          </w:p>
        </w:tc>
        <w:tc>
          <w:tcPr>
            <w:tcW w:w="2720" w:type="dxa"/>
            <w:vAlign w:val="bottom"/>
          </w:tcPr>
          <w:p>
            <w:pPr>
              <w:spacing w:after="0"/>
              <w:rPr>
                <w:sz w:val="20"/>
                <w:szCs w:val="20"/>
                <w:color w:val="auto"/>
              </w:rPr>
            </w:pP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109</w:t>
            </w:r>
          </w:p>
        </w:tc>
        <w:tc>
          <w:tcPr>
            <w:tcW w:w="460" w:type="dxa"/>
            <w:vAlign w:val="bottom"/>
          </w:tcPr>
          <w:p>
            <w:pPr>
              <w:spacing w:after="0"/>
              <w:rPr>
                <w:sz w:val="20"/>
                <w:szCs w:val="20"/>
                <w:color w:val="auto"/>
              </w:rPr>
            </w:pPr>
          </w:p>
        </w:tc>
        <w:tc>
          <w:tcPr>
            <w:tcW w:w="1780" w:type="dxa"/>
            <w:vAlign w:val="bottom"/>
          </w:tcPr>
          <w:p>
            <w:pPr>
              <w:jc w:val="right"/>
              <w:ind w:right="50"/>
              <w:spacing w:after="0"/>
              <w:rPr>
                <w:sz w:val="20"/>
                <w:szCs w:val="20"/>
                <w:color w:val="auto"/>
              </w:rPr>
            </w:pPr>
            <w:r>
              <w:rPr>
                <w:rFonts w:ascii="Arial" w:cs="Arial" w:eastAsia="Arial" w:hAnsi="Arial"/>
                <w:sz w:val="18"/>
                <w:szCs w:val="18"/>
                <w:color w:val="auto"/>
              </w:rPr>
              <w:t>99</w:t>
            </w:r>
          </w:p>
        </w:tc>
      </w:tr>
      <w:tr>
        <w:trPr>
          <w:trHeight w:val="249"/>
        </w:trPr>
        <w:tc>
          <w:tcPr>
            <w:tcW w:w="4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Accounts receivable sales program (U.S.)</w:t>
            </w:r>
          </w:p>
        </w:tc>
        <w:tc>
          <w:tcPr>
            <w:tcW w:w="2720" w:type="dxa"/>
            <w:vAlign w:val="bottom"/>
            <w:shd w:val="clear" w:color="auto" w:fill="CFF0FC"/>
          </w:tcPr>
          <w:p>
            <w:pPr>
              <w:spacing w:after="0"/>
              <w:rPr>
                <w:sz w:val="21"/>
                <w:szCs w:val="21"/>
                <w:color w:val="auto"/>
              </w:rPr>
            </w:pPr>
          </w:p>
        </w:tc>
        <w:tc>
          <w:tcPr>
            <w:tcW w:w="6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21"/>
                <w:szCs w:val="21"/>
                <w:color w:val="auto"/>
              </w:rPr>
            </w:pPr>
          </w:p>
        </w:tc>
        <w:tc>
          <w:tcPr>
            <w:tcW w:w="17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149"/>
        </w:trPr>
        <w:tc>
          <w:tcPr>
            <w:tcW w:w="4820" w:type="dxa"/>
            <w:vAlign w:val="bottom"/>
            <w:tcBorders>
              <w:bottom w:val="single" w:sz="8" w:color="auto"/>
            </w:tcBorders>
          </w:tcPr>
          <w:p>
            <w:pPr>
              <w:spacing w:after="0"/>
              <w:rPr>
                <w:sz w:val="12"/>
                <w:szCs w:val="12"/>
                <w:color w:val="auto"/>
              </w:rPr>
            </w:pPr>
          </w:p>
        </w:tc>
        <w:tc>
          <w:tcPr>
            <w:tcW w:w="27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tcPr>
          <w:p>
            <w:pPr>
              <w:spacing w:after="0"/>
              <w:rPr>
                <w:sz w:val="12"/>
                <w:szCs w:val="12"/>
                <w:color w:val="auto"/>
              </w:rPr>
            </w:pPr>
          </w:p>
        </w:tc>
      </w:tr>
    </w:tbl>
    <w:p>
      <w:pPr>
        <w:spacing w:after="0" w:line="89" w:lineRule="exact"/>
        <w:rPr>
          <w:sz w:val="20"/>
          <w:szCs w:val="20"/>
          <w:color w:val="auto"/>
        </w:rPr>
      </w:pPr>
    </w:p>
    <w:p>
      <w:pPr>
        <w:ind w:left="360" w:right="20" w:hanging="358"/>
        <w:spacing w:after="0" w:line="253" w:lineRule="auto"/>
        <w:tabs>
          <w:tab w:leader="none" w:pos="3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Includes $265 million and $245 million related to the Asbestos trust and $127 million and $129 million related to the Environmental trust as of June 30, 2023 and September 30, 2022, respectively.</w:t>
      </w:r>
    </w:p>
    <w:p>
      <w:pPr>
        <w:spacing w:after="0" w:line="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700" w:top="363" w:right="699" w:bottom="1440" w:gutter="0" w:footer="0" w:header="0"/>
        </w:sectPr>
      </w:pPr>
    </w:p>
    <w:bookmarkStart w:id="49" w:name="page50"/>
    <w:bookmarkEnd w:id="49"/>
    <w:p>
      <w:pPr>
        <w:jc w:val="both"/>
        <w:spacing w:after="0" w:line="259" w:lineRule="auto"/>
        <w:rPr>
          <w:sz w:val="20"/>
          <w:szCs w:val="20"/>
          <w:color w:val="auto"/>
        </w:rPr>
      </w:pPr>
      <w:r>
        <w:rPr>
          <w:rFonts w:ascii="Arial" w:cs="Arial" w:eastAsia="Arial" w:hAnsi="Arial"/>
          <w:sz w:val="19"/>
          <w:szCs w:val="19"/>
          <w:color w:val="auto"/>
        </w:rPr>
        <w:t>The borrowing capacity remaining under the 2022 Credit Agreement was $593 million, which reflects the full $600 million Revolving Credit Facility less a reduction of $7 million for letters of credit outstanding at June 30, 2023. In total, Ashland’s available liquidity position, which includes cash, the revolving credit facility and foreign accounts receivable securitization facility, was $1,051 million at June 30, 2023, compared to $1,326 million at September 30, 2022. Ashland had zero available liquidity under the U.S. Accounts Receivable Sales Program as of June 30, 2023. Ashland also maintained $392 million of restricted investments to pay for future asbestos claims and environmental remediation and related litigation.</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Capital resources</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Debt</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The following summary reflects Ashland’s debt as of June 30, 2023 and September 30, 2022.</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244"/>
        </w:trPr>
        <w:tc>
          <w:tcPr>
            <w:tcW w:w="648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June 30</w:t>
            </w:r>
          </w:p>
        </w:tc>
        <w:tc>
          <w:tcPr>
            <w:tcW w:w="64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64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w w:val="99"/>
              </w:rPr>
              <w:t>September 30</w:t>
            </w:r>
          </w:p>
        </w:tc>
      </w:tr>
      <w:tr>
        <w:trPr>
          <w:trHeight w:val="249"/>
        </w:trPr>
        <w:tc>
          <w:tcPr>
            <w:tcW w:w="6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13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2023</w:t>
            </w:r>
          </w:p>
        </w:tc>
        <w:tc>
          <w:tcPr>
            <w:tcW w:w="6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2022</w:t>
            </w:r>
          </w:p>
        </w:tc>
      </w:tr>
      <w:tr>
        <w:trPr>
          <w:trHeight w:val="243"/>
        </w:trPr>
        <w:tc>
          <w:tcPr>
            <w:tcW w:w="6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Short-term debt (includes current portion of long-term debt)</w:t>
            </w:r>
          </w:p>
        </w:tc>
        <w:tc>
          <w:tcPr>
            <w:tcW w:w="1300" w:type="dxa"/>
            <w:vAlign w:val="bottom"/>
            <w:shd w:val="clear" w:color="auto" w:fill="CFF0FC"/>
          </w:tcPr>
          <w:p>
            <w:pPr>
              <w:jc w:val="right"/>
              <w:ind w:right="111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37"/>
        </w:trPr>
        <w:tc>
          <w:tcPr>
            <w:tcW w:w="6480" w:type="dxa"/>
            <w:vAlign w:val="bottom"/>
          </w:tcPr>
          <w:p>
            <w:pPr>
              <w:ind w:left="20"/>
              <w:spacing w:after="0"/>
              <w:rPr>
                <w:sz w:val="20"/>
                <w:szCs w:val="20"/>
                <w:color w:val="auto"/>
              </w:rPr>
            </w:pPr>
            <w:r>
              <w:rPr>
                <w:rFonts w:ascii="Arial" w:cs="Arial" w:eastAsia="Arial" w:hAnsi="Arial"/>
                <w:sz w:val="18"/>
                <w:szCs w:val="18"/>
                <w:color w:val="auto"/>
              </w:rPr>
              <w:t xml:space="preserve">Long-term debt (less current portion and debt issuance cost discounts) </w:t>
            </w:r>
            <w:r>
              <w:rPr>
                <w:rFonts w:ascii="Arial" w:cs="Arial" w:eastAsia="Arial" w:hAnsi="Arial"/>
                <w:sz w:val="14"/>
                <w:szCs w:val="14"/>
                <w:color w:val="auto"/>
              </w:rPr>
              <w:t>(a)</w:t>
            </w:r>
          </w:p>
        </w:tc>
        <w:tc>
          <w:tcPr>
            <w:tcW w:w="13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1,328</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1,270</w:t>
            </w:r>
          </w:p>
        </w:tc>
      </w:tr>
      <w:tr>
        <w:trPr>
          <w:trHeight w:val="276"/>
        </w:trPr>
        <w:tc>
          <w:tcPr>
            <w:tcW w:w="6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debt</w:t>
            </w:r>
          </w:p>
        </w:tc>
        <w:tc>
          <w:tcPr>
            <w:tcW w:w="1300" w:type="dxa"/>
            <w:vAlign w:val="bottom"/>
            <w:tcBorders>
              <w:bottom w:val="single" w:sz="8" w:color="auto"/>
            </w:tcBorders>
            <w:shd w:val="clear" w:color="auto" w:fill="CFF0FC"/>
          </w:tcPr>
          <w:p>
            <w:pPr>
              <w:jc w:val="right"/>
              <w:ind w:right="11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1,328</w:t>
            </w:r>
          </w:p>
        </w:tc>
        <w:tc>
          <w:tcPr>
            <w:tcW w:w="1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1,270</w:t>
            </w:r>
          </w:p>
        </w:tc>
      </w:tr>
      <w:tr>
        <w:trPr>
          <w:trHeight w:val="135"/>
        </w:trPr>
        <w:tc>
          <w:tcPr>
            <w:tcW w:w="648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5361305</wp:posOffset>
            </wp:positionH>
            <wp:positionV relativeFrom="paragraph">
              <wp:posOffset>-128270</wp:posOffset>
            </wp:positionV>
            <wp:extent cx="85725" cy="12890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5725" cy="128905"/>
                    </a:xfrm>
                    <a:prstGeom prst="rect">
                      <a:avLst/>
                    </a:prstGeom>
                    <a:noFill/>
                  </pic:spPr>
                </pic:pic>
              </a:graphicData>
            </a:graphic>
          </wp:anchor>
        </w:drawing>
      </w:r>
    </w:p>
    <w:p>
      <w:pPr>
        <w:spacing w:after="0" w:line="74" w:lineRule="exact"/>
        <w:rPr>
          <w:sz w:val="20"/>
          <w:szCs w:val="20"/>
          <w:color w:val="auto"/>
        </w:rPr>
      </w:pPr>
    </w:p>
    <w:p>
      <w:pPr>
        <w:ind w:left="360" w:hanging="358"/>
        <w:spacing w:after="0"/>
        <w:tabs>
          <w:tab w:leader="none" w:pos="3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Includes $14 million of debt issuance cost discounts as of June 30, 2023 and September 30, 2022</w:t>
      </w:r>
      <w:r>
        <w:rPr>
          <w:rFonts w:ascii="Arial" w:cs="Arial" w:eastAsia="Arial" w:hAnsi="Arial"/>
          <w:sz w:val="17"/>
          <w:szCs w:val="17"/>
          <w:color w:val="auto"/>
        </w:rPr>
        <w:t>,</w:t>
      </w:r>
      <w:r>
        <w:rPr>
          <w:rFonts w:ascii="Arial" w:cs="Arial" w:eastAsia="Arial" w:hAnsi="Arial"/>
          <w:sz w:val="14"/>
          <w:szCs w:val="14"/>
          <w:color w:val="auto"/>
        </w:rPr>
        <w:t xml:space="preserve"> respectively.</w:t>
      </w:r>
    </w:p>
    <w:p>
      <w:pPr>
        <w:spacing w:after="0" w:line="12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Debt as a percent of capital employed was 30% and 28% at June 30, 2023 and at September 30, 2022, respectively. At June 30, 2023, Ashland’s total debt had an outstanding principal balance of $1,376 million, discounts of $34 million, and debt issuance costs of $14 million. Ashland had no long-term debt (excluding debt issuance costs) maturing within the next 4 years and $4 million due in fiscal 2027.</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Ashland credit ratings</w:t>
      </w:r>
    </w:p>
    <w:p>
      <w:pPr>
        <w:spacing w:after="0" w:line="108"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Ashland’s corporate credit ratings remained unchanged at BB+ by Standard &amp; Poor’s and Ba1 by Moody’s Investor Services. As of June 30, 2023, both Moody’s Investor Services and Standard &amp; Poor's outlook remained at stable. Subsequent changes to these ratings or outlook may have an effect on Ashland’s borrowing rate or ability to access capital markets in the future.</w:t>
      </w:r>
    </w:p>
    <w:p>
      <w:pPr>
        <w:spacing w:after="0" w:line="4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Ashland debt covenant restrictions</w:t>
      </w:r>
    </w:p>
    <w:p>
      <w:pPr>
        <w:spacing w:after="0" w:line="10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Ashland's current credit agreement (the 2022 Credit Agreement) contains usual and customary representations, warranties and affirmative and negative covenants, including financial covenants for leverage and interest coverage ratios, limitations on liens, additional subsidiary indebtedness, restrictions on subsidiary distributions, investments, mergers, sale of assets and restricted payments and other customary limitations. As of June 30, 2023, Ashland is in compliance with all debt agreement covenant restrictions under the 2022 Credit Agreement.</w:t>
      </w:r>
    </w:p>
    <w:p>
      <w:pPr>
        <w:spacing w:after="0" w:line="8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maximum consolidated net leverage ratio permitted under the 2022 Credit Agreement is 4.0. The 2022 Credit Agreement defines the consolidated net leverage ratio as the ratio of consolidated indebtedness minus unrestricted cash and cash equivalents to consolidated EBITDA (Covenant Adjusted EBITDA) for any measurement period. In general, the 2022 Credit Agreement defines Covenant Adjusted EBITDA as net income plus consolidated interest charges, taxes, depreciation and amortization expense, fees and expenses related to capital market transactions and proposed or actual acquisitions and divestitures, restructuring and integration charges, noncash stock and equity compensation expense, and any other nonrecurring expenses or losses that do not represent a cash item in such period or any future period; less any noncash gains or other items increasing net income. The computation of Covenant Adjusted EBITDA differs from the calculation of EBITDA and Adjusted EBITDA, which have been reconciled above in the “consolidated review” section. In general, consolidated indebtedness includes debt plus all purchase money indebtedness, banker’s acceptances and bank guaranties, deferred purchase price of property or services, attributable indebtedness and guarantees. At June 30, 2023, Ashland’s calculation of the consolidated net leverage ratio was 1.8.</w:t>
      </w:r>
    </w:p>
    <w:p>
      <w:pPr>
        <w:spacing w:after="0" w:line="62"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The minimum required consolidated interest coverage ratio under the 2022 Credit Agreement is 3.0. The 2022 Credit Agreement defines the consolidated interest coverage ratio as the ratio of Covenant Adjusted EBITDA to consolidated interest charges for any measurement period. At June 30, 2023, Ashland’s calculation of the consolidated interest coverage ratio was 9.9.</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339" w:right="719" w:bottom="1440" w:gutter="0" w:footer="0" w:header="0"/>
        </w:sectPr>
      </w:pPr>
    </w:p>
    <w:bookmarkStart w:id="50" w:name="page51"/>
    <w:bookmarkEnd w:id="50"/>
    <w:p>
      <w:pPr>
        <w:jc w:val="both"/>
        <w:ind w:left="380"/>
        <w:spacing w:after="0" w:line="250" w:lineRule="auto"/>
        <w:rPr>
          <w:sz w:val="20"/>
          <w:szCs w:val="20"/>
          <w:color w:val="auto"/>
        </w:rPr>
      </w:pPr>
      <w:r>
        <w:rPr>
          <w:rFonts w:ascii="Arial" w:cs="Arial" w:eastAsia="Arial" w:hAnsi="Arial"/>
          <w:sz w:val="20"/>
          <w:szCs w:val="20"/>
          <w:color w:val="auto"/>
        </w:rPr>
        <w:t>Any change in Covenant Adjusted EBITDA of $100 million would have an approximate 0.3x effect on the consolidated net leverage ratio and a 1.8x effect on the consolidated interest coverage ratio. The change in consolidated indebtedness of $100 million would affect the consolidated leverage ratio by approximately 0.2x.</w:t>
      </w:r>
    </w:p>
    <w:p>
      <w:pPr>
        <w:spacing w:after="0" w:line="72"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Additional capital resources</w:t>
      </w:r>
    </w:p>
    <w:p>
      <w:pPr>
        <w:spacing w:after="0" w:line="114" w:lineRule="exact"/>
        <w:rPr>
          <w:sz w:val="20"/>
          <w:szCs w:val="20"/>
          <w:color w:val="auto"/>
        </w:rPr>
      </w:pPr>
    </w:p>
    <w:p>
      <w:pPr>
        <w:ind w:left="380"/>
        <w:spacing w:after="0"/>
        <w:rPr>
          <w:sz w:val="20"/>
          <w:szCs w:val="20"/>
          <w:color w:val="auto"/>
        </w:rPr>
      </w:pPr>
      <w:r>
        <w:rPr>
          <w:rFonts w:ascii="Arial" w:cs="Arial" w:eastAsia="Arial" w:hAnsi="Arial"/>
          <w:sz w:val="20"/>
          <w:szCs w:val="20"/>
          <w:i w:val="1"/>
          <w:iCs w:val="1"/>
          <w:color w:val="auto"/>
        </w:rPr>
        <w:t>Ashland cash projection</w:t>
      </w:r>
    </w:p>
    <w:p>
      <w:pPr>
        <w:spacing w:after="0" w:line="108" w:lineRule="exact"/>
        <w:rPr>
          <w:sz w:val="20"/>
          <w:szCs w:val="20"/>
          <w:color w:val="auto"/>
        </w:rPr>
      </w:pPr>
    </w:p>
    <w:p>
      <w:pPr>
        <w:jc w:val="both"/>
        <w:ind w:left="380"/>
        <w:spacing w:after="0" w:line="250" w:lineRule="auto"/>
        <w:rPr>
          <w:sz w:val="20"/>
          <w:szCs w:val="20"/>
          <w:color w:val="auto"/>
        </w:rPr>
      </w:pPr>
      <w:r>
        <w:rPr>
          <w:rFonts w:ascii="Arial" w:cs="Arial" w:eastAsia="Arial" w:hAnsi="Arial"/>
          <w:sz w:val="20"/>
          <w:szCs w:val="20"/>
          <w:color w:val="auto"/>
        </w:rPr>
        <w:t>During the March 31, 2023 quarter, Ashland entered into a new, ten year raw materials contract with the option to terminate in year five. The purchase obligations under the contract are estimated to be roughly $12 million for fiscal 2023, and $209 million thereafter for a total of $221 million for the ten year period.</w:t>
      </w:r>
    </w:p>
    <w:p>
      <w:pPr>
        <w:spacing w:after="0" w:line="78" w:lineRule="exact"/>
        <w:rPr>
          <w:sz w:val="20"/>
          <w:szCs w:val="20"/>
          <w:color w:val="auto"/>
        </w:rPr>
      </w:pPr>
    </w:p>
    <w:p>
      <w:pPr>
        <w:ind w:left="380"/>
        <w:spacing w:after="0"/>
        <w:rPr>
          <w:sz w:val="20"/>
          <w:szCs w:val="20"/>
          <w:color w:val="auto"/>
        </w:rPr>
      </w:pPr>
      <w:r>
        <w:rPr>
          <w:rFonts w:ascii="Arial" w:cs="Arial" w:eastAsia="Arial" w:hAnsi="Arial"/>
          <w:sz w:val="20"/>
          <w:szCs w:val="20"/>
          <w:i w:val="1"/>
          <w:iCs w:val="1"/>
          <w:color w:val="auto"/>
        </w:rPr>
        <w:t>Total equity</w:t>
      </w:r>
    </w:p>
    <w:p>
      <w:pPr>
        <w:spacing w:after="0" w:line="108" w:lineRule="exact"/>
        <w:rPr>
          <w:sz w:val="20"/>
          <w:szCs w:val="20"/>
          <w:color w:val="auto"/>
        </w:rPr>
      </w:pPr>
    </w:p>
    <w:p>
      <w:pPr>
        <w:jc w:val="both"/>
        <w:ind w:left="380"/>
        <w:spacing w:after="0" w:line="246" w:lineRule="auto"/>
        <w:rPr>
          <w:sz w:val="20"/>
          <w:szCs w:val="20"/>
          <w:color w:val="auto"/>
        </w:rPr>
      </w:pPr>
      <w:r>
        <w:rPr>
          <w:rFonts w:ascii="Arial" w:cs="Arial" w:eastAsia="Arial" w:hAnsi="Arial"/>
          <w:sz w:val="20"/>
          <w:szCs w:val="20"/>
          <w:color w:val="auto"/>
        </w:rPr>
        <w:t>Total equity decreased by $71 million since September 30, 2022 to $3,149 million at June 30, 2023. The decrease of $71 million was due to net income of $182 million, compensation expense and common shares issued of $7 million, and $105 million of deferred translation gains offset by stock repurchase activity of $303 million (includes $3 million in excise tax), dividends of $56 million, and losses on commodity hedges of $6 million.</w:t>
      </w:r>
    </w:p>
    <w:p>
      <w:pPr>
        <w:spacing w:after="0" w:line="83" w:lineRule="exact"/>
        <w:rPr>
          <w:sz w:val="20"/>
          <w:szCs w:val="20"/>
          <w:color w:val="auto"/>
        </w:rPr>
      </w:pPr>
    </w:p>
    <w:p>
      <w:pPr>
        <w:ind w:left="380"/>
        <w:spacing w:after="0"/>
        <w:rPr>
          <w:sz w:val="20"/>
          <w:szCs w:val="20"/>
          <w:color w:val="auto"/>
        </w:rPr>
      </w:pPr>
      <w:r>
        <w:rPr>
          <w:rFonts w:ascii="Arial" w:cs="Arial" w:eastAsia="Arial" w:hAnsi="Arial"/>
          <w:sz w:val="20"/>
          <w:szCs w:val="20"/>
          <w:i w:val="1"/>
          <w:iCs w:val="1"/>
          <w:color w:val="auto"/>
        </w:rPr>
        <w:t>2023 Stock Repurchase program</w:t>
      </w:r>
    </w:p>
    <w:p>
      <w:pPr>
        <w:spacing w:after="0" w:line="108" w:lineRule="exact"/>
        <w:rPr>
          <w:sz w:val="20"/>
          <w:szCs w:val="20"/>
          <w:color w:val="auto"/>
        </w:rPr>
      </w:pPr>
    </w:p>
    <w:p>
      <w:pPr>
        <w:jc w:val="both"/>
        <w:ind w:left="380"/>
        <w:spacing w:after="0" w:line="250" w:lineRule="auto"/>
        <w:rPr>
          <w:sz w:val="20"/>
          <w:szCs w:val="20"/>
          <w:color w:val="auto"/>
        </w:rPr>
      </w:pPr>
      <w:r>
        <w:rPr>
          <w:rFonts w:ascii="Arial" w:cs="Arial" w:eastAsia="Arial" w:hAnsi="Arial"/>
          <w:sz w:val="20"/>
          <w:szCs w:val="20"/>
          <w:color w:val="auto"/>
        </w:rPr>
        <w:t>On June 28, 2023, Ashland's board of directors authorized a new evergreen $1 billion common share repurchase program (2023 stock repurchase program). The new authorization terminates and replaces the company's 2022 stock repurchase program, which had $200 million outstanding at the date of termination.</w:t>
      </w:r>
    </w:p>
    <w:p>
      <w:pPr>
        <w:spacing w:after="0" w:line="78" w:lineRule="exact"/>
        <w:rPr>
          <w:sz w:val="20"/>
          <w:szCs w:val="20"/>
          <w:color w:val="auto"/>
        </w:rPr>
      </w:pPr>
    </w:p>
    <w:p>
      <w:pPr>
        <w:ind w:left="380"/>
        <w:spacing w:after="0"/>
        <w:rPr>
          <w:sz w:val="20"/>
          <w:szCs w:val="20"/>
          <w:color w:val="auto"/>
        </w:rPr>
      </w:pPr>
      <w:r>
        <w:rPr>
          <w:rFonts w:ascii="Arial" w:cs="Arial" w:eastAsia="Arial" w:hAnsi="Arial"/>
          <w:sz w:val="20"/>
          <w:szCs w:val="20"/>
          <w:i w:val="1"/>
          <w:iCs w:val="1"/>
          <w:color w:val="auto"/>
        </w:rPr>
        <w:t>Stock repurchase program agreements</w:t>
      </w:r>
    </w:p>
    <w:p>
      <w:pPr>
        <w:spacing w:after="0" w:line="108" w:lineRule="exact"/>
        <w:rPr>
          <w:sz w:val="20"/>
          <w:szCs w:val="20"/>
          <w:color w:val="auto"/>
        </w:rPr>
      </w:pPr>
    </w:p>
    <w:p>
      <w:pPr>
        <w:jc w:val="both"/>
        <w:ind w:left="380"/>
        <w:spacing w:after="0" w:line="250" w:lineRule="auto"/>
        <w:rPr>
          <w:sz w:val="20"/>
          <w:szCs w:val="20"/>
          <w:color w:val="auto"/>
        </w:rPr>
      </w:pPr>
      <w:r>
        <w:rPr>
          <w:rFonts w:ascii="Arial" w:cs="Arial" w:eastAsia="Arial" w:hAnsi="Arial"/>
          <w:sz w:val="20"/>
          <w:szCs w:val="20"/>
          <w:color w:val="auto"/>
        </w:rPr>
        <w:t>During May 2023, under the 2022 stock repurchase program, Ashland initiated a Rule 10b5-1 trading plan agreement to repurchase up to $100 million of its outstanding shares. The program was completed during June 2023, when Ashland paid a total of $100 million and received a delivery of 1.1 million shares of common stock.</w:t>
      </w:r>
    </w:p>
    <w:p>
      <w:pPr>
        <w:spacing w:after="0" w:line="78" w:lineRule="exact"/>
        <w:rPr>
          <w:sz w:val="20"/>
          <w:szCs w:val="20"/>
          <w:color w:val="auto"/>
        </w:rPr>
      </w:pPr>
    </w:p>
    <w:p>
      <w:pPr>
        <w:jc w:val="both"/>
        <w:ind w:left="380"/>
        <w:spacing w:after="0" w:line="250" w:lineRule="auto"/>
        <w:rPr>
          <w:sz w:val="20"/>
          <w:szCs w:val="20"/>
          <w:color w:val="auto"/>
        </w:rPr>
      </w:pPr>
      <w:r>
        <w:rPr>
          <w:rFonts w:ascii="Arial" w:cs="Arial" w:eastAsia="Arial" w:hAnsi="Arial"/>
          <w:sz w:val="20"/>
          <w:szCs w:val="20"/>
          <w:color w:val="auto"/>
        </w:rPr>
        <w:t>During March 2023, under the 2022 stock repurchase program, Ashland inititated a Rule 10b5-1 trading plan agreement to repurchase up to $100 million of its outstanding shares. The program was completed during April 2023, when Ashland paid a total of $100 million and received a delivery of 1.0 million shares of common stock.</w:t>
      </w:r>
    </w:p>
    <w:p>
      <w:pPr>
        <w:spacing w:after="0" w:line="78" w:lineRule="exact"/>
        <w:rPr>
          <w:sz w:val="20"/>
          <w:szCs w:val="20"/>
          <w:color w:val="auto"/>
        </w:rPr>
      </w:pPr>
    </w:p>
    <w:p>
      <w:pPr>
        <w:jc w:val="both"/>
        <w:ind w:left="380"/>
        <w:spacing w:after="0" w:line="269" w:lineRule="auto"/>
        <w:rPr>
          <w:sz w:val="20"/>
          <w:szCs w:val="20"/>
          <w:color w:val="auto"/>
        </w:rPr>
      </w:pPr>
      <w:r>
        <w:rPr>
          <w:rFonts w:ascii="Arial" w:cs="Arial" w:eastAsia="Arial" w:hAnsi="Arial"/>
          <w:sz w:val="19"/>
          <w:szCs w:val="19"/>
          <w:color w:val="auto"/>
        </w:rPr>
        <w:t>During February 2023, under the existing 2022 stock repurchase program, Ashland initiated a Rule 10b5-1 trading plan agreement to repurchase up to $100 million of its outstanding shares. The program was completed during February 2023 when Ashland paid a total of $100 million and received a delivery of 1.0 million shares of common stock.</w:t>
      </w:r>
    </w:p>
    <w:p>
      <w:pPr>
        <w:spacing w:after="0" w:line="62" w:lineRule="exact"/>
        <w:rPr>
          <w:sz w:val="20"/>
          <w:szCs w:val="20"/>
          <w:color w:val="auto"/>
        </w:rPr>
      </w:pPr>
    </w:p>
    <w:p>
      <w:pPr>
        <w:ind w:left="380"/>
        <w:spacing w:after="0"/>
        <w:rPr>
          <w:sz w:val="20"/>
          <w:szCs w:val="20"/>
          <w:color w:val="auto"/>
        </w:rPr>
      </w:pPr>
      <w:r>
        <w:rPr>
          <w:rFonts w:ascii="Arial" w:cs="Arial" w:eastAsia="Arial" w:hAnsi="Arial"/>
          <w:sz w:val="20"/>
          <w:szCs w:val="20"/>
          <w:i w:val="1"/>
          <w:iCs w:val="1"/>
          <w:color w:val="auto"/>
        </w:rPr>
        <w:t>Stockholder dividends</w:t>
      </w:r>
    </w:p>
    <w:p>
      <w:pPr>
        <w:spacing w:after="0" w:line="108" w:lineRule="exact"/>
        <w:rPr>
          <w:sz w:val="20"/>
          <w:szCs w:val="20"/>
          <w:color w:val="auto"/>
        </w:rPr>
      </w:pPr>
    </w:p>
    <w:p>
      <w:pPr>
        <w:jc w:val="both"/>
        <w:ind w:left="380"/>
        <w:spacing w:after="0" w:line="246" w:lineRule="auto"/>
        <w:rPr>
          <w:sz w:val="20"/>
          <w:szCs w:val="20"/>
          <w:color w:val="auto"/>
        </w:rPr>
      </w:pPr>
      <w:r>
        <w:rPr>
          <w:rFonts w:ascii="Arial" w:cs="Arial" w:eastAsia="Arial" w:hAnsi="Arial"/>
          <w:sz w:val="20"/>
          <w:szCs w:val="20"/>
          <w:color w:val="auto"/>
        </w:rPr>
        <w:t>On May 11, 2023, Ashland's Board declared a quarterly cash dividend of $0.385 per share on the company's common stock representing a 15 percent increase from the previous quarter. The dividend was paid in the third quarter of fiscal 2023. Dividends of $0.335 per share were paid in the first and second quarters of fiscal 2023 and the third quarter of fiscal 2022 and $0.30 per share were paid in the first and second quarters of fiscal 2022.</w:t>
      </w:r>
    </w:p>
    <w:p>
      <w:pPr>
        <w:spacing w:after="0" w:line="83" w:lineRule="exact"/>
        <w:rPr>
          <w:sz w:val="20"/>
          <w:szCs w:val="20"/>
          <w:color w:val="auto"/>
        </w:rPr>
      </w:pPr>
    </w:p>
    <w:p>
      <w:pPr>
        <w:ind w:left="380"/>
        <w:spacing w:after="0"/>
        <w:rPr>
          <w:sz w:val="20"/>
          <w:szCs w:val="20"/>
          <w:color w:val="auto"/>
        </w:rPr>
      </w:pPr>
      <w:r>
        <w:rPr>
          <w:rFonts w:ascii="Arial" w:cs="Arial" w:eastAsia="Arial" w:hAnsi="Arial"/>
          <w:sz w:val="20"/>
          <w:szCs w:val="20"/>
          <w:i w:val="1"/>
          <w:iCs w:val="1"/>
          <w:color w:val="auto"/>
        </w:rPr>
        <w:t>Capital expenditures</w:t>
      </w:r>
    </w:p>
    <w:p>
      <w:pPr>
        <w:spacing w:after="0" w:line="108" w:lineRule="exact"/>
        <w:rPr>
          <w:sz w:val="20"/>
          <w:szCs w:val="20"/>
          <w:color w:val="auto"/>
        </w:rPr>
      </w:pPr>
    </w:p>
    <w:p>
      <w:pPr>
        <w:jc w:val="both"/>
        <w:ind w:left="380"/>
        <w:spacing w:after="0" w:line="260" w:lineRule="auto"/>
        <w:rPr>
          <w:sz w:val="20"/>
          <w:szCs w:val="20"/>
          <w:color w:val="auto"/>
        </w:rPr>
      </w:pPr>
      <w:r>
        <w:rPr>
          <w:rFonts w:ascii="Arial" w:cs="Arial" w:eastAsia="Arial" w:hAnsi="Arial"/>
          <w:sz w:val="20"/>
          <w:szCs w:val="20"/>
          <w:color w:val="auto"/>
        </w:rPr>
        <w:t>Capital expenditures were $101 million for the nine months ended June 30, 2023 compared to $67 million for the nine months ended June 30, 2022.</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POLICIES</w:t>
      </w:r>
    </w:p>
    <w:p>
      <w:pPr>
        <w:spacing w:after="0" w:line="114" w:lineRule="exact"/>
        <w:rPr>
          <w:sz w:val="20"/>
          <w:szCs w:val="20"/>
          <w:color w:val="auto"/>
        </w:rPr>
      </w:pPr>
    </w:p>
    <w:p>
      <w:pPr>
        <w:jc w:val="both"/>
        <w:ind w:left="380"/>
        <w:spacing w:after="0" w:line="273" w:lineRule="auto"/>
        <w:rPr>
          <w:sz w:val="20"/>
          <w:szCs w:val="20"/>
          <w:color w:val="auto"/>
        </w:rPr>
      </w:pPr>
      <w:r>
        <w:rPr>
          <w:rFonts w:ascii="Arial" w:cs="Arial" w:eastAsia="Arial" w:hAnsi="Arial"/>
          <w:sz w:val="18"/>
          <w:szCs w:val="18"/>
          <w:color w:val="auto"/>
        </w:rPr>
        <w:t>The preparation of Ashland’s Condensed Consolidated Financial Statements in conformity with U.S. GAAP requires management to make estimates and assumptions that affect the reported amounts of assets, liabilities, sales and expenses, and the disclosures of contingent assets and liabilities. Significant items that are subject to such estimates and assumptions include, but are not limited to, long-lived assets (including goodwill and other intangible assets), income taxes, other liabilities and receivables associated with asbestos litigation and environmental remediation. These accounting policies are discussed in detail in “Management’s Discussion and Analysis – Critical Accounting Policies” in Ashland’s Annual Report on Form 10-K for the fiscal year ended September 30, 2022. Although management bases its estimates on historical experience and various other assumptions that are believed to be reasonable under the circumstances, actual results could differ significantly from the estimates under</w:t>
      </w:r>
    </w:p>
    <w:p>
      <w:pPr>
        <w:spacing w:after="0" w:line="6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447" w:right="719" w:bottom="1440" w:gutter="0" w:footer="0" w:header="0"/>
        </w:sectPr>
      </w:pPr>
    </w:p>
    <w:bookmarkStart w:id="51" w:name="page52"/>
    <w:bookmarkEnd w:id="51"/>
    <w:p>
      <w:pPr>
        <w:jc w:val="both"/>
        <w:ind w:left="380"/>
        <w:spacing w:after="0" w:line="250" w:lineRule="auto"/>
        <w:rPr>
          <w:sz w:val="20"/>
          <w:szCs w:val="20"/>
          <w:color w:val="auto"/>
        </w:rPr>
      </w:pPr>
      <w:r>
        <w:rPr>
          <w:rFonts w:ascii="Arial" w:cs="Arial" w:eastAsia="Arial" w:hAnsi="Arial"/>
          <w:sz w:val="20"/>
          <w:szCs w:val="20"/>
          <w:color w:val="auto"/>
        </w:rPr>
        <w:t>different assumptions or conditions. Management has reviewed the estimates affecting these items with the Audit Committee of Ashland’s Board of Directors. No material changes have been made to the valuation techniques during the nine months ended June 30, 2023.</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OUTLOOK</w:t>
      </w:r>
    </w:p>
    <w:p>
      <w:pPr>
        <w:spacing w:after="0" w:line="114" w:lineRule="exact"/>
        <w:rPr>
          <w:sz w:val="20"/>
          <w:szCs w:val="20"/>
          <w:color w:val="auto"/>
        </w:rPr>
      </w:pPr>
    </w:p>
    <w:p>
      <w:pPr>
        <w:jc w:val="both"/>
        <w:ind w:left="380"/>
        <w:spacing w:after="0" w:line="250" w:lineRule="auto"/>
        <w:rPr>
          <w:sz w:val="20"/>
          <w:szCs w:val="20"/>
          <w:color w:val="auto"/>
        </w:rPr>
      </w:pPr>
      <w:r>
        <w:rPr>
          <w:rFonts w:ascii="Arial" w:cs="Arial" w:eastAsia="Arial" w:hAnsi="Arial"/>
          <w:sz w:val="20"/>
          <w:szCs w:val="20"/>
          <w:color w:val="auto"/>
        </w:rPr>
        <w:t>Based on current forecasting, continued customer de-stocking and external uncertainties for the remainder of the fiscal year, Ashland would expect sales to be in the range of $2.2 billion and Adjusted EBITDA to be in the range of $500 million for fiscal year 2023.</w:t>
      </w:r>
    </w:p>
    <w:p>
      <w:pPr>
        <w:spacing w:after="0" w:line="78" w:lineRule="exact"/>
        <w:rPr>
          <w:sz w:val="20"/>
          <w:szCs w:val="20"/>
          <w:color w:val="auto"/>
        </w:rPr>
      </w:pPr>
    </w:p>
    <w:p>
      <w:pPr>
        <w:jc w:val="both"/>
        <w:ind w:left="380"/>
        <w:spacing w:after="0" w:line="287" w:lineRule="auto"/>
        <w:rPr>
          <w:sz w:val="20"/>
          <w:szCs w:val="20"/>
          <w:color w:val="auto"/>
        </w:rPr>
      </w:pPr>
      <w:r>
        <w:rPr>
          <w:rFonts w:ascii="Arial" w:cs="Arial" w:eastAsia="Arial" w:hAnsi="Arial"/>
          <w:sz w:val="19"/>
          <w:szCs w:val="19"/>
          <w:color w:val="auto"/>
        </w:rPr>
        <w:t>Ashland is unable to reconcile forward-looking adjusted EBITDA to forward-looking net income, the most closely comparable GAAP financial measure, because the information needed to provide such reconciliation would require unreasonable efforts.</w:t>
      </w:r>
    </w:p>
    <w:p>
      <w:pPr>
        <w:spacing w:after="0" w:line="4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447" w:right="719" w:bottom="1440" w:gutter="0" w:footer="0" w:header="0"/>
        </w:sectPr>
      </w:pPr>
    </w:p>
    <w:bookmarkStart w:id="52" w:name="page53"/>
    <w:bookmarkEnd w:id="52"/>
    <w:p>
      <w:pPr>
        <w:spacing w:after="0"/>
        <w:rPr>
          <w:sz w:val="20"/>
          <w:szCs w:val="20"/>
          <w:color w:val="auto"/>
        </w:rPr>
      </w:pPr>
      <w:r>
        <w:rPr>
          <w:rFonts w:ascii="Arial" w:cs="Arial" w:eastAsia="Arial" w:hAnsi="Arial"/>
          <w:sz w:val="20"/>
          <w:szCs w:val="20"/>
          <w:b w:val="1"/>
          <w:bCs w:val="1"/>
          <w:color w:val="auto"/>
        </w:rPr>
        <w:t>ITEM 3. QUANTITATIVE AND QUALITATIVE DISCLOSURES ABOUT MARKET RISK</w:t>
      </w:r>
    </w:p>
    <w:p>
      <w:pPr>
        <w:spacing w:after="0" w:line="114" w:lineRule="exact"/>
        <w:rPr>
          <w:sz w:val="20"/>
          <w:szCs w:val="20"/>
          <w:color w:val="auto"/>
        </w:rPr>
      </w:pPr>
    </w:p>
    <w:p>
      <w:pPr>
        <w:jc w:val="both"/>
        <w:ind w:left="380"/>
        <w:spacing w:after="0" w:line="260" w:lineRule="auto"/>
        <w:rPr>
          <w:sz w:val="20"/>
          <w:szCs w:val="20"/>
          <w:color w:val="auto"/>
        </w:rPr>
      </w:pPr>
      <w:r>
        <w:rPr>
          <w:rFonts w:ascii="Arial" w:cs="Arial" w:eastAsia="Arial" w:hAnsi="Arial"/>
          <w:sz w:val="20"/>
          <w:szCs w:val="20"/>
          <w:color w:val="auto"/>
        </w:rPr>
        <w:t>Ashland’s market risk exposure at June 30, 2023 is generally consistent with the types of market risk exposures presented in Ashland’s Annual Report on Form 10-K for the fiscal year ended September 30, 2022.</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CONTROLS AND PROCEDURES</w:t>
      </w:r>
    </w:p>
    <w:p>
      <w:pPr>
        <w:spacing w:after="0" w:line="114" w:lineRule="exact"/>
        <w:rPr>
          <w:sz w:val="20"/>
          <w:szCs w:val="20"/>
          <w:color w:val="auto"/>
        </w:rPr>
      </w:pPr>
    </w:p>
    <w:p>
      <w:pPr>
        <w:jc w:val="both"/>
        <w:ind w:left="380"/>
        <w:spacing w:after="0" w:line="278" w:lineRule="auto"/>
        <w:rPr>
          <w:sz w:val="20"/>
          <w:szCs w:val="20"/>
          <w:color w:val="auto"/>
        </w:rPr>
      </w:pPr>
      <w:r>
        <w:rPr>
          <w:rFonts w:ascii="Arial" w:cs="Arial" w:eastAsia="Arial" w:hAnsi="Arial"/>
          <w:sz w:val="18"/>
          <w:szCs w:val="18"/>
          <w:i w:val="1"/>
          <w:iCs w:val="1"/>
          <w:color w:val="auto"/>
        </w:rPr>
        <w:t xml:space="preserve">Disclosure Controls and Procedures </w:t>
      </w:r>
      <w:r>
        <w:rPr>
          <w:rFonts w:ascii="Arial" w:cs="Arial" w:eastAsia="Arial" w:hAnsi="Arial"/>
          <w:sz w:val="18"/>
          <w:szCs w:val="18"/>
          <w:color w:val="auto"/>
        </w:rPr>
        <w:t>- As of the end of the period covered by this quarterly report, Ashland, under the supervision</w:t>
      </w:r>
      <w:r>
        <w:rPr>
          <w:rFonts w:ascii="Arial" w:cs="Arial" w:eastAsia="Arial" w:hAnsi="Arial"/>
          <w:sz w:val="18"/>
          <w:szCs w:val="18"/>
          <w:i w:val="1"/>
          <w:iCs w:val="1"/>
          <w:color w:val="auto"/>
        </w:rPr>
        <w:t xml:space="preserve"> </w:t>
      </w:r>
      <w:r>
        <w:rPr>
          <w:rFonts w:ascii="Arial" w:cs="Arial" w:eastAsia="Arial" w:hAnsi="Arial"/>
          <w:sz w:val="18"/>
          <w:szCs w:val="18"/>
          <w:color w:val="auto"/>
        </w:rPr>
        <w:t>and with the participation of its management, including Ashland’s Chief Executive Officer and its Chief Financial Officer, evaluated the effectiveness of Ashland’s disclosure controls and procedures pursuant to Rule 13a-15(b) and 15d-15(b) promulgated under the Securities Exchange Act of 1934, as amended. Based upon that evaluation, the Chief Executive Officer and Chief Financial Officer concluded that the disclosure controls and procedures were effective as of June 30, 2023.</w:t>
      </w:r>
    </w:p>
    <w:p>
      <w:pPr>
        <w:spacing w:after="0" w:line="57" w:lineRule="exact"/>
        <w:rPr>
          <w:sz w:val="20"/>
          <w:szCs w:val="20"/>
          <w:color w:val="auto"/>
        </w:rPr>
      </w:pPr>
    </w:p>
    <w:p>
      <w:pPr>
        <w:jc w:val="both"/>
        <w:ind w:left="380"/>
        <w:spacing w:after="0" w:line="246" w:lineRule="auto"/>
        <w:rPr>
          <w:sz w:val="20"/>
          <w:szCs w:val="20"/>
          <w:color w:val="auto"/>
        </w:rPr>
      </w:pPr>
      <w:r>
        <w:rPr>
          <w:rFonts w:ascii="Arial" w:cs="Arial" w:eastAsia="Arial" w:hAnsi="Arial"/>
          <w:sz w:val="20"/>
          <w:szCs w:val="20"/>
          <w:i w:val="1"/>
          <w:iCs w:val="1"/>
          <w:color w:val="auto"/>
        </w:rPr>
        <w:t xml:space="preserve">Changes in Internal Control over Financial Reporting </w:t>
      </w:r>
      <w:r>
        <w:rPr>
          <w:rFonts w:ascii="Arial" w:cs="Arial" w:eastAsia="Arial" w:hAnsi="Arial"/>
          <w:sz w:val="20"/>
          <w:szCs w:val="20"/>
          <w:color w:val="auto"/>
        </w:rPr>
        <w:t>- During the three months ended June 30, 2023, there were no significant</w:t>
      </w:r>
      <w:r>
        <w:rPr>
          <w:rFonts w:ascii="Arial" w:cs="Arial" w:eastAsia="Arial" w:hAnsi="Arial"/>
          <w:sz w:val="20"/>
          <w:szCs w:val="20"/>
          <w:i w:val="1"/>
          <w:iCs w:val="1"/>
          <w:color w:val="auto"/>
        </w:rPr>
        <w:t xml:space="preserve"> </w:t>
      </w:r>
      <w:r>
        <w:rPr>
          <w:rFonts w:ascii="Arial" w:cs="Arial" w:eastAsia="Arial" w:hAnsi="Arial"/>
          <w:sz w:val="20"/>
          <w:szCs w:val="20"/>
          <w:color w:val="auto"/>
        </w:rPr>
        <w:t>changes in Ashland's internal control over financial reporting, or in other factors, that occurred during the period covered by this quarterly report that have materially affected, or are reasonably likely to materially affect, Ashland's internal control over financial reporting.</w:t>
      </w:r>
    </w:p>
    <w:p>
      <w:pPr>
        <w:spacing w:after="0" w:line="200" w:lineRule="exact"/>
        <w:rPr>
          <w:sz w:val="20"/>
          <w:szCs w:val="20"/>
          <w:color w:val="auto"/>
        </w:rPr>
      </w:pPr>
    </w:p>
    <w:p>
      <w:pPr>
        <w:spacing w:after="0" w:line="21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333" w:right="719" w:bottom="1440" w:gutter="0" w:footer="0" w:header="0"/>
        </w:sectPr>
      </w:pPr>
    </w:p>
    <w:bookmarkStart w:id="53" w:name="page54"/>
    <w:bookmarkEnd w:id="53"/>
    <w:p>
      <w:pPr>
        <w:jc w:val="center"/>
        <w:ind w:right="-379"/>
        <w:spacing w:after="0"/>
        <w:rPr>
          <w:sz w:val="20"/>
          <w:szCs w:val="20"/>
          <w:color w:val="auto"/>
        </w:rPr>
      </w:pPr>
      <w:r>
        <w:rPr>
          <w:rFonts w:ascii="Arial" w:cs="Arial" w:eastAsia="Arial" w:hAnsi="Arial"/>
          <w:sz w:val="20"/>
          <w:szCs w:val="20"/>
          <w:b w:val="1"/>
          <w:bCs w:val="1"/>
          <w:color w:val="auto"/>
        </w:rPr>
        <w:t>PART II – OTHER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LEGAL PROCEEDINGS</w:t>
      </w:r>
    </w:p>
    <w:p>
      <w:pPr>
        <w:spacing w:after="0" w:line="114" w:lineRule="exact"/>
        <w:rPr>
          <w:sz w:val="20"/>
          <w:szCs w:val="20"/>
          <w:color w:val="auto"/>
        </w:rPr>
      </w:pPr>
    </w:p>
    <w:p>
      <w:pPr>
        <w:jc w:val="both"/>
        <w:ind w:left="380"/>
        <w:spacing w:after="0" w:line="316" w:lineRule="auto"/>
        <w:rPr>
          <w:sz w:val="20"/>
          <w:szCs w:val="20"/>
          <w:color w:val="auto"/>
        </w:rPr>
      </w:pPr>
      <w:r>
        <w:rPr>
          <w:rFonts w:ascii="Arial" w:cs="Arial" w:eastAsia="Arial" w:hAnsi="Arial"/>
          <w:sz w:val="18"/>
          <w:szCs w:val="18"/>
          <w:color w:val="auto"/>
        </w:rPr>
        <w:t>The following is a description of Ashland’s material legal proceedings. Ashland’s threshold for disclosing material environmental legal proceedings involving a governmental authority where potential monetary sanctions are involved is $1 million.</w:t>
      </w:r>
    </w:p>
    <w:p>
      <w:pPr>
        <w:spacing w:after="0" w:line="22" w:lineRule="exact"/>
        <w:rPr>
          <w:sz w:val="20"/>
          <w:szCs w:val="20"/>
          <w:color w:val="auto"/>
        </w:rPr>
      </w:pPr>
    </w:p>
    <w:p>
      <w:pPr>
        <w:ind w:left="380"/>
        <w:spacing w:after="0"/>
        <w:rPr>
          <w:sz w:val="20"/>
          <w:szCs w:val="20"/>
          <w:color w:val="auto"/>
        </w:rPr>
      </w:pPr>
      <w:r>
        <w:rPr>
          <w:rFonts w:ascii="Arial" w:cs="Arial" w:eastAsia="Arial" w:hAnsi="Arial"/>
          <w:sz w:val="20"/>
          <w:szCs w:val="20"/>
          <w:b w:val="1"/>
          <w:bCs w:val="1"/>
          <w:i w:val="1"/>
          <w:iCs w:val="1"/>
          <w:color w:val="auto"/>
        </w:rPr>
        <w:t>Asbestos-Related Litigation</w:t>
      </w:r>
    </w:p>
    <w:p>
      <w:pPr>
        <w:spacing w:after="0" w:line="108" w:lineRule="exact"/>
        <w:rPr>
          <w:sz w:val="20"/>
          <w:szCs w:val="20"/>
          <w:color w:val="auto"/>
        </w:rPr>
      </w:pPr>
    </w:p>
    <w:p>
      <w:pPr>
        <w:jc w:val="both"/>
        <w:ind w:left="380"/>
        <w:spacing w:after="0" w:line="246" w:lineRule="auto"/>
        <w:rPr>
          <w:sz w:val="20"/>
          <w:szCs w:val="20"/>
          <w:color w:val="auto"/>
        </w:rPr>
      </w:pPr>
      <w:r>
        <w:rPr>
          <w:rFonts w:ascii="Arial" w:cs="Arial" w:eastAsia="Arial" w:hAnsi="Arial"/>
          <w:sz w:val="20"/>
          <w:szCs w:val="20"/>
          <w:color w:val="auto"/>
        </w:rPr>
        <w:t>Ashland is subject to liabilities from claims alleging personal injury caused by exposure to asbestos. Such claims result primarily from indemnification obligations undertaken in 1990 in connection with the sale of Riley Stoker Corporation (Riley), a former subsidiary. Although Riley was neither a producer nor a manufacturer of asbestos, its industrial boilers contained some asbestos-containing components provided by other companies.</w:t>
      </w:r>
    </w:p>
    <w:p>
      <w:pPr>
        <w:spacing w:after="0" w:line="83" w:lineRule="exact"/>
        <w:rPr>
          <w:sz w:val="20"/>
          <w:szCs w:val="20"/>
          <w:color w:val="auto"/>
        </w:rPr>
      </w:pPr>
    </w:p>
    <w:p>
      <w:pPr>
        <w:jc w:val="both"/>
        <w:ind w:left="380"/>
        <w:spacing w:after="0" w:line="291" w:lineRule="auto"/>
        <w:rPr>
          <w:sz w:val="20"/>
          <w:szCs w:val="20"/>
          <w:color w:val="auto"/>
        </w:rPr>
      </w:pPr>
      <w:r>
        <w:rPr>
          <w:rFonts w:ascii="Arial" w:cs="Arial" w:eastAsia="Arial" w:hAnsi="Arial"/>
          <w:sz w:val="18"/>
          <w:szCs w:val="18"/>
          <w:color w:val="auto"/>
        </w:rPr>
        <w:t>Hercules LLC (formerly Hercules Incorporated), an indirect wholly-owned subsidiary of Ashland, is also subject to liabilities from asbestos-related personal injury lawsuits involving claims which typically arise from alleged exposure to asbestos fibers from resin encapsulated pipe and tank products which were sold by one of Hercules’ former subsidiaries to a limited industrial market.</w:t>
      </w:r>
    </w:p>
    <w:p>
      <w:pPr>
        <w:spacing w:after="0" w:line="44" w:lineRule="exact"/>
        <w:rPr>
          <w:sz w:val="20"/>
          <w:szCs w:val="20"/>
          <w:color w:val="auto"/>
        </w:rPr>
      </w:pPr>
    </w:p>
    <w:p>
      <w:pPr>
        <w:jc w:val="both"/>
        <w:ind w:left="380"/>
        <w:spacing w:after="0" w:line="260" w:lineRule="auto"/>
        <w:rPr>
          <w:sz w:val="20"/>
          <w:szCs w:val="20"/>
          <w:color w:val="auto"/>
        </w:rPr>
      </w:pPr>
      <w:r>
        <w:rPr>
          <w:rFonts w:ascii="Arial" w:cs="Arial" w:eastAsia="Arial" w:hAnsi="Arial"/>
          <w:sz w:val="20"/>
          <w:szCs w:val="20"/>
          <w:color w:val="auto"/>
        </w:rPr>
        <w:t>Ashland and Hercules are also defendants in lawsuits alleging exposure to asbestos at facilities formerly or presently owned or operated by Ashland or Hercules.</w:t>
      </w:r>
    </w:p>
    <w:p>
      <w:pPr>
        <w:spacing w:after="0" w:line="69" w:lineRule="exact"/>
        <w:rPr>
          <w:sz w:val="20"/>
          <w:szCs w:val="20"/>
          <w:color w:val="auto"/>
        </w:rPr>
      </w:pPr>
    </w:p>
    <w:p>
      <w:pPr>
        <w:jc w:val="both"/>
        <w:ind w:left="380"/>
        <w:spacing w:after="0" w:line="260" w:lineRule="auto"/>
        <w:rPr>
          <w:sz w:val="20"/>
          <w:szCs w:val="20"/>
          <w:color w:val="auto"/>
        </w:rPr>
      </w:pPr>
      <w:r>
        <w:rPr>
          <w:rFonts w:ascii="Arial" w:cs="Arial" w:eastAsia="Arial" w:hAnsi="Arial"/>
          <w:sz w:val="20"/>
          <w:szCs w:val="20"/>
          <w:color w:val="auto"/>
        </w:rPr>
        <w:t>For additional detailed information regarding liabilities arising from asbestos-related litigation, see Note L of Notes to Condensed Consolidated Financial Statements in this quarterly report on Form 10-Q.</w:t>
      </w:r>
    </w:p>
    <w:p>
      <w:pPr>
        <w:spacing w:after="0" w:line="69" w:lineRule="exact"/>
        <w:rPr>
          <w:sz w:val="20"/>
          <w:szCs w:val="20"/>
          <w:color w:val="auto"/>
        </w:rPr>
      </w:pPr>
    </w:p>
    <w:p>
      <w:pPr>
        <w:ind w:left="380"/>
        <w:spacing w:after="0"/>
        <w:rPr>
          <w:sz w:val="20"/>
          <w:szCs w:val="20"/>
          <w:color w:val="auto"/>
        </w:rPr>
      </w:pPr>
      <w:r>
        <w:rPr>
          <w:rFonts w:ascii="Arial" w:cs="Arial" w:eastAsia="Arial" w:hAnsi="Arial"/>
          <w:sz w:val="20"/>
          <w:szCs w:val="20"/>
          <w:b w:val="1"/>
          <w:bCs w:val="1"/>
          <w:i w:val="1"/>
          <w:iCs w:val="1"/>
          <w:color w:val="auto"/>
        </w:rPr>
        <w:t>Environmental Proceedings</w:t>
      </w:r>
    </w:p>
    <w:p>
      <w:pPr>
        <w:spacing w:after="0" w:line="108" w:lineRule="exact"/>
        <w:rPr>
          <w:sz w:val="20"/>
          <w:szCs w:val="20"/>
          <w:color w:val="auto"/>
        </w:rPr>
      </w:pPr>
    </w:p>
    <w:p>
      <w:pPr>
        <w:jc w:val="both"/>
        <w:ind w:left="380" w:firstLine="2"/>
        <w:spacing w:after="0" w:line="255" w:lineRule="auto"/>
        <w:tabs>
          <w:tab w:leader="none" w:pos="667" w:val="left"/>
        </w:tabs>
        <w:numPr>
          <w:ilvl w:val="0"/>
          <w:numId w:val="41"/>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CERCLA and Similar State Law Sites - </w:t>
      </w:r>
      <w:r>
        <w:rPr>
          <w:rFonts w:ascii="Arial" w:cs="Arial" w:eastAsia="Arial" w:hAnsi="Arial"/>
          <w:sz w:val="19"/>
          <w:szCs w:val="19"/>
          <w:color w:val="auto"/>
        </w:rPr>
        <w:t>Under the Comprehensive Environmental Response, Compensation and Liability Act of</w:t>
      </w:r>
      <w:r>
        <w:rPr>
          <w:rFonts w:ascii="Arial" w:cs="Arial" w:eastAsia="Arial" w:hAnsi="Arial"/>
          <w:sz w:val="19"/>
          <w:szCs w:val="19"/>
          <w:i w:val="1"/>
          <w:iCs w:val="1"/>
          <w:color w:val="auto"/>
        </w:rPr>
        <w:t xml:space="preserve"> </w:t>
      </w:r>
      <w:r>
        <w:rPr>
          <w:rFonts w:ascii="Arial" w:cs="Arial" w:eastAsia="Arial" w:hAnsi="Arial"/>
          <w:sz w:val="19"/>
          <w:szCs w:val="19"/>
          <w:color w:val="auto"/>
        </w:rPr>
        <w:t>1980 and similar state laws, Ashland and its subsidiaries may be subject to joint and several liability for cleanup costs in connection with alleged releases of hazardous substances at sites where it has been identified as a “potentially responsible party” (PRP). As of June 30, 2023, Ashland and its subsidiaries have been identified as a PRP by U.S. federal and state authorities, or by private parties seeking contribution, for the cost of environmental investigation and/or cleanup at 57 sites. These sites are currently subject to ongoing investigation and remedial activities, overseen by the United States Environmental Protection Agency (USEPA) or a state agency, in which Ashland or its subsidiaries are typically participating as a member of a PRP group. Generally, the types of relief sought include remediation of contaminated soil and/or groundwater, reimbursement for past costs of site cleanup and administrative oversight and/or long-term monitoring of environmental conditions at the sites. The ultimate costs are not predictable with assurance.</w:t>
      </w:r>
    </w:p>
    <w:p>
      <w:pPr>
        <w:spacing w:after="0" w:line="81" w:lineRule="exact"/>
        <w:rPr>
          <w:rFonts w:ascii="Arial" w:cs="Arial" w:eastAsia="Arial" w:hAnsi="Arial"/>
          <w:sz w:val="19"/>
          <w:szCs w:val="19"/>
          <w:i w:val="1"/>
          <w:iCs w:val="1"/>
          <w:color w:val="auto"/>
        </w:rPr>
      </w:pPr>
    </w:p>
    <w:p>
      <w:pPr>
        <w:jc w:val="both"/>
        <w:ind w:left="380" w:firstLine="2"/>
        <w:spacing w:after="0" w:line="270" w:lineRule="auto"/>
        <w:tabs>
          <w:tab w:leader="none" w:pos="686" w:val="left"/>
        </w:tabs>
        <w:numPr>
          <w:ilvl w:val="0"/>
          <w:numId w:val="4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Lower Passaic River, New Jersey Matters - </w:t>
      </w:r>
      <w:r>
        <w:rPr>
          <w:rFonts w:ascii="Arial" w:cs="Arial" w:eastAsia="Arial" w:hAnsi="Arial"/>
          <w:sz w:val="18"/>
          <w:szCs w:val="18"/>
          <w:color w:val="auto"/>
        </w:rPr>
        <w:t>Ashland, through two formerly owned facilities, and ISP, through a now-closed</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 have been identified as PRPs, along with approximately 70 other companies (the Cooperating Parties Group or the CPG), in a May 2007 Administrative Order of Consent (AOC) with the USEPA. The parties are required to perform a remedial investigation and feasibility study (RI/FS) of the entire 17 miles of the Passaic River. In June 2007, the USEPA separately commenced a Focused Feasibility Study (FFS) as an interim measure. In accordance with the 2007 AOC, in June 2012 the CPG voluntarily entered into another AOC for an interim removal action focused solely at mile 10.9 of the Passaic River. The allocations for the 2007 AOC and the 2012 removal action are based on interim allocations, are immaterial and have been accrued. In April 2014, the USEPA released the FFS. The CPG submitted the Draft RI/FS Report on April 30, 2015. The USEPA has released the FFS Record of Decision for the lower 8 miles and recently reached an agreement with another chemical company to conduct and pay for the remedial design. This chemical company has sued Ashland, ISP and numerous other defendants to recover past and future costs pursuant to the CERCLA. Ashland, ISP and numerous other defendants have filed a Motion to Dismiss all of the claims. Ashland and ISP are participating in an USEPA allocation process. The release of the FFS Record of Decision, the current allocations proceedings and the lawsuit are not expected to be material to Ashland.</w:t>
      </w:r>
    </w:p>
    <w:p>
      <w:pPr>
        <w:spacing w:after="0" w:line="64" w:lineRule="exact"/>
        <w:rPr>
          <w:sz w:val="20"/>
          <w:szCs w:val="20"/>
          <w:color w:val="auto"/>
        </w:rPr>
      </w:pPr>
    </w:p>
    <w:p>
      <w:pPr>
        <w:ind w:left="380"/>
        <w:spacing w:after="0" w:line="260" w:lineRule="auto"/>
        <w:rPr>
          <w:sz w:val="20"/>
          <w:szCs w:val="20"/>
          <w:color w:val="auto"/>
        </w:rPr>
      </w:pPr>
      <w:r>
        <w:rPr>
          <w:rFonts w:ascii="Arial" w:cs="Arial" w:eastAsia="Arial" w:hAnsi="Arial"/>
          <w:sz w:val="20"/>
          <w:szCs w:val="20"/>
          <w:color w:val="auto"/>
        </w:rPr>
        <w:t>For additional information regarding environmental matters and reserves, see Note L of Notes to Condensed Consolidated Financial Statements in this quarterly report on Form 10-Q.</w:t>
      </w:r>
    </w:p>
    <w:p>
      <w:pPr>
        <w:spacing w:after="0" w:line="7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333" w:right="719" w:bottom="1440" w:gutter="0" w:footer="0" w:header="0"/>
        </w:sectPr>
      </w:pPr>
    </w:p>
    <w:bookmarkStart w:id="54" w:name="page55"/>
    <w:bookmarkEnd w:id="54"/>
    <w:p>
      <w:pPr>
        <w:spacing w:after="0"/>
        <w:rPr>
          <w:sz w:val="20"/>
          <w:szCs w:val="20"/>
          <w:color w:val="auto"/>
        </w:rPr>
      </w:pPr>
      <w:r>
        <w:rPr>
          <w:rFonts w:ascii="Arial" w:cs="Arial" w:eastAsia="Arial" w:hAnsi="Arial"/>
          <w:sz w:val="20"/>
          <w:szCs w:val="20"/>
          <w:b w:val="1"/>
          <w:bCs w:val="1"/>
          <w:i w:val="1"/>
          <w:iCs w:val="1"/>
          <w:color w:val="auto"/>
        </w:rPr>
        <w:t>Other Pending Legal Proceedings</w:t>
      </w:r>
    </w:p>
    <w:p>
      <w:pPr>
        <w:spacing w:after="0" w:line="108"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In addition to the matters described above, there are other various claims, lawsuits and administrative proceedings pending or threatened against Ashland and its current and former subsidiaries. Such actions are with respect to commercial matters, product liability, toxic tort liability and other environmental matters which seek remedies or damages, some of which are for substantial amounts. While Ashland cannot predict with certainty the outcome of such actions, it believes that adequate reserves have been recorded and losses already recognized with respect to such actions were immaterial as of June 30, 2023. There is a reasonable possibility that a loss exceeding amounts already recognized may be incurred related to these actions; however, Ashland believes that such potential losses were immaterial as of June 30, 2023.</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447" w:right="719" w:bottom="1440" w:gutter="0" w:footer="0" w:header="0"/>
        </w:sectPr>
      </w:pPr>
    </w:p>
    <w:bookmarkStart w:id="55" w:name="page56"/>
    <w:bookmarkEnd w:id="55"/>
    <w:p>
      <w:pPr>
        <w:spacing w:after="0"/>
        <w:rPr>
          <w:sz w:val="20"/>
          <w:szCs w:val="20"/>
          <w:color w:val="auto"/>
        </w:rPr>
      </w:pPr>
      <w:r>
        <w:rPr>
          <w:rFonts w:ascii="Arial" w:cs="Arial" w:eastAsia="Arial" w:hAnsi="Arial"/>
          <w:sz w:val="20"/>
          <w:szCs w:val="20"/>
          <w:b w:val="1"/>
          <w:bCs w:val="1"/>
          <w:color w:val="auto"/>
        </w:rPr>
        <w:t>ITEM 1A. RISK FACTORS</w:t>
      </w:r>
    </w:p>
    <w:p>
      <w:pPr>
        <w:spacing w:after="0" w:line="114" w:lineRule="exact"/>
        <w:rPr>
          <w:sz w:val="20"/>
          <w:szCs w:val="20"/>
          <w:color w:val="auto"/>
        </w:rPr>
      </w:pPr>
    </w:p>
    <w:p>
      <w:pPr>
        <w:ind w:left="380" w:right="40"/>
        <w:spacing w:after="0" w:line="260" w:lineRule="auto"/>
        <w:rPr>
          <w:sz w:val="20"/>
          <w:szCs w:val="20"/>
          <w:color w:val="auto"/>
        </w:rPr>
      </w:pPr>
      <w:r>
        <w:rPr>
          <w:rFonts w:ascii="Arial" w:cs="Arial" w:eastAsia="Arial" w:hAnsi="Arial"/>
          <w:sz w:val="20"/>
          <w:szCs w:val="20"/>
          <w:color w:val="auto"/>
        </w:rPr>
        <w:t>During the period covered by this report, there were no material changes from the risk factors previously disclosed in Ashland’s Annual Report on Form 10-K for the fiscal year ended September 30, 2022.</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UNREGISTERED SALES OF EQUITY SECURITIES AND USE OF PROCEEDS</w:t>
      </w:r>
    </w:p>
    <w:p>
      <w:pPr>
        <w:spacing w:after="0" w:line="114" w:lineRule="exact"/>
        <w:rPr>
          <w:sz w:val="20"/>
          <w:szCs w:val="20"/>
          <w:color w:val="auto"/>
        </w:rPr>
      </w:pPr>
    </w:p>
    <w:p>
      <w:pPr>
        <w:ind w:left="380"/>
        <w:spacing w:after="0"/>
        <w:rPr>
          <w:sz w:val="20"/>
          <w:szCs w:val="20"/>
          <w:color w:val="auto"/>
        </w:rPr>
      </w:pPr>
      <w:r>
        <w:rPr>
          <w:rFonts w:ascii="Arial" w:cs="Arial" w:eastAsia="Arial" w:hAnsi="Arial"/>
          <w:sz w:val="20"/>
          <w:szCs w:val="20"/>
          <w:color w:val="auto"/>
        </w:rPr>
        <w:t>Share repurchase activity during the three months ended June 30, 2023 was as follow:</w:t>
      </w:r>
    </w:p>
    <w:p>
      <w:pPr>
        <w:spacing w:after="0" w:line="145" w:lineRule="exact"/>
        <w:rPr>
          <w:sz w:val="20"/>
          <w:szCs w:val="20"/>
          <w:color w:val="auto"/>
        </w:rPr>
      </w:pPr>
    </w:p>
    <w:tbl>
      <w:tblPr>
        <w:tblLayout w:type="fixed"/>
        <w:tblInd w:w="340" w:type="dxa"/>
        <w:tblCellMar>
          <w:top w:w="0" w:type="dxa"/>
          <w:left w:w="0" w:type="dxa"/>
          <w:bottom w:w="0" w:type="dxa"/>
          <w:right w:w="0" w:type="dxa"/>
        </w:tblCellMar>
      </w:tblPr>
      <w:tr>
        <w:trPr>
          <w:trHeight w:val="244"/>
        </w:trPr>
        <w:tc>
          <w:tcPr>
            <w:tcW w:w="3700" w:type="dxa"/>
            <w:vAlign w:val="bottom"/>
            <w:tcBorders>
              <w:top w:val="single" w:sz="8" w:color="auto"/>
            </w:tcBorders>
          </w:tcPr>
          <w:p>
            <w:pPr>
              <w:spacing w:after="0"/>
              <w:rPr>
                <w:sz w:val="21"/>
                <w:szCs w:val="21"/>
                <w:color w:val="auto"/>
              </w:rPr>
            </w:pPr>
          </w:p>
        </w:tc>
        <w:tc>
          <w:tcPr>
            <w:tcW w:w="3360" w:type="dxa"/>
            <w:vAlign w:val="bottom"/>
            <w:tcBorders>
              <w:top w:val="single" w:sz="8" w:color="auto"/>
            </w:tcBorders>
            <w:gridSpan w:val="3"/>
          </w:tcPr>
          <w:p>
            <w:pPr>
              <w:jc w:val="right"/>
              <w:ind w:right="410"/>
              <w:spacing w:after="0"/>
              <w:rPr>
                <w:sz w:val="20"/>
                <w:szCs w:val="20"/>
                <w:color w:val="auto"/>
              </w:rPr>
            </w:pPr>
            <w:r>
              <w:rPr>
                <w:rFonts w:ascii="Arial" w:cs="Arial" w:eastAsia="Arial" w:hAnsi="Arial"/>
                <w:sz w:val="18"/>
                <w:szCs w:val="18"/>
                <w:color w:val="auto"/>
                <w:w w:val="95"/>
              </w:rPr>
              <w:t>Issuer Purchases of Equity Securities</w:t>
            </w:r>
          </w:p>
        </w:tc>
        <w:tc>
          <w:tcPr>
            <w:tcW w:w="176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r>
      <w:tr>
        <w:trPr>
          <w:trHeight w:val="228"/>
        </w:trPr>
        <w:tc>
          <w:tcPr>
            <w:tcW w:w="37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center"/>
              <w:ind w:right="170"/>
              <w:spacing w:after="0"/>
              <w:rPr>
                <w:sz w:val="20"/>
                <w:szCs w:val="20"/>
                <w:color w:val="auto"/>
              </w:rPr>
            </w:pPr>
            <w:r>
              <w:rPr>
                <w:rFonts w:ascii="Arial" w:cs="Arial" w:eastAsia="Arial" w:hAnsi="Arial"/>
                <w:sz w:val="18"/>
                <w:szCs w:val="18"/>
                <w:color w:val="auto"/>
                <w:w w:val="94"/>
              </w:rPr>
              <w:t>Dollar Value of</w:t>
            </w:r>
          </w:p>
        </w:tc>
      </w:tr>
      <w:tr>
        <w:trPr>
          <w:trHeight w:val="216"/>
        </w:trPr>
        <w:tc>
          <w:tcPr>
            <w:tcW w:w="37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760" w:type="dxa"/>
            <w:vAlign w:val="bottom"/>
          </w:tcPr>
          <w:p>
            <w:pPr>
              <w:jc w:val="center"/>
              <w:ind w:right="30"/>
              <w:spacing w:after="0"/>
              <w:rPr>
                <w:sz w:val="20"/>
                <w:szCs w:val="20"/>
                <w:color w:val="auto"/>
              </w:rPr>
            </w:pPr>
            <w:r>
              <w:rPr>
                <w:rFonts w:ascii="Arial" w:cs="Arial" w:eastAsia="Arial" w:hAnsi="Arial"/>
                <w:sz w:val="18"/>
                <w:szCs w:val="18"/>
                <w:color w:val="auto"/>
                <w:w w:val="92"/>
              </w:rPr>
              <w:t>Total Number of</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center"/>
              <w:ind w:right="170"/>
              <w:spacing w:after="0"/>
              <w:rPr>
                <w:sz w:val="20"/>
                <w:szCs w:val="20"/>
                <w:color w:val="auto"/>
              </w:rPr>
            </w:pPr>
            <w:r>
              <w:rPr>
                <w:rFonts w:ascii="Arial" w:cs="Arial" w:eastAsia="Arial" w:hAnsi="Arial"/>
                <w:sz w:val="18"/>
                <w:szCs w:val="18"/>
                <w:color w:val="auto"/>
                <w:w w:val="88"/>
              </w:rPr>
              <w:t>Shares that May</w:t>
            </w:r>
          </w:p>
        </w:tc>
      </w:tr>
      <w:tr>
        <w:trPr>
          <w:trHeight w:val="216"/>
        </w:trPr>
        <w:tc>
          <w:tcPr>
            <w:tcW w:w="37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center"/>
              <w:ind w:right="310"/>
              <w:spacing w:after="0"/>
              <w:rPr>
                <w:sz w:val="20"/>
                <w:szCs w:val="20"/>
                <w:color w:val="auto"/>
              </w:rPr>
            </w:pPr>
            <w:r>
              <w:rPr>
                <w:rFonts w:ascii="Arial" w:cs="Arial" w:eastAsia="Arial" w:hAnsi="Arial"/>
                <w:sz w:val="18"/>
                <w:szCs w:val="18"/>
                <w:color w:val="auto"/>
                <w:w w:val="88"/>
              </w:rPr>
              <w:t>Average Price</w:t>
            </w:r>
          </w:p>
        </w:tc>
        <w:tc>
          <w:tcPr>
            <w:tcW w:w="1760" w:type="dxa"/>
            <w:vAlign w:val="bottom"/>
          </w:tcPr>
          <w:p>
            <w:pPr>
              <w:jc w:val="center"/>
              <w:ind w:right="50"/>
              <w:spacing w:after="0"/>
              <w:rPr>
                <w:sz w:val="20"/>
                <w:szCs w:val="20"/>
                <w:color w:val="auto"/>
              </w:rPr>
            </w:pPr>
            <w:r>
              <w:rPr>
                <w:rFonts w:ascii="Arial" w:cs="Arial" w:eastAsia="Arial" w:hAnsi="Arial"/>
                <w:sz w:val="18"/>
                <w:szCs w:val="18"/>
                <w:color w:val="auto"/>
                <w:w w:val="85"/>
              </w:rPr>
              <w:t>Shares Purchased</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center"/>
              <w:ind w:right="170"/>
              <w:spacing w:after="0"/>
              <w:rPr>
                <w:sz w:val="20"/>
                <w:szCs w:val="20"/>
                <w:color w:val="auto"/>
              </w:rPr>
            </w:pPr>
            <w:r>
              <w:rPr>
                <w:rFonts w:ascii="Arial" w:cs="Arial" w:eastAsia="Arial" w:hAnsi="Arial"/>
                <w:sz w:val="18"/>
                <w:szCs w:val="18"/>
                <w:color w:val="auto"/>
                <w:w w:val="88"/>
              </w:rPr>
              <w:t>Be Purchased</w:t>
            </w:r>
          </w:p>
        </w:tc>
      </w:tr>
      <w:tr>
        <w:trPr>
          <w:trHeight w:val="216"/>
        </w:trPr>
        <w:tc>
          <w:tcPr>
            <w:tcW w:w="37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center"/>
              <w:ind w:right="290"/>
              <w:spacing w:after="0"/>
              <w:rPr>
                <w:sz w:val="20"/>
                <w:szCs w:val="20"/>
                <w:color w:val="auto"/>
              </w:rPr>
            </w:pPr>
            <w:r>
              <w:rPr>
                <w:rFonts w:ascii="Arial" w:cs="Arial" w:eastAsia="Arial" w:hAnsi="Arial"/>
                <w:sz w:val="18"/>
                <w:szCs w:val="18"/>
                <w:color w:val="auto"/>
                <w:w w:val="86"/>
              </w:rPr>
              <w:t>Paid Per Share,</w:t>
            </w:r>
          </w:p>
        </w:tc>
        <w:tc>
          <w:tcPr>
            <w:tcW w:w="1760" w:type="dxa"/>
            <w:vAlign w:val="bottom"/>
          </w:tcPr>
          <w:p>
            <w:pPr>
              <w:jc w:val="center"/>
              <w:ind w:right="30"/>
              <w:spacing w:after="0"/>
              <w:rPr>
                <w:sz w:val="20"/>
                <w:szCs w:val="20"/>
                <w:color w:val="auto"/>
              </w:rPr>
            </w:pPr>
            <w:r>
              <w:rPr>
                <w:rFonts w:ascii="Arial" w:cs="Arial" w:eastAsia="Arial" w:hAnsi="Arial"/>
                <w:sz w:val="18"/>
                <w:szCs w:val="18"/>
                <w:color w:val="auto"/>
                <w:w w:val="91"/>
              </w:rPr>
              <w:t>as Part of Publicly</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center"/>
              <w:ind w:right="170"/>
              <w:spacing w:after="0"/>
              <w:rPr>
                <w:sz w:val="20"/>
                <w:szCs w:val="20"/>
                <w:color w:val="auto"/>
              </w:rPr>
            </w:pPr>
            <w:r>
              <w:rPr>
                <w:rFonts w:ascii="Arial" w:cs="Arial" w:eastAsia="Arial" w:hAnsi="Arial"/>
                <w:sz w:val="18"/>
                <w:szCs w:val="18"/>
                <w:color w:val="auto"/>
                <w:w w:val="89"/>
              </w:rPr>
              <w:t>Under the Plans</w:t>
            </w:r>
          </w:p>
        </w:tc>
      </w:tr>
      <w:tr>
        <w:trPr>
          <w:trHeight w:val="216"/>
        </w:trPr>
        <w:tc>
          <w:tcPr>
            <w:tcW w:w="3700" w:type="dxa"/>
            <w:vAlign w:val="bottom"/>
          </w:tcPr>
          <w:p>
            <w:pPr>
              <w:spacing w:after="0"/>
              <w:rPr>
                <w:sz w:val="18"/>
                <w:szCs w:val="18"/>
                <w:color w:val="auto"/>
              </w:rPr>
            </w:pPr>
          </w:p>
        </w:tc>
        <w:tc>
          <w:tcPr>
            <w:tcW w:w="1540" w:type="dxa"/>
            <w:vAlign w:val="bottom"/>
          </w:tcPr>
          <w:p>
            <w:pPr>
              <w:jc w:val="right"/>
              <w:ind w:right="150"/>
              <w:spacing w:after="0"/>
              <w:rPr>
                <w:sz w:val="20"/>
                <w:szCs w:val="20"/>
                <w:color w:val="auto"/>
              </w:rPr>
            </w:pPr>
            <w:r>
              <w:rPr>
                <w:rFonts w:ascii="Arial" w:cs="Arial" w:eastAsia="Arial" w:hAnsi="Arial"/>
                <w:sz w:val="18"/>
                <w:szCs w:val="18"/>
                <w:color w:val="auto"/>
                <w:w w:val="99"/>
              </w:rPr>
              <w:t>Total Number of</w:t>
            </w:r>
          </w:p>
        </w:tc>
        <w:tc>
          <w:tcPr>
            <w:tcW w:w="260" w:type="dxa"/>
            <w:vAlign w:val="bottom"/>
          </w:tcPr>
          <w:p>
            <w:pPr>
              <w:spacing w:after="0"/>
              <w:rPr>
                <w:sz w:val="18"/>
                <w:szCs w:val="18"/>
                <w:color w:val="auto"/>
              </w:rPr>
            </w:pPr>
          </w:p>
        </w:tc>
        <w:tc>
          <w:tcPr>
            <w:tcW w:w="1560" w:type="dxa"/>
            <w:vAlign w:val="bottom"/>
          </w:tcPr>
          <w:p>
            <w:pPr>
              <w:jc w:val="center"/>
              <w:ind w:right="310"/>
              <w:spacing w:after="0"/>
              <w:rPr>
                <w:sz w:val="20"/>
                <w:szCs w:val="20"/>
                <w:color w:val="auto"/>
              </w:rPr>
            </w:pPr>
            <w:r>
              <w:rPr>
                <w:rFonts w:ascii="Arial" w:cs="Arial" w:eastAsia="Arial" w:hAnsi="Arial"/>
                <w:sz w:val="18"/>
                <w:szCs w:val="18"/>
                <w:color w:val="auto"/>
                <w:w w:val="95"/>
              </w:rPr>
              <w:t>including</w:t>
            </w:r>
          </w:p>
        </w:tc>
        <w:tc>
          <w:tcPr>
            <w:tcW w:w="1760" w:type="dxa"/>
            <w:vAlign w:val="bottom"/>
          </w:tcPr>
          <w:p>
            <w:pPr>
              <w:jc w:val="center"/>
              <w:ind w:right="50"/>
              <w:spacing w:after="0"/>
              <w:rPr>
                <w:sz w:val="20"/>
                <w:szCs w:val="20"/>
                <w:color w:val="auto"/>
              </w:rPr>
            </w:pPr>
            <w:r>
              <w:rPr>
                <w:rFonts w:ascii="Arial" w:cs="Arial" w:eastAsia="Arial" w:hAnsi="Arial"/>
                <w:sz w:val="18"/>
                <w:szCs w:val="18"/>
                <w:color w:val="auto"/>
                <w:w w:val="89"/>
              </w:rPr>
              <w:t>Announced Plans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center"/>
              <w:ind w:right="170"/>
              <w:spacing w:after="0"/>
              <w:rPr>
                <w:sz w:val="20"/>
                <w:szCs w:val="20"/>
                <w:color w:val="auto"/>
              </w:rPr>
            </w:pPr>
            <w:r>
              <w:rPr>
                <w:rFonts w:ascii="Arial" w:cs="Arial" w:eastAsia="Arial" w:hAnsi="Arial"/>
                <w:sz w:val="18"/>
                <w:szCs w:val="18"/>
                <w:color w:val="auto"/>
                <w:w w:val="88"/>
              </w:rPr>
              <w:t>or Programs</w:t>
            </w:r>
          </w:p>
        </w:tc>
      </w:tr>
      <w:tr>
        <w:trPr>
          <w:trHeight w:val="244"/>
        </w:trPr>
        <w:tc>
          <w:tcPr>
            <w:tcW w:w="3700" w:type="dxa"/>
            <w:vAlign w:val="bottom"/>
          </w:tcPr>
          <w:p>
            <w:pPr>
              <w:ind w:left="1140"/>
              <w:spacing w:after="0"/>
              <w:rPr>
                <w:sz w:val="20"/>
                <w:szCs w:val="20"/>
                <w:color w:val="auto"/>
              </w:rPr>
            </w:pPr>
            <w:r>
              <w:rPr>
                <w:rFonts w:ascii="Arial" w:cs="Arial" w:eastAsia="Arial" w:hAnsi="Arial"/>
                <w:sz w:val="18"/>
                <w:szCs w:val="18"/>
                <w:color w:val="auto"/>
              </w:rPr>
              <w:t>Q3 Fiscal Periods</w:t>
            </w:r>
          </w:p>
        </w:tc>
        <w:tc>
          <w:tcPr>
            <w:tcW w:w="15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89"/>
              </w:rPr>
              <w:t>Shares Purchased</w:t>
            </w:r>
          </w:p>
        </w:tc>
        <w:tc>
          <w:tcPr>
            <w:tcW w:w="2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color w:val="auto"/>
                <w:w w:val="92"/>
              </w:rPr>
              <w:t>commission</w:t>
            </w:r>
          </w:p>
        </w:tc>
        <w:tc>
          <w:tcPr>
            <w:tcW w:w="17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8"/>
              </w:rPr>
              <w:t>or Programs</w:t>
            </w:r>
          </w:p>
        </w:tc>
        <w:tc>
          <w:tcPr>
            <w:tcW w:w="14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2"/>
          </w:tcPr>
          <w:p>
            <w:pPr>
              <w:jc w:val="center"/>
              <w:ind w:right="50"/>
              <w:spacing w:after="0"/>
              <w:rPr>
                <w:sz w:val="20"/>
                <w:szCs w:val="20"/>
                <w:color w:val="auto"/>
              </w:rPr>
            </w:pPr>
            <w:r>
              <w:rPr>
                <w:rFonts w:ascii="Arial" w:cs="Arial" w:eastAsia="Arial" w:hAnsi="Arial"/>
                <w:sz w:val="18"/>
                <w:szCs w:val="18"/>
                <w:color w:val="auto"/>
                <w:w w:val="96"/>
              </w:rPr>
              <w:t xml:space="preserve">(in millions) </w:t>
            </w:r>
            <w:r>
              <w:rPr>
                <w:rFonts w:ascii="Arial" w:cs="Arial" w:eastAsia="Arial" w:hAnsi="Arial"/>
                <w:sz w:val="14"/>
                <w:szCs w:val="14"/>
                <w:color w:val="auto"/>
                <w:w w:val="96"/>
              </w:rPr>
              <w:t>(a) (b)</w:t>
            </w:r>
          </w:p>
        </w:tc>
      </w:tr>
      <w:tr>
        <w:trPr>
          <w:trHeight w:val="237"/>
        </w:trPr>
        <w:tc>
          <w:tcPr>
            <w:tcW w:w="3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April 1, 2023 to April 30, 2023</w:t>
            </w:r>
          </w:p>
        </w:tc>
        <w:tc>
          <w:tcPr>
            <w:tcW w:w="15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465,735</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102.41</w:t>
            </w:r>
          </w:p>
        </w:tc>
        <w:tc>
          <w:tcPr>
            <w:tcW w:w="17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465,735</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300</w:t>
            </w:r>
          </w:p>
        </w:tc>
      </w:tr>
      <w:tr>
        <w:trPr>
          <w:trHeight w:val="237"/>
        </w:trPr>
        <w:tc>
          <w:tcPr>
            <w:tcW w:w="3700" w:type="dxa"/>
            <w:vAlign w:val="bottom"/>
          </w:tcPr>
          <w:p>
            <w:pPr>
              <w:ind w:left="20"/>
              <w:spacing w:after="0"/>
              <w:rPr>
                <w:sz w:val="20"/>
                <w:szCs w:val="20"/>
                <w:color w:val="auto"/>
              </w:rPr>
            </w:pPr>
            <w:r>
              <w:rPr>
                <w:rFonts w:ascii="Arial" w:cs="Arial" w:eastAsia="Arial" w:hAnsi="Arial"/>
                <w:sz w:val="18"/>
                <w:szCs w:val="18"/>
                <w:color w:val="auto"/>
              </w:rPr>
              <w:t>May 1, 2023 to May 31, 2023</w:t>
            </w: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968,196</w:t>
            </w:r>
          </w:p>
        </w:tc>
        <w:tc>
          <w:tcPr>
            <w:tcW w:w="260" w:type="dxa"/>
            <w:vAlign w:val="bottom"/>
          </w:tcPr>
          <w:p>
            <w:pPr>
              <w:spacing w:after="0"/>
              <w:rPr>
                <w:sz w:val="20"/>
                <w:szCs w:val="20"/>
                <w:color w:val="auto"/>
              </w:rPr>
            </w:pPr>
          </w:p>
        </w:tc>
        <w:tc>
          <w:tcPr>
            <w:tcW w:w="1560" w:type="dxa"/>
            <w:vAlign w:val="bottom"/>
          </w:tcPr>
          <w:p>
            <w:pPr>
              <w:jc w:val="right"/>
              <w:ind w:right="190"/>
              <w:spacing w:after="0"/>
              <w:rPr>
                <w:sz w:val="20"/>
                <w:szCs w:val="20"/>
                <w:color w:val="auto"/>
              </w:rPr>
            </w:pPr>
            <w:r>
              <w:rPr>
                <w:rFonts w:ascii="Arial" w:cs="Arial" w:eastAsia="Arial" w:hAnsi="Arial"/>
                <w:sz w:val="18"/>
                <w:szCs w:val="18"/>
                <w:color w:val="auto"/>
              </w:rPr>
              <w:t>88.82</w:t>
            </w:r>
          </w:p>
        </w:tc>
        <w:tc>
          <w:tcPr>
            <w:tcW w:w="1760" w:type="dxa"/>
            <w:vAlign w:val="bottom"/>
          </w:tcPr>
          <w:p>
            <w:pPr>
              <w:jc w:val="right"/>
              <w:ind w:right="50"/>
              <w:spacing w:after="0"/>
              <w:rPr>
                <w:sz w:val="20"/>
                <w:szCs w:val="20"/>
                <w:color w:val="auto"/>
              </w:rPr>
            </w:pPr>
            <w:r>
              <w:rPr>
                <w:rFonts w:ascii="Arial" w:cs="Arial" w:eastAsia="Arial" w:hAnsi="Arial"/>
                <w:sz w:val="18"/>
                <w:szCs w:val="18"/>
                <w:color w:val="auto"/>
              </w:rPr>
              <w:t>968,196</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214</w:t>
            </w:r>
          </w:p>
        </w:tc>
      </w:tr>
      <w:tr>
        <w:trPr>
          <w:trHeight w:val="249"/>
        </w:trPr>
        <w:tc>
          <w:tcPr>
            <w:tcW w:w="3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June 1, 2023 to June 30, 2023</w:t>
            </w:r>
          </w:p>
        </w:tc>
        <w:tc>
          <w:tcPr>
            <w:tcW w:w="15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160,746</w:t>
            </w:r>
          </w:p>
        </w:tc>
        <w:tc>
          <w:tcPr>
            <w:tcW w:w="260" w:type="dxa"/>
            <w:vAlign w:val="bottom"/>
            <w:tcBorders>
              <w:bottom w:val="single" w:sz="8" w:color="CFF0FC"/>
            </w:tcBorders>
            <w:shd w:val="clear" w:color="auto" w:fill="CFF0FC"/>
          </w:tcPr>
          <w:p>
            <w:pPr>
              <w:spacing w:after="0"/>
              <w:rPr>
                <w:sz w:val="21"/>
                <w:szCs w:val="21"/>
                <w:color w:val="auto"/>
              </w:rPr>
            </w:pPr>
          </w:p>
        </w:tc>
        <w:tc>
          <w:tcPr>
            <w:tcW w:w="1560" w:type="dxa"/>
            <w:vAlign w:val="bottom"/>
            <w:tcBorders>
              <w:bottom w:val="single" w:sz="8" w:color="CFF0FC"/>
            </w:tcBorders>
            <w:shd w:val="clear" w:color="auto" w:fill="CFF0FC"/>
          </w:tcPr>
          <w:p>
            <w:pPr>
              <w:jc w:val="right"/>
              <w:ind w:right="190"/>
              <w:spacing w:after="0"/>
              <w:rPr>
                <w:sz w:val="20"/>
                <w:szCs w:val="20"/>
                <w:color w:val="auto"/>
              </w:rPr>
            </w:pPr>
            <w:r>
              <w:rPr>
                <w:rFonts w:ascii="Arial" w:cs="Arial" w:eastAsia="Arial" w:hAnsi="Arial"/>
                <w:sz w:val="18"/>
                <w:szCs w:val="18"/>
                <w:color w:val="auto"/>
              </w:rPr>
              <w:t>87.12</w:t>
            </w:r>
          </w:p>
        </w:tc>
        <w:tc>
          <w:tcPr>
            <w:tcW w:w="17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160,746</w:t>
            </w: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1,000</w:t>
            </w:r>
          </w:p>
        </w:tc>
      </w:tr>
      <w:tr>
        <w:trPr>
          <w:trHeight w:val="230"/>
        </w:trPr>
        <w:tc>
          <w:tcPr>
            <w:tcW w:w="3700" w:type="dxa"/>
            <w:vAlign w:val="bottom"/>
          </w:tcPr>
          <w:p>
            <w:pPr>
              <w:ind w:left="380"/>
              <w:spacing w:after="0"/>
              <w:rPr>
                <w:sz w:val="20"/>
                <w:szCs w:val="20"/>
                <w:color w:val="auto"/>
              </w:rPr>
            </w:pPr>
            <w:r>
              <w:rPr>
                <w:rFonts w:ascii="Arial" w:cs="Arial" w:eastAsia="Arial" w:hAnsi="Arial"/>
                <w:sz w:val="18"/>
                <w:szCs w:val="18"/>
                <w:color w:val="auto"/>
              </w:rPr>
              <w:t>Total</w:t>
            </w: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1,594,677</w:t>
            </w:r>
          </w:p>
        </w:tc>
        <w:tc>
          <w:tcPr>
            <w:tcW w:w="2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760" w:type="dxa"/>
            <w:vAlign w:val="bottom"/>
          </w:tcPr>
          <w:p>
            <w:pPr>
              <w:jc w:val="right"/>
              <w:ind w:right="50"/>
              <w:spacing w:after="0"/>
              <w:rPr>
                <w:sz w:val="20"/>
                <w:szCs w:val="20"/>
                <w:color w:val="auto"/>
              </w:rPr>
            </w:pPr>
            <w:r>
              <w:rPr>
                <w:rFonts w:ascii="Arial" w:cs="Arial" w:eastAsia="Arial" w:hAnsi="Arial"/>
                <w:sz w:val="18"/>
                <w:szCs w:val="18"/>
                <w:color w:val="auto"/>
              </w:rPr>
              <w:t>1,594,677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1,000</w:t>
            </w:r>
          </w:p>
        </w:tc>
      </w:tr>
      <w:tr>
        <w:trPr>
          <w:trHeight w:val="20"/>
        </w:trPr>
        <w:tc>
          <w:tcPr>
            <w:tcW w:w="37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r>
        <w:trPr>
          <w:trHeight w:val="149"/>
        </w:trPr>
        <w:tc>
          <w:tcPr>
            <w:tcW w:w="370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-299720</wp:posOffset>
            </wp:positionV>
            <wp:extent cx="85725" cy="3003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5725" cy="3003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-299720</wp:posOffset>
            </wp:positionV>
            <wp:extent cx="93980" cy="3003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93980" cy="300355"/>
                    </a:xfrm>
                    <a:prstGeom prst="rect">
                      <a:avLst/>
                    </a:prstGeom>
                    <a:noFill/>
                  </pic:spPr>
                </pic:pic>
              </a:graphicData>
            </a:graphic>
          </wp:anchor>
        </w:drawing>
      </w:r>
    </w:p>
    <w:p>
      <w:pPr>
        <w:spacing w:after="0" w:line="69" w:lineRule="exact"/>
        <w:rPr>
          <w:sz w:val="20"/>
          <w:szCs w:val="20"/>
          <w:color w:val="auto"/>
        </w:rPr>
      </w:pPr>
    </w:p>
    <w:p>
      <w:pPr>
        <w:jc w:val="both"/>
        <w:ind w:left="740" w:right="40" w:hanging="358"/>
        <w:spacing w:after="0" w:line="233" w:lineRule="auto"/>
        <w:tabs>
          <w:tab w:leader="none" w:pos="7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During May 2022, Ashland’s Board of Directors approved a new evergreen $500 million stock repurchase program which replaced the previous stock repurchase program. Ashland’s stock repurchase program does not obligate it to acquire any specific number of shares. Under the program, shares may be repurchased in privately negotiated and/or open market transactions, including under plans complying with Rule 10b5-1 of the Exchange Act. As of June 30, 2023, $200 million remained available for repurchase under this authorization prior to the initiation of the 2023 stock repurchase program noted below in (b).</w:t>
      </w:r>
    </w:p>
    <w:p>
      <w:pPr>
        <w:spacing w:after="0" w:line="76" w:lineRule="exact"/>
        <w:rPr>
          <w:rFonts w:ascii="Arial" w:cs="Arial" w:eastAsia="Arial" w:hAnsi="Arial"/>
          <w:sz w:val="14"/>
          <w:szCs w:val="14"/>
          <w:color w:val="auto"/>
        </w:rPr>
      </w:pPr>
    </w:p>
    <w:p>
      <w:pPr>
        <w:ind w:left="740" w:right="40" w:hanging="358"/>
        <w:spacing w:after="0" w:line="253" w:lineRule="auto"/>
        <w:tabs>
          <w:tab w:leader="none" w:pos="7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On June 28, 2023, Ashland's board of directors authorized a new evergreen $1 billion common share repurchase program (2023 stock repurchase program). The new authorization terminates and replaces the company's 2022 stock repurchase program, which had $200 million outstanding at the date of termination.</w:t>
      </w:r>
    </w:p>
    <w:p>
      <w:pPr>
        <w:spacing w:after="0" w:line="169" w:lineRule="exact"/>
        <w:rPr>
          <w:sz w:val="20"/>
          <w:szCs w:val="20"/>
          <w:color w:val="auto"/>
        </w:rPr>
      </w:pPr>
    </w:p>
    <w:p>
      <w:pPr>
        <w:jc w:val="right"/>
        <w:ind w:right="7900"/>
        <w:spacing w:after="0"/>
        <w:rPr>
          <w:sz w:val="20"/>
          <w:szCs w:val="20"/>
          <w:color w:val="auto"/>
        </w:rPr>
      </w:pPr>
      <w:r>
        <w:rPr>
          <w:rFonts w:ascii="Arial" w:cs="Arial" w:eastAsia="Arial" w:hAnsi="Arial"/>
          <w:sz w:val="20"/>
          <w:szCs w:val="20"/>
          <w:b w:val="1"/>
          <w:bCs w:val="1"/>
          <w:color w:val="auto"/>
        </w:rPr>
        <w:t>ITEM 5. OTHER INFORMATION</w:t>
      </w:r>
    </w:p>
    <w:p>
      <w:pPr>
        <w:spacing w:after="0" w:line="108" w:lineRule="exact"/>
        <w:rPr>
          <w:sz w:val="20"/>
          <w:szCs w:val="20"/>
          <w:color w:val="auto"/>
        </w:rPr>
      </w:pPr>
    </w:p>
    <w:p>
      <w:pPr>
        <w:jc w:val="right"/>
        <w:ind w:right="7940"/>
        <w:spacing w:after="0"/>
        <w:rPr>
          <w:sz w:val="20"/>
          <w:szCs w:val="20"/>
          <w:color w:val="auto"/>
        </w:rPr>
      </w:pPr>
      <w:r>
        <w:rPr>
          <w:rFonts w:ascii="Arial" w:cs="Arial" w:eastAsia="Arial" w:hAnsi="Arial"/>
          <w:sz w:val="20"/>
          <w:szCs w:val="20"/>
          <w:b w:val="1"/>
          <w:bCs w:val="1"/>
          <w:color w:val="auto"/>
        </w:rPr>
        <w:t>Insider Trading Arrangements</w:t>
      </w:r>
    </w:p>
    <w:p>
      <w:pPr>
        <w:spacing w:after="0" w:line="114" w:lineRule="exact"/>
        <w:rPr>
          <w:sz w:val="20"/>
          <w:szCs w:val="20"/>
          <w:color w:val="auto"/>
        </w:rPr>
      </w:pPr>
    </w:p>
    <w:p>
      <w:pPr>
        <w:ind w:left="380" w:right="40"/>
        <w:spacing w:after="0" w:line="260" w:lineRule="auto"/>
        <w:rPr>
          <w:sz w:val="20"/>
          <w:szCs w:val="20"/>
          <w:color w:val="auto"/>
        </w:rPr>
      </w:pPr>
      <w:r>
        <w:rPr>
          <w:rFonts w:ascii="Arial" w:cs="Arial" w:eastAsia="Arial" w:hAnsi="Arial"/>
          <w:sz w:val="20"/>
          <w:szCs w:val="20"/>
          <w:color w:val="auto"/>
        </w:rPr>
        <w:t>During the three months ended June 30, 2023, none of the Company's directors or officers adopted, modified or terminated a Rule 10b5-1 plan or a non-Rule 10b5-1 trading arrangement</w:t>
      </w:r>
      <w:r>
        <w:rPr>
          <w:rFonts w:ascii="Arial" w:cs="Arial" w:eastAsia="Arial" w:hAnsi="Arial"/>
          <w:sz w:val="20"/>
          <w:szCs w:val="20"/>
          <w:i w:val="1"/>
          <w:iCs w:val="1"/>
          <w:color w:val="auto"/>
        </w:rPr>
        <w:t>.</w:t>
      </w:r>
    </w:p>
    <w:p>
      <w:pPr>
        <w:spacing w:after="0" w:line="7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549" w:right="679" w:bottom="1440" w:gutter="0" w:footer="0" w:header="0"/>
        </w:sectPr>
      </w:pPr>
    </w:p>
    <w:bookmarkStart w:id="56" w:name="page57"/>
    <w:bookmarkEnd w:id="56"/>
    <w:p>
      <w:pPr>
        <w:spacing w:after="0"/>
        <w:rPr>
          <w:sz w:val="20"/>
          <w:szCs w:val="20"/>
          <w:color w:val="auto"/>
        </w:rPr>
      </w:pPr>
      <w:r>
        <w:rPr>
          <w:rFonts w:ascii="Arial" w:cs="Arial" w:eastAsia="Arial" w:hAnsi="Arial"/>
          <w:sz w:val="20"/>
          <w:szCs w:val="20"/>
          <w:b w:val="1"/>
          <w:bCs w:val="1"/>
          <w:color w:val="auto"/>
        </w:rPr>
        <w:t>ITEM 6. EXHIBITS</w:t>
      </w:r>
    </w:p>
    <w:p>
      <w:pPr>
        <w:spacing w:after="0" w:line="168" w:lineRule="exact"/>
        <w:rPr>
          <w:sz w:val="20"/>
          <w:szCs w:val="20"/>
          <w:color w:val="auto"/>
        </w:rPr>
      </w:pPr>
    </w:p>
    <w:p>
      <w:pPr>
        <w:ind w:left="20"/>
        <w:spacing w:after="0"/>
        <w:rPr>
          <w:sz w:val="20"/>
          <w:szCs w:val="20"/>
          <w:color w:val="auto"/>
        </w:rPr>
      </w:pPr>
      <w:r>
        <w:rPr>
          <w:rFonts w:ascii="Arial" w:cs="Arial" w:eastAsia="Arial" w:hAnsi="Arial"/>
          <w:sz w:val="20"/>
          <w:szCs w:val="20"/>
          <w:color w:val="auto"/>
        </w:rPr>
        <w:t>(a) Exhibits</w:t>
      </w: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340" w:type="dxa"/>
            <w:vAlign w:val="bottom"/>
          </w:tcPr>
          <w:p>
            <w:pPr>
              <w:spacing w:after="0"/>
              <w:rPr>
                <w:sz w:val="20"/>
                <w:szCs w:val="20"/>
                <w:color w:val="auto"/>
              </w:rPr>
            </w:pPr>
            <w:r>
              <w:rPr>
                <w:rFonts w:ascii="Arial" w:cs="Arial" w:eastAsia="Arial" w:hAnsi="Arial"/>
                <w:sz w:val="20"/>
                <w:szCs w:val="20"/>
                <w:color w:val="auto"/>
              </w:rPr>
              <w:t>10.1</w:t>
            </w:r>
          </w:p>
        </w:tc>
        <w:tc>
          <w:tcPr>
            <w:tcW w:w="9880" w:type="dxa"/>
            <w:vAlign w:val="bottom"/>
            <w:tcBorders>
              <w:bottom w:val="single" w:sz="8" w:color="0000FF"/>
            </w:tcBorders>
            <w:gridSpan w:val="6"/>
          </w:tcPr>
          <w:p>
            <w:pPr>
              <w:spacing w:after="0"/>
              <w:rPr>
                <w:rFonts w:ascii="Arial" w:cs="Arial" w:eastAsia="Arial" w:hAnsi="Arial"/>
                <w:sz w:val="20"/>
                <w:szCs w:val="20"/>
                <w:color w:val="0000FF"/>
                <w:w w:val="91"/>
              </w:rPr>
            </w:pPr>
            <w:hyperlink r:id="rId316">
              <w:r>
                <w:rPr>
                  <w:rFonts w:ascii="Arial" w:cs="Arial" w:eastAsia="Arial" w:hAnsi="Arial"/>
                  <w:sz w:val="20"/>
                  <w:szCs w:val="20"/>
                  <w:color w:val="0000FF"/>
                  <w:w w:val="91"/>
                </w:rPr>
                <w:t>Third Amendment to the Receivables Purchase Agreement dated as of April 14, 2023, by and among CVG Capital III LLC</w:t>
              </w:r>
            </w:hyperlink>
          </w:p>
        </w:tc>
      </w:tr>
      <w:tr>
        <w:trPr>
          <w:trHeight w:val="209"/>
        </w:trPr>
        <w:tc>
          <w:tcPr>
            <w:tcW w:w="1340" w:type="dxa"/>
            <w:vAlign w:val="bottom"/>
          </w:tcPr>
          <w:p>
            <w:pPr>
              <w:spacing w:after="0"/>
              <w:rPr>
                <w:sz w:val="18"/>
                <w:szCs w:val="18"/>
                <w:color w:val="auto"/>
              </w:rPr>
            </w:pPr>
          </w:p>
        </w:tc>
        <w:tc>
          <w:tcPr>
            <w:tcW w:w="9880" w:type="dxa"/>
            <w:vAlign w:val="bottom"/>
            <w:tcBorders>
              <w:bottom w:val="single" w:sz="8" w:color="0000FF"/>
            </w:tcBorders>
            <w:gridSpan w:val="6"/>
          </w:tcPr>
          <w:p>
            <w:pPr>
              <w:spacing w:after="0" w:line="209" w:lineRule="exact"/>
              <w:rPr>
                <w:rFonts w:ascii="Arial" w:cs="Arial" w:eastAsia="Arial" w:hAnsi="Arial"/>
                <w:sz w:val="20"/>
                <w:szCs w:val="20"/>
                <w:color w:val="0000FF"/>
                <w:w w:val="91"/>
              </w:rPr>
            </w:pPr>
            <w:hyperlink r:id="rId316">
              <w:r>
                <w:rPr>
                  <w:rFonts w:ascii="Arial" w:cs="Arial" w:eastAsia="Arial" w:hAnsi="Arial"/>
                  <w:sz w:val="20"/>
                  <w:szCs w:val="20"/>
                  <w:color w:val="0000FF"/>
                  <w:w w:val="91"/>
                </w:rPr>
                <w:t>as the Seller, PNC Bank National association as the Administrative Agent and Ashland Inc. as the Servicer filed as Exhibit</w:t>
              </w:r>
            </w:hyperlink>
          </w:p>
        </w:tc>
      </w:tr>
      <w:tr>
        <w:trPr>
          <w:trHeight w:val="209"/>
        </w:trPr>
        <w:tc>
          <w:tcPr>
            <w:tcW w:w="1340" w:type="dxa"/>
            <w:vAlign w:val="bottom"/>
          </w:tcPr>
          <w:p>
            <w:pPr>
              <w:spacing w:after="0"/>
              <w:rPr>
                <w:sz w:val="18"/>
                <w:szCs w:val="18"/>
                <w:color w:val="auto"/>
              </w:rPr>
            </w:pPr>
          </w:p>
        </w:tc>
        <w:tc>
          <w:tcPr>
            <w:tcW w:w="9880" w:type="dxa"/>
            <w:vAlign w:val="bottom"/>
            <w:gridSpan w:val="6"/>
          </w:tcPr>
          <w:p>
            <w:pPr>
              <w:spacing w:after="0" w:line="209" w:lineRule="exact"/>
              <w:rPr>
                <w:rFonts w:ascii="Arial" w:cs="Arial" w:eastAsia="Arial" w:hAnsi="Arial"/>
                <w:sz w:val="20"/>
                <w:szCs w:val="20"/>
                <w:color w:val="0000FF"/>
                <w:w w:val="92"/>
              </w:rPr>
            </w:pPr>
            <w:hyperlink r:id="rId316">
              <w:r>
                <w:rPr>
                  <w:rFonts w:ascii="Arial" w:cs="Arial" w:eastAsia="Arial" w:hAnsi="Arial"/>
                  <w:sz w:val="20"/>
                  <w:szCs w:val="20"/>
                  <w:color w:val="0000FF"/>
                  <w:w w:val="92"/>
                </w:rPr>
                <w:t>10.</w:t>
              </w:r>
              <w:r>
                <w:rPr>
                  <w:rFonts w:ascii="Arial" w:cs="Arial" w:eastAsia="Arial" w:hAnsi="Arial"/>
                  <w:sz w:val="20"/>
                  <w:szCs w:val="20"/>
                  <w:u w:val="single" w:color="auto"/>
                  <w:color w:val="0000FF"/>
                  <w:w w:val="92"/>
                </w:rPr>
                <w:t>1</w:t>
              </w:r>
              <w:r>
                <w:rPr>
                  <w:rFonts w:ascii="Arial" w:cs="Arial" w:eastAsia="Arial" w:hAnsi="Arial"/>
                  <w:sz w:val="20"/>
                  <w:szCs w:val="20"/>
                  <w:color w:val="0000FF"/>
                  <w:w w:val="92"/>
                </w:rPr>
                <w:t xml:space="preserve"> to Ashland Inc.’s Form 8-K filed on April 20, 2023 (SEC File No. 333-211719) and incorporated herein by reference.</w:t>
              </w:r>
            </w:hyperlink>
          </w:p>
        </w:tc>
      </w:tr>
      <w:tr>
        <w:trPr>
          <w:trHeight w:val="20"/>
        </w:trPr>
        <w:tc>
          <w:tcPr>
            <w:tcW w:w="13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50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93"/>
        </w:trPr>
        <w:tc>
          <w:tcPr>
            <w:tcW w:w="1340" w:type="dxa"/>
            <w:vAlign w:val="bottom"/>
          </w:tcPr>
          <w:p>
            <w:pPr>
              <w:spacing w:after="0"/>
              <w:rPr>
                <w:sz w:val="20"/>
                <w:szCs w:val="20"/>
                <w:color w:val="auto"/>
              </w:rPr>
            </w:pPr>
            <w:r>
              <w:rPr>
                <w:rFonts w:ascii="Arial" w:cs="Arial" w:eastAsia="Arial" w:hAnsi="Arial"/>
                <w:sz w:val="20"/>
                <w:szCs w:val="20"/>
                <w:color w:val="auto"/>
              </w:rPr>
              <w:t>10.2</w:t>
            </w:r>
          </w:p>
        </w:tc>
        <w:tc>
          <w:tcPr>
            <w:tcW w:w="9880" w:type="dxa"/>
            <w:vAlign w:val="bottom"/>
            <w:tcBorders>
              <w:bottom w:val="single" w:sz="8" w:color="0000FF"/>
            </w:tcBorders>
            <w:gridSpan w:val="6"/>
          </w:tcPr>
          <w:p>
            <w:pPr>
              <w:spacing w:after="0"/>
              <w:rPr>
                <w:rFonts w:ascii="Arial" w:cs="Arial" w:eastAsia="Arial" w:hAnsi="Arial"/>
                <w:sz w:val="20"/>
                <w:szCs w:val="20"/>
                <w:color w:val="0000FF"/>
                <w:w w:val="88"/>
              </w:rPr>
            </w:pPr>
            <w:hyperlink r:id="rId317">
              <w:r>
                <w:rPr>
                  <w:rFonts w:ascii="Arial" w:cs="Arial" w:eastAsia="Arial" w:hAnsi="Arial"/>
                  <w:sz w:val="20"/>
                  <w:szCs w:val="20"/>
                  <w:color w:val="0000FF"/>
                  <w:w w:val="88"/>
                </w:rPr>
                <w:t>Second Amendment to the Second Amended and Restated Purchase and Sale Agreement dated as of April 14, 2023, by and</w:t>
              </w:r>
            </w:hyperlink>
          </w:p>
        </w:tc>
      </w:tr>
      <w:tr>
        <w:trPr>
          <w:trHeight w:val="209"/>
        </w:trPr>
        <w:tc>
          <w:tcPr>
            <w:tcW w:w="1340" w:type="dxa"/>
            <w:vAlign w:val="bottom"/>
          </w:tcPr>
          <w:p>
            <w:pPr>
              <w:spacing w:after="0"/>
              <w:rPr>
                <w:sz w:val="18"/>
                <w:szCs w:val="18"/>
                <w:color w:val="auto"/>
              </w:rPr>
            </w:pPr>
          </w:p>
        </w:tc>
        <w:tc>
          <w:tcPr>
            <w:tcW w:w="9880" w:type="dxa"/>
            <w:vAlign w:val="bottom"/>
            <w:tcBorders>
              <w:bottom w:val="single" w:sz="8" w:color="0000FF"/>
            </w:tcBorders>
            <w:gridSpan w:val="6"/>
          </w:tcPr>
          <w:p>
            <w:pPr>
              <w:spacing w:after="0" w:line="209" w:lineRule="exact"/>
              <w:rPr>
                <w:rFonts w:ascii="Arial" w:cs="Arial" w:eastAsia="Arial" w:hAnsi="Arial"/>
                <w:sz w:val="20"/>
                <w:szCs w:val="20"/>
                <w:color w:val="0000FF"/>
                <w:w w:val="94"/>
              </w:rPr>
            </w:pPr>
            <w:hyperlink r:id="rId317">
              <w:r>
                <w:rPr>
                  <w:rFonts w:ascii="Arial" w:cs="Arial" w:eastAsia="Arial" w:hAnsi="Arial"/>
                  <w:sz w:val="20"/>
                  <w:szCs w:val="20"/>
                  <w:color w:val="0000FF"/>
                  <w:w w:val="94"/>
                </w:rPr>
                <w:t>among Ashland Inc. as Exiting Originator and Servicer, Ashland Specialty Ingredients G.P. as remaining originator and</w:t>
              </w:r>
            </w:hyperlink>
          </w:p>
        </w:tc>
      </w:tr>
      <w:tr>
        <w:trPr>
          <w:trHeight w:val="210"/>
        </w:trPr>
        <w:tc>
          <w:tcPr>
            <w:tcW w:w="1340" w:type="dxa"/>
            <w:vAlign w:val="bottom"/>
          </w:tcPr>
          <w:p>
            <w:pPr>
              <w:spacing w:after="0"/>
              <w:rPr>
                <w:sz w:val="18"/>
                <w:szCs w:val="18"/>
                <w:color w:val="auto"/>
              </w:rPr>
            </w:pPr>
          </w:p>
        </w:tc>
        <w:tc>
          <w:tcPr>
            <w:tcW w:w="9880" w:type="dxa"/>
            <w:vAlign w:val="bottom"/>
            <w:gridSpan w:val="6"/>
          </w:tcPr>
          <w:p>
            <w:pPr>
              <w:spacing w:after="0" w:line="209" w:lineRule="exact"/>
              <w:rPr>
                <w:rFonts w:ascii="Arial" w:cs="Arial" w:eastAsia="Arial" w:hAnsi="Arial"/>
                <w:sz w:val="20"/>
                <w:szCs w:val="20"/>
                <w:color w:val="0000FF"/>
                <w:w w:val="94"/>
              </w:rPr>
            </w:pPr>
            <w:hyperlink r:id="rId317">
              <w:r>
                <w:rPr>
                  <w:rFonts w:ascii="Arial" w:cs="Arial" w:eastAsia="Arial" w:hAnsi="Arial"/>
                  <w:sz w:val="20"/>
                  <w:szCs w:val="20"/>
                  <w:color w:val="0000FF"/>
                  <w:w w:val="94"/>
                </w:rPr>
                <w:t>CVG Capital III as the Buyer filed as Exhibit 10.2 to Ashland Inc.’s Form 8-K filed on April 20, 2023 (SEC File No. 333-</w:t>
              </w:r>
            </w:hyperlink>
          </w:p>
        </w:tc>
      </w:tr>
      <w:tr>
        <w:trPr>
          <w:trHeight w:val="209"/>
        </w:trPr>
        <w:tc>
          <w:tcPr>
            <w:tcW w:w="1340" w:type="dxa"/>
            <w:vAlign w:val="bottom"/>
          </w:tcPr>
          <w:p>
            <w:pPr>
              <w:spacing w:after="0"/>
              <w:rPr>
                <w:sz w:val="18"/>
                <w:szCs w:val="18"/>
                <w:color w:val="auto"/>
              </w:rPr>
            </w:pPr>
          </w:p>
        </w:tc>
        <w:tc>
          <w:tcPr>
            <w:tcW w:w="3700" w:type="dxa"/>
            <w:vAlign w:val="bottom"/>
            <w:tcBorders>
              <w:top w:val="single" w:sz="8" w:color="0000FF"/>
              <w:bottom w:val="single" w:sz="8" w:color="0000EE"/>
            </w:tcBorders>
            <w:gridSpan w:val="2"/>
          </w:tcPr>
          <w:p>
            <w:pPr>
              <w:spacing w:after="0" w:line="209" w:lineRule="exact"/>
              <w:rPr>
                <w:rFonts w:ascii="Arial" w:cs="Arial" w:eastAsia="Arial" w:hAnsi="Arial"/>
                <w:sz w:val="20"/>
                <w:szCs w:val="20"/>
                <w:color w:val="0000FF"/>
                <w:w w:val="89"/>
              </w:rPr>
            </w:pPr>
            <w:hyperlink r:id="rId317">
              <w:r>
                <w:rPr>
                  <w:rFonts w:ascii="Arial" w:cs="Arial" w:eastAsia="Arial" w:hAnsi="Arial"/>
                  <w:sz w:val="20"/>
                  <w:szCs w:val="20"/>
                  <w:color w:val="0000FF"/>
                  <w:w w:val="89"/>
                </w:rPr>
                <w:t>211719) and incorporated herein by reference.</w:t>
              </w:r>
            </w:hyperlink>
          </w:p>
        </w:tc>
        <w:tc>
          <w:tcPr>
            <w:tcW w:w="6120" w:type="dxa"/>
            <w:vAlign w:val="bottom"/>
            <w:tcBorders>
              <w:top w:val="single" w:sz="8" w:color="0000FF"/>
            </w:tcBorders>
            <w:gridSpan w:val="3"/>
          </w:tcPr>
          <w:p>
            <w:pPr>
              <w:spacing w:after="0"/>
              <w:rPr>
                <w:sz w:val="18"/>
                <w:szCs w:val="18"/>
                <w:color w:val="auto"/>
              </w:rPr>
            </w:pPr>
          </w:p>
        </w:tc>
        <w:tc>
          <w:tcPr>
            <w:tcW w:w="60" w:type="dxa"/>
            <w:vAlign w:val="bottom"/>
          </w:tcPr>
          <w:p>
            <w:pPr>
              <w:spacing w:after="0"/>
              <w:rPr>
                <w:sz w:val="18"/>
                <w:szCs w:val="18"/>
                <w:color w:val="auto"/>
              </w:rPr>
            </w:pPr>
          </w:p>
        </w:tc>
      </w:tr>
      <w:tr>
        <w:trPr>
          <w:trHeight w:val="493"/>
        </w:trPr>
        <w:tc>
          <w:tcPr>
            <w:tcW w:w="1340" w:type="dxa"/>
            <w:vAlign w:val="bottom"/>
          </w:tcPr>
          <w:p>
            <w:pPr>
              <w:spacing w:after="0"/>
              <w:rPr>
                <w:sz w:val="20"/>
                <w:szCs w:val="20"/>
                <w:color w:val="auto"/>
              </w:rPr>
            </w:pPr>
            <w:r>
              <w:rPr>
                <w:rFonts w:ascii="Arial" w:cs="Arial" w:eastAsia="Arial" w:hAnsi="Arial"/>
                <w:sz w:val="20"/>
                <w:szCs w:val="20"/>
                <w:color w:val="auto"/>
              </w:rPr>
              <w:t>31.1*</w:t>
            </w:r>
          </w:p>
        </w:tc>
        <w:tc>
          <w:tcPr>
            <w:tcW w:w="9880" w:type="dxa"/>
            <w:vAlign w:val="bottom"/>
            <w:tcBorders>
              <w:bottom w:val="single" w:sz="8" w:color="0000FF"/>
            </w:tcBorders>
            <w:gridSpan w:val="6"/>
          </w:tcPr>
          <w:p>
            <w:pPr>
              <w:spacing w:after="0"/>
              <w:rPr>
                <w:sz w:val="20"/>
                <w:szCs w:val="20"/>
                <w:color w:val="auto"/>
              </w:rPr>
            </w:pPr>
            <w:r>
              <w:rPr>
                <w:rFonts w:ascii="Arial" w:cs="Arial" w:eastAsia="Arial" w:hAnsi="Arial"/>
                <w:sz w:val="20"/>
                <w:szCs w:val="20"/>
                <w:color w:val="0000FF"/>
                <w:w w:val="94"/>
              </w:rPr>
              <w:t>Certificate of Guillermo Novo, Chief Executive Officer of Ashland pursuant to Section 302 of the Sarbanes-Oxley Act of</w:t>
            </w:r>
          </w:p>
        </w:tc>
      </w:tr>
      <w:tr>
        <w:trPr>
          <w:trHeight w:val="209"/>
        </w:trPr>
        <w:tc>
          <w:tcPr>
            <w:tcW w:w="1340" w:type="dxa"/>
            <w:vAlign w:val="bottom"/>
          </w:tcPr>
          <w:p>
            <w:pPr>
              <w:spacing w:after="0"/>
              <w:rPr>
                <w:sz w:val="18"/>
                <w:szCs w:val="18"/>
                <w:color w:val="auto"/>
              </w:rPr>
            </w:pPr>
          </w:p>
        </w:tc>
        <w:tc>
          <w:tcPr>
            <w:tcW w:w="440" w:type="dxa"/>
            <w:vAlign w:val="bottom"/>
            <w:tcBorders>
              <w:bottom w:val="single" w:sz="8" w:color="0000FF"/>
            </w:tcBorders>
          </w:tcPr>
          <w:p>
            <w:pPr>
              <w:spacing w:after="0" w:line="209" w:lineRule="exact"/>
              <w:rPr>
                <w:sz w:val="20"/>
                <w:szCs w:val="20"/>
                <w:color w:val="auto"/>
              </w:rPr>
            </w:pPr>
            <w:r>
              <w:rPr>
                <w:rFonts w:ascii="Arial" w:cs="Arial" w:eastAsia="Arial" w:hAnsi="Arial"/>
                <w:sz w:val="20"/>
                <w:szCs w:val="20"/>
                <w:color w:val="0000FF"/>
                <w:w w:val="83"/>
              </w:rPr>
              <w:t>2002.</w:t>
            </w:r>
          </w:p>
        </w:tc>
        <w:tc>
          <w:tcPr>
            <w:tcW w:w="3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493"/>
        </w:trPr>
        <w:tc>
          <w:tcPr>
            <w:tcW w:w="1340" w:type="dxa"/>
            <w:vAlign w:val="bottom"/>
          </w:tcPr>
          <w:p>
            <w:pPr>
              <w:spacing w:after="0"/>
              <w:rPr>
                <w:sz w:val="20"/>
                <w:szCs w:val="20"/>
                <w:color w:val="auto"/>
              </w:rPr>
            </w:pPr>
            <w:r>
              <w:rPr>
                <w:rFonts w:ascii="Arial" w:cs="Arial" w:eastAsia="Arial" w:hAnsi="Arial"/>
                <w:sz w:val="20"/>
                <w:szCs w:val="20"/>
                <w:color w:val="auto"/>
              </w:rPr>
              <w:t>31.2*</w:t>
            </w:r>
          </w:p>
        </w:tc>
        <w:tc>
          <w:tcPr>
            <w:tcW w:w="9880" w:type="dxa"/>
            <w:vAlign w:val="bottom"/>
            <w:tcBorders>
              <w:bottom w:val="single" w:sz="8" w:color="0000FF"/>
            </w:tcBorders>
            <w:gridSpan w:val="6"/>
          </w:tcPr>
          <w:p>
            <w:pPr>
              <w:spacing w:after="0"/>
              <w:rPr>
                <w:sz w:val="20"/>
                <w:szCs w:val="20"/>
                <w:color w:val="auto"/>
              </w:rPr>
            </w:pPr>
            <w:r>
              <w:rPr>
                <w:rFonts w:ascii="Arial" w:cs="Arial" w:eastAsia="Arial" w:hAnsi="Arial"/>
                <w:sz w:val="20"/>
                <w:szCs w:val="20"/>
                <w:color w:val="0000FF"/>
                <w:w w:val="95"/>
              </w:rPr>
              <w:t>Certificate of J. Kevin Willis, Chief Financial Officer of Ashland pursuant to Section 302 of the Sarbanes-Oxley Act of</w:t>
            </w:r>
          </w:p>
        </w:tc>
      </w:tr>
      <w:tr>
        <w:trPr>
          <w:trHeight w:val="209"/>
        </w:trPr>
        <w:tc>
          <w:tcPr>
            <w:tcW w:w="1340" w:type="dxa"/>
            <w:vAlign w:val="bottom"/>
          </w:tcPr>
          <w:p>
            <w:pPr>
              <w:spacing w:after="0"/>
              <w:rPr>
                <w:sz w:val="18"/>
                <w:szCs w:val="18"/>
                <w:color w:val="auto"/>
              </w:rPr>
            </w:pPr>
          </w:p>
        </w:tc>
        <w:tc>
          <w:tcPr>
            <w:tcW w:w="440" w:type="dxa"/>
            <w:vAlign w:val="bottom"/>
            <w:tcBorders>
              <w:bottom w:val="single" w:sz="8" w:color="0000FF"/>
            </w:tcBorders>
          </w:tcPr>
          <w:p>
            <w:pPr>
              <w:spacing w:after="0" w:line="209" w:lineRule="exact"/>
              <w:rPr>
                <w:sz w:val="20"/>
                <w:szCs w:val="20"/>
                <w:color w:val="auto"/>
              </w:rPr>
            </w:pPr>
            <w:r>
              <w:rPr>
                <w:rFonts w:ascii="Arial" w:cs="Arial" w:eastAsia="Arial" w:hAnsi="Arial"/>
                <w:sz w:val="20"/>
                <w:szCs w:val="20"/>
                <w:color w:val="0000FF"/>
                <w:w w:val="83"/>
              </w:rPr>
              <w:t>2002.</w:t>
            </w:r>
          </w:p>
        </w:tc>
        <w:tc>
          <w:tcPr>
            <w:tcW w:w="3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493"/>
        </w:trPr>
        <w:tc>
          <w:tcPr>
            <w:tcW w:w="1340" w:type="dxa"/>
            <w:vAlign w:val="bottom"/>
          </w:tcPr>
          <w:p>
            <w:pPr>
              <w:spacing w:after="0"/>
              <w:rPr>
                <w:sz w:val="20"/>
                <w:szCs w:val="20"/>
                <w:color w:val="auto"/>
              </w:rPr>
            </w:pPr>
            <w:r>
              <w:rPr>
                <w:rFonts w:ascii="Arial" w:cs="Arial" w:eastAsia="Arial" w:hAnsi="Arial"/>
                <w:sz w:val="20"/>
                <w:szCs w:val="20"/>
                <w:color w:val="auto"/>
              </w:rPr>
              <w:t>32*</w:t>
            </w:r>
          </w:p>
        </w:tc>
        <w:tc>
          <w:tcPr>
            <w:tcW w:w="9880" w:type="dxa"/>
            <w:vAlign w:val="bottom"/>
            <w:tcBorders>
              <w:bottom w:val="single" w:sz="8" w:color="0000FF"/>
            </w:tcBorders>
            <w:gridSpan w:val="6"/>
          </w:tcPr>
          <w:p>
            <w:pPr>
              <w:spacing w:after="0"/>
              <w:rPr>
                <w:sz w:val="20"/>
                <w:szCs w:val="20"/>
                <w:color w:val="auto"/>
              </w:rPr>
            </w:pPr>
            <w:r>
              <w:rPr>
                <w:rFonts w:ascii="Arial" w:cs="Arial" w:eastAsia="Arial" w:hAnsi="Arial"/>
                <w:sz w:val="20"/>
                <w:szCs w:val="20"/>
                <w:color w:val="0000FF"/>
                <w:w w:val="93"/>
              </w:rPr>
              <w:t>Certificate of Guillermo Novo, Chief Executive Officer of Ashland, and J. Kevin Willis, Chief Financial Officer of Ashland</w:t>
            </w:r>
          </w:p>
        </w:tc>
      </w:tr>
      <w:tr>
        <w:trPr>
          <w:trHeight w:val="209"/>
        </w:trPr>
        <w:tc>
          <w:tcPr>
            <w:tcW w:w="1340" w:type="dxa"/>
            <w:vAlign w:val="bottom"/>
          </w:tcPr>
          <w:p>
            <w:pPr>
              <w:spacing w:after="0"/>
              <w:rPr>
                <w:sz w:val="18"/>
                <w:szCs w:val="18"/>
                <w:color w:val="auto"/>
              </w:rPr>
            </w:pPr>
          </w:p>
        </w:tc>
        <w:tc>
          <w:tcPr>
            <w:tcW w:w="9880" w:type="dxa"/>
            <w:vAlign w:val="bottom"/>
            <w:gridSpan w:val="6"/>
          </w:tcPr>
          <w:p>
            <w:pPr>
              <w:spacing w:after="0" w:line="209" w:lineRule="exact"/>
              <w:rPr>
                <w:sz w:val="20"/>
                <w:szCs w:val="20"/>
                <w:color w:val="auto"/>
              </w:rPr>
            </w:pPr>
            <w:r>
              <w:rPr>
                <w:rFonts w:ascii="Arial" w:cs="Arial" w:eastAsia="Arial" w:hAnsi="Arial"/>
                <w:sz w:val="20"/>
                <w:szCs w:val="20"/>
                <w:color w:val="0000FF"/>
              </w:rPr>
              <w:t>pursuant to Section 906 of the Sarbanes-Oxley Act of 2002.</w:t>
            </w:r>
          </w:p>
        </w:tc>
      </w:tr>
      <w:tr>
        <w:trPr>
          <w:trHeight w:val="538"/>
        </w:trPr>
        <w:tc>
          <w:tcPr>
            <w:tcW w:w="1340" w:type="dxa"/>
            <w:vAlign w:val="bottom"/>
          </w:tcPr>
          <w:p>
            <w:pPr>
              <w:spacing w:after="0"/>
              <w:rPr>
                <w:sz w:val="20"/>
                <w:szCs w:val="20"/>
                <w:color w:val="auto"/>
              </w:rPr>
            </w:pPr>
            <w:r>
              <w:rPr>
                <w:rFonts w:ascii="Arial" w:cs="Arial" w:eastAsia="Arial" w:hAnsi="Arial"/>
                <w:sz w:val="20"/>
                <w:szCs w:val="20"/>
                <w:color w:val="auto"/>
              </w:rPr>
              <w:t>101.INS**</w:t>
            </w:r>
          </w:p>
        </w:tc>
        <w:tc>
          <w:tcPr>
            <w:tcW w:w="4720" w:type="dxa"/>
            <w:vAlign w:val="bottom"/>
            <w:tcBorders>
              <w:top w:val="single" w:sz="8" w:color="0000FF"/>
            </w:tcBorders>
            <w:gridSpan w:val="3"/>
          </w:tcPr>
          <w:p>
            <w:pPr>
              <w:spacing w:after="0"/>
              <w:rPr>
                <w:sz w:val="20"/>
                <w:szCs w:val="20"/>
                <w:color w:val="auto"/>
              </w:rPr>
            </w:pPr>
            <w:r>
              <w:rPr>
                <w:rFonts w:ascii="Arial" w:cs="Arial" w:eastAsia="Arial" w:hAnsi="Arial"/>
                <w:sz w:val="20"/>
                <w:szCs w:val="20"/>
                <w:color w:val="auto"/>
              </w:rPr>
              <w:t>Inline XBRL Instance Document.</w:t>
            </w:r>
          </w:p>
        </w:tc>
        <w:tc>
          <w:tcPr>
            <w:tcW w:w="5160" w:type="dxa"/>
            <w:vAlign w:val="bottom"/>
            <w:gridSpan w:val="3"/>
          </w:tcPr>
          <w:p>
            <w:pPr>
              <w:spacing w:after="0"/>
              <w:rPr>
                <w:sz w:val="24"/>
                <w:szCs w:val="24"/>
                <w:color w:val="auto"/>
              </w:rPr>
            </w:pPr>
          </w:p>
        </w:tc>
      </w:tr>
      <w:tr>
        <w:trPr>
          <w:trHeight w:val="513"/>
        </w:trPr>
        <w:tc>
          <w:tcPr>
            <w:tcW w:w="1340" w:type="dxa"/>
            <w:vAlign w:val="bottom"/>
          </w:tcPr>
          <w:p>
            <w:pPr>
              <w:spacing w:after="0"/>
              <w:rPr>
                <w:sz w:val="20"/>
                <w:szCs w:val="20"/>
                <w:color w:val="auto"/>
              </w:rPr>
            </w:pPr>
            <w:r>
              <w:rPr>
                <w:rFonts w:ascii="Arial" w:cs="Arial" w:eastAsia="Arial" w:hAnsi="Arial"/>
                <w:sz w:val="20"/>
                <w:szCs w:val="20"/>
                <w:color w:val="auto"/>
              </w:rPr>
              <w:t>101.SCH**</w:t>
            </w:r>
          </w:p>
        </w:tc>
        <w:tc>
          <w:tcPr>
            <w:tcW w:w="9880" w:type="dxa"/>
            <w:vAlign w:val="bottom"/>
            <w:gridSpan w:val="6"/>
          </w:tcPr>
          <w:p>
            <w:pPr>
              <w:spacing w:after="0"/>
              <w:rPr>
                <w:sz w:val="20"/>
                <w:szCs w:val="20"/>
                <w:color w:val="auto"/>
              </w:rPr>
            </w:pPr>
            <w:r>
              <w:rPr>
                <w:rFonts w:ascii="Arial" w:cs="Arial" w:eastAsia="Arial" w:hAnsi="Arial"/>
                <w:sz w:val="20"/>
                <w:szCs w:val="20"/>
                <w:color w:val="auto"/>
              </w:rPr>
              <w:t>Inline XBRL Taxonomy Extension Schema Document.</w:t>
            </w:r>
          </w:p>
        </w:tc>
      </w:tr>
      <w:tr>
        <w:trPr>
          <w:trHeight w:val="513"/>
        </w:trPr>
        <w:tc>
          <w:tcPr>
            <w:tcW w:w="1340" w:type="dxa"/>
            <w:vAlign w:val="bottom"/>
          </w:tcPr>
          <w:p>
            <w:pPr>
              <w:spacing w:after="0"/>
              <w:rPr>
                <w:sz w:val="20"/>
                <w:szCs w:val="20"/>
                <w:color w:val="auto"/>
              </w:rPr>
            </w:pPr>
            <w:r>
              <w:rPr>
                <w:rFonts w:ascii="Arial" w:cs="Arial" w:eastAsia="Arial" w:hAnsi="Arial"/>
                <w:sz w:val="20"/>
                <w:szCs w:val="20"/>
                <w:color w:val="auto"/>
              </w:rPr>
              <w:t>101.CAL**</w:t>
            </w:r>
          </w:p>
        </w:tc>
        <w:tc>
          <w:tcPr>
            <w:tcW w:w="9880" w:type="dxa"/>
            <w:vAlign w:val="bottom"/>
            <w:gridSpan w:val="6"/>
          </w:tcPr>
          <w:p>
            <w:pPr>
              <w:spacing w:after="0"/>
              <w:rPr>
                <w:sz w:val="20"/>
                <w:szCs w:val="20"/>
                <w:color w:val="auto"/>
              </w:rPr>
            </w:pPr>
            <w:r>
              <w:rPr>
                <w:rFonts w:ascii="Arial" w:cs="Arial" w:eastAsia="Arial" w:hAnsi="Arial"/>
                <w:sz w:val="20"/>
                <w:szCs w:val="20"/>
                <w:color w:val="auto"/>
              </w:rPr>
              <w:t>Inline XBRL Taxonomy Extension Calculation Linkbase Document.</w:t>
            </w:r>
          </w:p>
        </w:tc>
      </w:tr>
      <w:tr>
        <w:trPr>
          <w:trHeight w:val="513"/>
        </w:trPr>
        <w:tc>
          <w:tcPr>
            <w:tcW w:w="1340" w:type="dxa"/>
            <w:vAlign w:val="bottom"/>
          </w:tcPr>
          <w:p>
            <w:pPr>
              <w:spacing w:after="0"/>
              <w:rPr>
                <w:sz w:val="20"/>
                <w:szCs w:val="20"/>
                <w:color w:val="auto"/>
              </w:rPr>
            </w:pPr>
            <w:r>
              <w:rPr>
                <w:rFonts w:ascii="Arial" w:cs="Arial" w:eastAsia="Arial" w:hAnsi="Arial"/>
                <w:sz w:val="20"/>
                <w:szCs w:val="20"/>
                <w:color w:val="auto"/>
              </w:rPr>
              <w:t>101.DEF**</w:t>
            </w:r>
          </w:p>
        </w:tc>
        <w:tc>
          <w:tcPr>
            <w:tcW w:w="9880" w:type="dxa"/>
            <w:vAlign w:val="bottom"/>
            <w:gridSpan w:val="6"/>
          </w:tcPr>
          <w:p>
            <w:pPr>
              <w:spacing w:after="0"/>
              <w:rPr>
                <w:sz w:val="20"/>
                <w:szCs w:val="20"/>
                <w:color w:val="auto"/>
              </w:rPr>
            </w:pPr>
            <w:r>
              <w:rPr>
                <w:rFonts w:ascii="Arial" w:cs="Arial" w:eastAsia="Arial" w:hAnsi="Arial"/>
                <w:sz w:val="20"/>
                <w:szCs w:val="20"/>
                <w:color w:val="auto"/>
              </w:rPr>
              <w:t>Inline XBRL Taxonomy Extension Definition Linkbase Document.</w:t>
            </w:r>
          </w:p>
        </w:tc>
      </w:tr>
      <w:tr>
        <w:trPr>
          <w:trHeight w:val="513"/>
        </w:trPr>
        <w:tc>
          <w:tcPr>
            <w:tcW w:w="1340" w:type="dxa"/>
            <w:vAlign w:val="bottom"/>
          </w:tcPr>
          <w:p>
            <w:pPr>
              <w:spacing w:after="0"/>
              <w:rPr>
                <w:sz w:val="20"/>
                <w:szCs w:val="20"/>
                <w:color w:val="auto"/>
              </w:rPr>
            </w:pPr>
            <w:r>
              <w:rPr>
                <w:rFonts w:ascii="Arial" w:cs="Arial" w:eastAsia="Arial" w:hAnsi="Arial"/>
                <w:sz w:val="20"/>
                <w:szCs w:val="20"/>
                <w:color w:val="auto"/>
              </w:rPr>
              <w:t>101.LAB**</w:t>
            </w:r>
          </w:p>
        </w:tc>
        <w:tc>
          <w:tcPr>
            <w:tcW w:w="9880" w:type="dxa"/>
            <w:vAlign w:val="bottom"/>
            <w:gridSpan w:val="6"/>
          </w:tcPr>
          <w:p>
            <w:pPr>
              <w:spacing w:after="0"/>
              <w:rPr>
                <w:sz w:val="20"/>
                <w:szCs w:val="20"/>
                <w:color w:val="auto"/>
              </w:rPr>
            </w:pPr>
            <w:r>
              <w:rPr>
                <w:rFonts w:ascii="Arial" w:cs="Arial" w:eastAsia="Arial" w:hAnsi="Arial"/>
                <w:sz w:val="20"/>
                <w:szCs w:val="20"/>
                <w:color w:val="auto"/>
              </w:rPr>
              <w:t>Inline XBRL Taxonomy Extension Label Linkbase Document.</w:t>
            </w:r>
          </w:p>
        </w:tc>
      </w:tr>
      <w:tr>
        <w:trPr>
          <w:trHeight w:val="513"/>
        </w:trPr>
        <w:tc>
          <w:tcPr>
            <w:tcW w:w="1340" w:type="dxa"/>
            <w:vAlign w:val="bottom"/>
          </w:tcPr>
          <w:p>
            <w:pPr>
              <w:spacing w:after="0"/>
              <w:rPr>
                <w:sz w:val="20"/>
                <w:szCs w:val="20"/>
                <w:color w:val="auto"/>
              </w:rPr>
            </w:pPr>
            <w:r>
              <w:rPr>
                <w:rFonts w:ascii="Arial" w:cs="Arial" w:eastAsia="Arial" w:hAnsi="Arial"/>
                <w:sz w:val="20"/>
                <w:szCs w:val="20"/>
                <w:color w:val="auto"/>
              </w:rPr>
              <w:t>101.PRE**</w:t>
            </w:r>
          </w:p>
        </w:tc>
        <w:tc>
          <w:tcPr>
            <w:tcW w:w="9880" w:type="dxa"/>
            <w:vAlign w:val="bottom"/>
            <w:gridSpan w:val="6"/>
          </w:tcPr>
          <w:p>
            <w:pPr>
              <w:spacing w:after="0"/>
              <w:rPr>
                <w:sz w:val="20"/>
                <w:szCs w:val="20"/>
                <w:color w:val="auto"/>
              </w:rPr>
            </w:pPr>
            <w:r>
              <w:rPr>
                <w:rFonts w:ascii="Arial" w:cs="Arial" w:eastAsia="Arial" w:hAnsi="Arial"/>
                <w:sz w:val="20"/>
                <w:szCs w:val="20"/>
                <w:color w:val="auto"/>
              </w:rPr>
              <w:t>Inline XBRL Taxonomy Extension Presentation Linkbase Document.</w:t>
            </w:r>
          </w:p>
        </w:tc>
      </w:tr>
    </w:tbl>
    <w:p>
      <w:pPr>
        <w:spacing w:after="0" w:line="263" w:lineRule="exact"/>
        <w:rPr>
          <w:sz w:val="20"/>
          <w:szCs w:val="20"/>
          <w:color w:val="auto"/>
        </w:rPr>
      </w:pPr>
    </w:p>
    <w:p>
      <w:pPr>
        <w:ind w:left="1360" w:hanging="1339"/>
        <w:spacing w:after="0"/>
        <w:tabs>
          <w:tab w:leader="none" w:pos="1360" w:val="left"/>
        </w:tabs>
        <w:numPr>
          <w:ilvl w:val="0"/>
          <w:numId w:val="43"/>
        </w:numPr>
        <w:rPr>
          <w:rFonts w:ascii="Arial" w:cs="Arial" w:eastAsia="Arial" w:hAnsi="Arial"/>
          <w:sz w:val="20"/>
          <w:szCs w:val="20"/>
          <w:color w:val="auto"/>
        </w:rPr>
      </w:pPr>
      <w:r>
        <w:rPr>
          <w:rFonts w:ascii="Arial" w:cs="Arial" w:eastAsia="Arial" w:hAnsi="Arial"/>
          <w:sz w:val="20"/>
          <w:szCs w:val="20"/>
          <w:color w:val="auto"/>
        </w:rPr>
        <w:t>Cover Page Interactive Data File (formatted as inline XBRL and contained in Exhibit 101).</w:t>
      </w:r>
    </w:p>
    <w:p>
      <w:pPr>
        <w:spacing w:after="0" w:line="173" w:lineRule="exact"/>
        <w:rPr>
          <w:rFonts w:ascii="Arial" w:cs="Arial" w:eastAsia="Arial" w:hAnsi="Arial"/>
          <w:sz w:val="20"/>
          <w:szCs w:val="20"/>
          <w:color w:val="auto"/>
        </w:rPr>
      </w:pPr>
    </w:p>
    <w:p>
      <w:pPr>
        <w:ind w:left="620"/>
        <w:spacing w:after="0"/>
        <w:rPr>
          <w:rFonts w:ascii="Arial" w:cs="Arial" w:eastAsia="Arial" w:hAnsi="Arial"/>
          <w:sz w:val="20"/>
          <w:szCs w:val="20"/>
          <w:color w:val="auto"/>
        </w:rPr>
      </w:pPr>
      <w:r>
        <w:rPr>
          <w:rFonts w:ascii="Arial" w:cs="Arial" w:eastAsia="Arial" w:hAnsi="Arial"/>
          <w:sz w:val="28"/>
          <w:szCs w:val="28"/>
          <w:color w:val="auto"/>
          <w:vertAlign w:val="superscript"/>
        </w:rPr>
        <w:t>*</w:t>
      </w:r>
      <w:r>
        <w:rPr>
          <w:rFonts w:ascii="Arial" w:cs="Arial" w:eastAsia="Arial" w:hAnsi="Arial"/>
          <w:sz w:val="13"/>
          <w:szCs w:val="13"/>
          <w:color w:val="auto"/>
        </w:rPr>
        <w:t>Filed herewith.</w:t>
      </w:r>
    </w:p>
    <w:p>
      <w:pPr>
        <w:jc w:val="both"/>
        <w:ind w:left="1260" w:right="20" w:hanging="639"/>
        <w:spacing w:after="0" w:line="238" w:lineRule="auto"/>
        <w:tabs>
          <w:tab w:leader="none" w:pos="1260" w:val="left"/>
        </w:tabs>
        <w:numPr>
          <w:ilvl w:val="1"/>
          <w:numId w:val="44"/>
        </w:numPr>
        <w:rPr>
          <w:rFonts w:ascii="Arial" w:cs="Arial" w:eastAsia="Arial" w:hAnsi="Arial"/>
          <w:sz w:val="13"/>
          <w:szCs w:val="13"/>
          <w:color w:val="auto"/>
        </w:rPr>
      </w:pPr>
      <w:r>
        <w:rPr>
          <w:rFonts w:ascii="Arial" w:cs="Arial" w:eastAsia="Arial" w:hAnsi="Arial"/>
          <w:sz w:val="13"/>
          <w:szCs w:val="13"/>
          <w:color w:val="auto"/>
        </w:rPr>
        <w:t>Attached as Exhibit 101 to this report are the following documents formatted in XBRL (Extensible Business Reporting Language): (i) Statements of Consolidated Comprehensive Income (Loss) for the three and nine months ended June 30, 2023 and June 30, 2022; (ii) Condensed Consolidated Balance Sheets at June 30, 2023 and September 30, 2022; (iii) Statements of Condensed Consolidated Cash Flows for the nine months ended June 30, 2023 and June 30, 2022; and (iv) Notes to Condensed</w:t>
      </w:r>
    </w:p>
    <w:p>
      <w:pPr>
        <w:ind w:left="1260"/>
        <w:spacing w:after="0" w:line="205" w:lineRule="auto"/>
        <w:rPr>
          <w:sz w:val="20"/>
          <w:szCs w:val="20"/>
          <w:color w:val="auto"/>
        </w:rPr>
      </w:pPr>
      <w:r>
        <w:rPr>
          <w:rFonts w:ascii="Arial" w:cs="Arial" w:eastAsia="Arial" w:hAnsi="Arial"/>
          <w:sz w:val="14"/>
          <w:szCs w:val="14"/>
          <w:color w:val="auto"/>
        </w:rPr>
        <w:t>Consolidated Financial Statements.</w:t>
      </w:r>
    </w:p>
    <w:p>
      <w:pPr>
        <w:ind w:left="620"/>
        <w:spacing w:after="0" w:line="196" w:lineRule="auto"/>
        <w:rPr>
          <w:sz w:val="20"/>
          <w:szCs w:val="20"/>
          <w:color w:val="auto"/>
        </w:rPr>
      </w:pPr>
      <w:r>
        <w:rPr>
          <w:rFonts w:ascii="Arial" w:cs="Arial" w:eastAsia="Arial" w:hAnsi="Arial"/>
          <w:sz w:val="7"/>
          <w:szCs w:val="7"/>
          <w:color w:val="auto"/>
        </w:rPr>
        <w:t>SM</w:t>
      </w:r>
    </w:p>
    <w:p>
      <w:pPr>
        <w:ind w:left="1260"/>
        <w:spacing w:after="0"/>
        <w:rPr>
          <w:sz w:val="20"/>
          <w:szCs w:val="20"/>
          <w:color w:val="auto"/>
        </w:rPr>
      </w:pPr>
      <w:r>
        <w:rPr>
          <w:rFonts w:ascii="Arial" w:cs="Arial" w:eastAsia="Arial" w:hAnsi="Arial"/>
          <w:sz w:val="14"/>
          <w:szCs w:val="14"/>
          <w:color w:val="auto"/>
        </w:rPr>
        <w:t>Service mark, Ashland or its subsidiaries, registered in various countries.</w:t>
      </w:r>
    </w:p>
    <w:p>
      <w:pPr>
        <w:spacing w:after="0" w:line="43" w:lineRule="exact"/>
        <w:rPr>
          <w:sz w:val="20"/>
          <w:szCs w:val="20"/>
          <w:color w:val="auto"/>
        </w:rPr>
      </w:pPr>
    </w:p>
    <w:p>
      <w:pPr>
        <w:ind w:left="620"/>
        <w:spacing w:after="0"/>
        <w:tabs>
          <w:tab w:leader="none" w:pos="124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Trademark, Ashland or its subsidiaries, registered in various countries.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7" w:name="page58"/>
    <w:bookmarkEnd w:id="57"/>
    <w:p>
      <w:pPr>
        <w:jc w:val="center"/>
        <w:ind w:right="300"/>
        <w:spacing w:after="0"/>
        <w:rPr>
          <w:sz w:val="20"/>
          <w:szCs w:val="20"/>
          <w:color w:val="auto"/>
        </w:rPr>
      </w:pPr>
      <w:r>
        <w:rPr>
          <w:rFonts w:ascii="Arial" w:cs="Arial" w:eastAsia="Arial" w:hAnsi="Arial"/>
          <w:sz w:val="20"/>
          <w:szCs w:val="20"/>
          <w:b w:val="1"/>
          <w:bCs w:val="1"/>
          <w:color w:val="auto"/>
        </w:rPr>
        <w:t>SIGNATURE</w:t>
      </w:r>
    </w:p>
    <w:p>
      <w:pPr>
        <w:spacing w:after="0" w:line="114" w:lineRule="exact"/>
        <w:rPr>
          <w:sz w:val="20"/>
          <w:szCs w:val="20"/>
          <w:color w:val="auto"/>
        </w:rPr>
      </w:pPr>
    </w:p>
    <w:p>
      <w:pPr>
        <w:ind w:left="80"/>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w:t>
      </w:r>
    </w:p>
    <w:p>
      <w:pPr>
        <w:spacing w:after="0" w:line="125"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Ashland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3389630</wp:posOffset>
            </wp:positionH>
            <wp:positionV relativeFrom="paragraph">
              <wp:posOffset>23495</wp:posOffset>
            </wp:positionV>
            <wp:extent cx="337756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9">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30"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(Registrant)</w:t>
      </w:r>
    </w:p>
    <w:p>
      <w:pPr>
        <w:spacing w:after="0" w:line="36" w:lineRule="exact"/>
        <w:rPr>
          <w:sz w:val="20"/>
          <w:szCs w:val="20"/>
          <w:color w:val="auto"/>
        </w:rPr>
      </w:pPr>
    </w:p>
    <w:p>
      <w:pPr>
        <w:spacing w:after="0"/>
        <w:tabs>
          <w:tab w:leader="none" w:pos="5340" w:val="left"/>
        </w:tabs>
        <w:rPr>
          <w:sz w:val="20"/>
          <w:szCs w:val="20"/>
          <w:color w:val="auto"/>
        </w:rPr>
      </w:pPr>
      <w:r>
        <w:rPr>
          <w:rFonts w:ascii="Arial" w:cs="Arial" w:eastAsia="Arial" w:hAnsi="Arial"/>
          <w:sz w:val="18"/>
          <w:szCs w:val="18"/>
          <w:color w:val="auto"/>
        </w:rPr>
        <w:t>July 27, 2023</w:t>
      </w:r>
      <w:r>
        <w:rPr>
          <w:sz w:val="20"/>
          <w:szCs w:val="20"/>
          <w:color w:val="auto"/>
        </w:rPr>
        <w:tab/>
      </w:r>
      <w:r>
        <w:rPr>
          <w:rFonts w:ascii="Arial" w:cs="Arial" w:eastAsia="Arial" w:hAnsi="Arial"/>
          <w:sz w:val="17"/>
          <w:szCs w:val="17"/>
          <w:color w:val="auto"/>
        </w:rPr>
        <w:t>/s/ J. Kevin Willis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3389630</wp:posOffset>
            </wp:positionH>
            <wp:positionV relativeFrom="paragraph">
              <wp:posOffset>23495</wp:posOffset>
            </wp:positionV>
            <wp:extent cx="337756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0">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30"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J. Kevin Willis</w:t>
      </w:r>
    </w:p>
    <w:p>
      <w:pPr>
        <w:spacing w:after="0" w:line="36"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Senior Vice President and Chief Financial Officer</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(on behalf of the Registrant and as principal</w:t>
      </w:r>
    </w:p>
    <w:p>
      <w:pPr>
        <w:spacing w:after="0" w:line="9"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financial officer)</w:t>
      </w:r>
    </w:p>
    <w:p>
      <w:pPr>
        <w:spacing w:after="0" w:line="332"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70485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620" w:top="333" w:right="339" w:bottom="1440" w:gutter="0" w:footer="0" w:header="0"/>
        </w:sectPr>
      </w:pPr>
    </w:p>
    <w:bookmarkStart w:id="58" w:name="page59"/>
    <w:bookmarkEnd w:id="5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9" w:name="page60"/>
    <w:bookmarkEnd w:id="59"/>
    <w:p>
      <w:pPr>
        <w:ind w:left="10060"/>
        <w:spacing w:after="0"/>
        <w:rPr>
          <w:sz w:val="20"/>
          <w:szCs w:val="20"/>
          <w:color w:val="auto"/>
        </w:rPr>
      </w:pPr>
      <w:r>
        <w:rPr>
          <w:rFonts w:ascii="Arial" w:cs="Arial" w:eastAsia="Arial" w:hAnsi="Arial"/>
          <w:sz w:val="19"/>
          <w:szCs w:val="19"/>
          <w:color w:val="auto"/>
        </w:rPr>
        <w:t>EXHIBIT 31.1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CERTIFICATION</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I, Guillermo Novo, certify that:</w:t>
      </w:r>
    </w:p>
    <w:p>
      <w:pPr>
        <w:spacing w:after="0" w:line="108" w:lineRule="exact"/>
        <w:rPr>
          <w:sz w:val="20"/>
          <w:szCs w:val="20"/>
          <w:color w:val="auto"/>
        </w:rPr>
      </w:pPr>
    </w:p>
    <w:p>
      <w:pPr>
        <w:ind w:left="760" w:hanging="378"/>
        <w:spacing w:after="0"/>
        <w:tabs>
          <w:tab w:leader="none" w:pos="760" w:val="left"/>
        </w:tabs>
        <w:numPr>
          <w:ilvl w:val="0"/>
          <w:numId w:val="45"/>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Ashland Inc.;</w:t>
      </w:r>
    </w:p>
    <w:p>
      <w:pPr>
        <w:spacing w:after="0" w:line="107" w:lineRule="exact"/>
        <w:rPr>
          <w:rFonts w:ascii="Arial" w:cs="Arial" w:eastAsia="Arial" w:hAnsi="Arial"/>
          <w:sz w:val="20"/>
          <w:szCs w:val="20"/>
          <w:color w:val="auto"/>
        </w:rPr>
      </w:pPr>
    </w:p>
    <w:p>
      <w:pPr>
        <w:jc w:val="both"/>
        <w:ind w:left="760" w:hanging="378"/>
        <w:spacing w:after="0" w:line="250" w:lineRule="auto"/>
        <w:tabs>
          <w:tab w:leader="none" w:pos="760" w:val="left"/>
        </w:tabs>
        <w:numPr>
          <w:ilvl w:val="0"/>
          <w:numId w:val="45"/>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7" w:lineRule="exact"/>
        <w:rPr>
          <w:rFonts w:ascii="Arial" w:cs="Arial" w:eastAsia="Arial" w:hAnsi="Arial"/>
          <w:sz w:val="20"/>
          <w:szCs w:val="20"/>
          <w:color w:val="auto"/>
        </w:rPr>
      </w:pPr>
    </w:p>
    <w:p>
      <w:pPr>
        <w:jc w:val="both"/>
        <w:ind w:left="760" w:hanging="378"/>
        <w:spacing w:after="0" w:line="250" w:lineRule="auto"/>
        <w:tabs>
          <w:tab w:leader="none" w:pos="760" w:val="left"/>
        </w:tabs>
        <w:numPr>
          <w:ilvl w:val="0"/>
          <w:numId w:val="45"/>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7" w:lineRule="exact"/>
        <w:rPr>
          <w:rFonts w:ascii="Arial" w:cs="Arial" w:eastAsia="Arial" w:hAnsi="Arial"/>
          <w:sz w:val="20"/>
          <w:szCs w:val="20"/>
          <w:color w:val="auto"/>
        </w:rPr>
      </w:pPr>
    </w:p>
    <w:p>
      <w:pPr>
        <w:jc w:val="both"/>
        <w:ind w:left="760" w:hanging="378"/>
        <w:spacing w:after="0" w:line="250" w:lineRule="auto"/>
        <w:tabs>
          <w:tab w:leader="none" w:pos="760" w:val="left"/>
        </w:tabs>
        <w:numPr>
          <w:ilvl w:val="0"/>
          <w:numId w:val="45"/>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7" w:lineRule="exact"/>
        <w:rPr>
          <w:rFonts w:ascii="Arial" w:cs="Arial" w:eastAsia="Arial" w:hAnsi="Arial"/>
          <w:sz w:val="20"/>
          <w:szCs w:val="20"/>
          <w:color w:val="auto"/>
        </w:rPr>
      </w:pPr>
    </w:p>
    <w:p>
      <w:pPr>
        <w:jc w:val="both"/>
        <w:ind w:left="1500" w:hanging="369"/>
        <w:spacing w:after="0" w:line="291" w:lineRule="auto"/>
        <w:tabs>
          <w:tab w:leader="none" w:pos="15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3" w:lineRule="exact"/>
        <w:rPr>
          <w:rFonts w:ascii="Arial" w:cs="Arial" w:eastAsia="Arial" w:hAnsi="Arial"/>
          <w:sz w:val="18"/>
          <w:szCs w:val="18"/>
          <w:color w:val="auto"/>
        </w:rPr>
      </w:pPr>
    </w:p>
    <w:p>
      <w:pPr>
        <w:jc w:val="both"/>
        <w:ind w:left="1500" w:hanging="369"/>
        <w:spacing w:after="0" w:line="291" w:lineRule="auto"/>
        <w:tabs>
          <w:tab w:leader="none" w:pos="15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8"/>
          <w:szCs w:val="18"/>
          <w:color w:val="auto"/>
        </w:rPr>
      </w:pPr>
    </w:p>
    <w:p>
      <w:pPr>
        <w:jc w:val="both"/>
        <w:ind w:left="1500" w:hanging="369"/>
        <w:spacing w:after="0" w:line="250" w:lineRule="auto"/>
        <w:tabs>
          <w:tab w:leader="none" w:pos="1500" w:val="left"/>
        </w:tabs>
        <w:numPr>
          <w:ilvl w:val="1"/>
          <w:numId w:val="45"/>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7" w:lineRule="exact"/>
        <w:rPr>
          <w:rFonts w:ascii="Arial" w:cs="Arial" w:eastAsia="Arial" w:hAnsi="Arial"/>
          <w:sz w:val="20"/>
          <w:szCs w:val="20"/>
          <w:color w:val="auto"/>
        </w:rPr>
      </w:pPr>
    </w:p>
    <w:p>
      <w:pPr>
        <w:jc w:val="both"/>
        <w:ind w:left="1500" w:hanging="369"/>
        <w:spacing w:after="0" w:line="291" w:lineRule="auto"/>
        <w:tabs>
          <w:tab w:leader="none" w:pos="15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3" w:lineRule="exact"/>
        <w:rPr>
          <w:rFonts w:ascii="Arial" w:cs="Arial" w:eastAsia="Arial" w:hAnsi="Arial"/>
          <w:sz w:val="18"/>
          <w:szCs w:val="18"/>
          <w:color w:val="auto"/>
        </w:rPr>
      </w:pPr>
    </w:p>
    <w:p>
      <w:pPr>
        <w:jc w:val="both"/>
        <w:ind w:left="760" w:hanging="378"/>
        <w:spacing w:after="0" w:line="250" w:lineRule="auto"/>
        <w:tabs>
          <w:tab w:leader="none" w:pos="760" w:val="left"/>
        </w:tabs>
        <w:numPr>
          <w:ilvl w:val="0"/>
          <w:numId w:val="45"/>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7" w:lineRule="exact"/>
        <w:rPr>
          <w:rFonts w:ascii="Arial" w:cs="Arial" w:eastAsia="Arial" w:hAnsi="Arial"/>
          <w:sz w:val="20"/>
          <w:szCs w:val="20"/>
          <w:color w:val="auto"/>
        </w:rPr>
      </w:pPr>
    </w:p>
    <w:p>
      <w:pPr>
        <w:jc w:val="both"/>
        <w:ind w:left="1500" w:hanging="369"/>
        <w:spacing w:after="0" w:line="250" w:lineRule="auto"/>
        <w:tabs>
          <w:tab w:leader="none" w:pos="1500" w:val="left"/>
        </w:tabs>
        <w:numPr>
          <w:ilvl w:val="1"/>
          <w:numId w:val="45"/>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7" w:lineRule="exact"/>
        <w:rPr>
          <w:rFonts w:ascii="Arial" w:cs="Arial" w:eastAsia="Arial" w:hAnsi="Arial"/>
          <w:sz w:val="20"/>
          <w:szCs w:val="20"/>
          <w:color w:val="auto"/>
        </w:rPr>
      </w:pPr>
    </w:p>
    <w:p>
      <w:pPr>
        <w:ind w:left="1500" w:hanging="369"/>
        <w:spacing w:after="0" w:line="260" w:lineRule="auto"/>
        <w:tabs>
          <w:tab w:leader="none" w:pos="1500" w:val="left"/>
        </w:tabs>
        <w:numPr>
          <w:ilvl w:val="1"/>
          <w:numId w:val="45"/>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4" w:lineRule="exact"/>
        <w:rPr>
          <w:sz w:val="20"/>
          <w:szCs w:val="20"/>
          <w:color w:val="auto"/>
        </w:rPr>
      </w:pPr>
    </w:p>
    <w:p>
      <w:pPr>
        <w:ind w:left="380"/>
        <w:spacing w:after="0"/>
        <w:rPr>
          <w:sz w:val="20"/>
          <w:szCs w:val="20"/>
          <w:color w:val="auto"/>
        </w:rPr>
      </w:pPr>
      <w:r>
        <w:rPr>
          <w:rFonts w:ascii="Arial" w:cs="Arial" w:eastAsia="Arial" w:hAnsi="Arial"/>
          <w:sz w:val="20"/>
          <w:szCs w:val="20"/>
          <w:color w:val="auto"/>
        </w:rPr>
        <w:t>Date: July 27, 2023</w:t>
      </w:r>
    </w:p>
    <w:p>
      <w:pPr>
        <w:spacing w:after="0" w:line="256" w:lineRule="exact"/>
        <w:rPr>
          <w:sz w:val="20"/>
          <w:szCs w:val="20"/>
          <w:color w:val="auto"/>
        </w:rPr>
      </w:pPr>
    </w:p>
    <w:p>
      <w:pPr>
        <w:ind w:left="6200"/>
        <w:spacing w:after="0"/>
        <w:rPr>
          <w:sz w:val="20"/>
          <w:szCs w:val="20"/>
          <w:color w:val="auto"/>
        </w:rPr>
      </w:pPr>
      <w:r>
        <w:rPr>
          <w:rFonts w:ascii="Arial" w:cs="Arial" w:eastAsia="Arial" w:hAnsi="Arial"/>
          <w:sz w:val="20"/>
          <w:szCs w:val="20"/>
          <w:color w:val="auto"/>
        </w:rPr>
        <w:t>/s/ Guillermo Novo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3923030</wp:posOffset>
            </wp:positionH>
            <wp:positionV relativeFrom="paragraph">
              <wp:posOffset>19050</wp:posOffset>
            </wp:positionV>
            <wp:extent cx="321500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2">
                      <a:extLst>
                        <a:ext uri="{28A0092B-C50C-407E-A947-70E740481C1C}"/>
                      </a:extLst>
                    </a:blip>
                    <a:srcRect/>
                    <a:stretch>
                      <a:fillRect/>
                    </a:stretch>
                  </pic:blipFill>
                  <pic:spPr bwMode="auto">
                    <a:xfrm>
                      <a:off x="0" y="0"/>
                      <a:ext cx="3215005" cy="8255"/>
                    </a:xfrm>
                    <a:prstGeom prst="rect">
                      <a:avLst/>
                    </a:prstGeom>
                    <a:noFill/>
                  </pic:spPr>
                </pic:pic>
              </a:graphicData>
            </a:graphic>
          </wp:anchor>
        </w:drawing>
      </w:r>
    </w:p>
    <w:p>
      <w:pPr>
        <w:spacing w:after="0" w:line="20" w:lineRule="exact"/>
        <w:rPr>
          <w:sz w:val="20"/>
          <w:szCs w:val="20"/>
          <w:color w:val="auto"/>
        </w:rPr>
      </w:pPr>
    </w:p>
    <w:p>
      <w:pPr>
        <w:ind w:left="6240"/>
        <w:spacing w:after="0"/>
        <w:rPr>
          <w:sz w:val="20"/>
          <w:szCs w:val="20"/>
          <w:color w:val="auto"/>
        </w:rPr>
      </w:pPr>
      <w:r>
        <w:rPr>
          <w:rFonts w:ascii="Arial" w:cs="Arial" w:eastAsia="Arial" w:hAnsi="Arial"/>
          <w:sz w:val="20"/>
          <w:szCs w:val="20"/>
          <w:color w:val="auto"/>
        </w:rPr>
        <w:t>Guillermo Novo</w:t>
      </w:r>
    </w:p>
    <w:p>
      <w:pPr>
        <w:spacing w:after="0" w:line="27" w:lineRule="exact"/>
        <w:rPr>
          <w:sz w:val="20"/>
          <w:szCs w:val="20"/>
          <w:color w:val="auto"/>
        </w:rPr>
      </w:pPr>
    </w:p>
    <w:p>
      <w:pPr>
        <w:ind w:left="6240"/>
        <w:spacing w:after="0"/>
        <w:rPr>
          <w:sz w:val="20"/>
          <w:szCs w:val="20"/>
          <w:color w:val="auto"/>
        </w:rPr>
      </w:pPr>
      <w:r>
        <w:rPr>
          <w:rFonts w:ascii="Arial" w:cs="Arial" w:eastAsia="Arial" w:hAnsi="Arial"/>
          <w:sz w:val="20"/>
          <w:szCs w:val="20"/>
          <w:color w:val="auto"/>
        </w:rPr>
        <w:t>Chair and Chief Executive Officer</w:t>
      </w:r>
    </w:p>
    <w:p>
      <w:pPr>
        <w:spacing w:after="0" w:line="27" w:lineRule="exact"/>
        <w:rPr>
          <w:sz w:val="20"/>
          <w:szCs w:val="20"/>
          <w:color w:val="auto"/>
        </w:rPr>
      </w:pPr>
    </w:p>
    <w:p>
      <w:pPr>
        <w:ind w:left="6240"/>
        <w:spacing w:after="0"/>
        <w:rPr>
          <w:sz w:val="20"/>
          <w:szCs w:val="20"/>
          <w:color w:val="auto"/>
        </w:rPr>
      </w:pPr>
      <w:r>
        <w:rPr>
          <w:rFonts w:ascii="Arial" w:cs="Arial" w:eastAsia="Arial" w:hAnsi="Arial"/>
          <w:sz w:val="20"/>
          <w:szCs w:val="20"/>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349250</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60" w:name="page61"/>
    <w:bookmarkEnd w:id="6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1" w:name="page62"/>
    <w:bookmarkEnd w:id="61"/>
    <w:p>
      <w:pPr>
        <w:ind w:left="10060"/>
        <w:spacing w:after="0"/>
        <w:rPr>
          <w:sz w:val="20"/>
          <w:szCs w:val="20"/>
          <w:color w:val="auto"/>
        </w:rPr>
      </w:pPr>
      <w:r>
        <w:rPr>
          <w:rFonts w:ascii="Arial" w:cs="Arial" w:eastAsia="Arial" w:hAnsi="Arial"/>
          <w:sz w:val="19"/>
          <w:szCs w:val="19"/>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CERTIFICATIONS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I, J. Kevin Willis, certify that:</w:t>
      </w:r>
    </w:p>
    <w:p>
      <w:pPr>
        <w:spacing w:after="0" w:line="108" w:lineRule="exact"/>
        <w:rPr>
          <w:sz w:val="20"/>
          <w:szCs w:val="20"/>
          <w:color w:val="auto"/>
        </w:rPr>
      </w:pPr>
    </w:p>
    <w:p>
      <w:pPr>
        <w:ind w:left="760" w:hanging="378"/>
        <w:spacing w:after="0"/>
        <w:tabs>
          <w:tab w:leader="none" w:pos="760" w:val="left"/>
        </w:tabs>
        <w:numPr>
          <w:ilvl w:val="0"/>
          <w:numId w:val="46"/>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Ashland Inc.;</w:t>
      </w:r>
    </w:p>
    <w:p>
      <w:pPr>
        <w:spacing w:after="0" w:line="107" w:lineRule="exact"/>
        <w:rPr>
          <w:rFonts w:ascii="Arial" w:cs="Arial" w:eastAsia="Arial" w:hAnsi="Arial"/>
          <w:sz w:val="20"/>
          <w:szCs w:val="20"/>
          <w:color w:val="auto"/>
        </w:rPr>
      </w:pPr>
    </w:p>
    <w:p>
      <w:pPr>
        <w:jc w:val="both"/>
        <w:ind w:left="760" w:hanging="378"/>
        <w:spacing w:after="0" w:line="250" w:lineRule="auto"/>
        <w:tabs>
          <w:tab w:leader="none" w:pos="760" w:val="left"/>
        </w:tabs>
        <w:numPr>
          <w:ilvl w:val="0"/>
          <w:numId w:val="46"/>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andy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7" w:lineRule="exact"/>
        <w:rPr>
          <w:rFonts w:ascii="Arial" w:cs="Arial" w:eastAsia="Arial" w:hAnsi="Arial"/>
          <w:sz w:val="20"/>
          <w:szCs w:val="20"/>
          <w:color w:val="auto"/>
        </w:rPr>
      </w:pPr>
    </w:p>
    <w:p>
      <w:pPr>
        <w:jc w:val="both"/>
        <w:ind w:left="760" w:hanging="378"/>
        <w:spacing w:after="0" w:line="250" w:lineRule="auto"/>
        <w:tabs>
          <w:tab w:leader="none" w:pos="760" w:val="left"/>
        </w:tabs>
        <w:numPr>
          <w:ilvl w:val="0"/>
          <w:numId w:val="46"/>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7" w:lineRule="exact"/>
        <w:rPr>
          <w:rFonts w:ascii="Arial" w:cs="Arial" w:eastAsia="Arial" w:hAnsi="Arial"/>
          <w:sz w:val="20"/>
          <w:szCs w:val="20"/>
          <w:color w:val="auto"/>
        </w:rPr>
      </w:pPr>
    </w:p>
    <w:p>
      <w:pPr>
        <w:jc w:val="both"/>
        <w:ind w:left="760" w:hanging="378"/>
        <w:spacing w:after="0" w:line="250" w:lineRule="auto"/>
        <w:tabs>
          <w:tab w:leader="none" w:pos="760" w:val="left"/>
        </w:tabs>
        <w:numPr>
          <w:ilvl w:val="0"/>
          <w:numId w:val="46"/>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7" w:lineRule="exact"/>
        <w:rPr>
          <w:rFonts w:ascii="Arial" w:cs="Arial" w:eastAsia="Arial" w:hAnsi="Arial"/>
          <w:sz w:val="20"/>
          <w:szCs w:val="20"/>
          <w:color w:val="auto"/>
        </w:rPr>
      </w:pPr>
    </w:p>
    <w:p>
      <w:pPr>
        <w:jc w:val="both"/>
        <w:ind w:left="1500" w:hanging="369"/>
        <w:spacing w:after="0" w:line="291" w:lineRule="auto"/>
        <w:tabs>
          <w:tab w:leader="none" w:pos="15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3" w:lineRule="exact"/>
        <w:rPr>
          <w:rFonts w:ascii="Arial" w:cs="Arial" w:eastAsia="Arial" w:hAnsi="Arial"/>
          <w:sz w:val="18"/>
          <w:szCs w:val="18"/>
          <w:color w:val="auto"/>
        </w:rPr>
      </w:pPr>
    </w:p>
    <w:p>
      <w:pPr>
        <w:jc w:val="both"/>
        <w:ind w:left="1500" w:hanging="369"/>
        <w:spacing w:after="0" w:line="291" w:lineRule="auto"/>
        <w:tabs>
          <w:tab w:leader="none" w:pos="15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8"/>
          <w:szCs w:val="18"/>
          <w:color w:val="auto"/>
        </w:rPr>
      </w:pPr>
    </w:p>
    <w:p>
      <w:pPr>
        <w:jc w:val="both"/>
        <w:ind w:left="1500" w:hanging="369"/>
        <w:spacing w:after="0" w:line="250" w:lineRule="auto"/>
        <w:tabs>
          <w:tab w:leader="none" w:pos="1500" w:val="left"/>
        </w:tabs>
        <w:numPr>
          <w:ilvl w:val="1"/>
          <w:numId w:val="46"/>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7" w:lineRule="exact"/>
        <w:rPr>
          <w:rFonts w:ascii="Arial" w:cs="Arial" w:eastAsia="Arial" w:hAnsi="Arial"/>
          <w:sz w:val="20"/>
          <w:szCs w:val="20"/>
          <w:color w:val="auto"/>
        </w:rPr>
      </w:pPr>
    </w:p>
    <w:p>
      <w:pPr>
        <w:jc w:val="both"/>
        <w:ind w:left="1500" w:hanging="369"/>
        <w:spacing w:after="0" w:line="291" w:lineRule="auto"/>
        <w:tabs>
          <w:tab w:leader="none" w:pos="15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3" w:lineRule="exact"/>
        <w:rPr>
          <w:rFonts w:ascii="Arial" w:cs="Arial" w:eastAsia="Arial" w:hAnsi="Arial"/>
          <w:sz w:val="18"/>
          <w:szCs w:val="18"/>
          <w:color w:val="auto"/>
        </w:rPr>
      </w:pPr>
    </w:p>
    <w:p>
      <w:pPr>
        <w:jc w:val="both"/>
        <w:ind w:left="760" w:hanging="378"/>
        <w:spacing w:after="0" w:line="250" w:lineRule="auto"/>
        <w:tabs>
          <w:tab w:leader="none" w:pos="760" w:val="left"/>
        </w:tabs>
        <w:numPr>
          <w:ilvl w:val="0"/>
          <w:numId w:val="46"/>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7" w:lineRule="exact"/>
        <w:rPr>
          <w:rFonts w:ascii="Arial" w:cs="Arial" w:eastAsia="Arial" w:hAnsi="Arial"/>
          <w:sz w:val="20"/>
          <w:szCs w:val="20"/>
          <w:color w:val="auto"/>
        </w:rPr>
      </w:pPr>
    </w:p>
    <w:p>
      <w:pPr>
        <w:jc w:val="both"/>
        <w:ind w:left="1500" w:hanging="369"/>
        <w:spacing w:after="0" w:line="250" w:lineRule="auto"/>
        <w:tabs>
          <w:tab w:leader="none" w:pos="1500" w:val="left"/>
        </w:tabs>
        <w:numPr>
          <w:ilvl w:val="1"/>
          <w:numId w:val="46"/>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7" w:lineRule="exact"/>
        <w:rPr>
          <w:rFonts w:ascii="Arial" w:cs="Arial" w:eastAsia="Arial" w:hAnsi="Arial"/>
          <w:sz w:val="20"/>
          <w:szCs w:val="20"/>
          <w:color w:val="auto"/>
        </w:rPr>
      </w:pPr>
    </w:p>
    <w:p>
      <w:pPr>
        <w:ind w:left="1500" w:hanging="369"/>
        <w:spacing w:after="0" w:line="260" w:lineRule="auto"/>
        <w:tabs>
          <w:tab w:leader="none" w:pos="1500" w:val="left"/>
        </w:tabs>
        <w:numPr>
          <w:ilvl w:val="1"/>
          <w:numId w:val="46"/>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4" w:lineRule="exact"/>
        <w:rPr>
          <w:sz w:val="20"/>
          <w:szCs w:val="20"/>
          <w:color w:val="auto"/>
        </w:rPr>
      </w:pPr>
    </w:p>
    <w:p>
      <w:pPr>
        <w:ind w:left="380"/>
        <w:spacing w:after="0"/>
        <w:rPr>
          <w:sz w:val="20"/>
          <w:szCs w:val="20"/>
          <w:color w:val="auto"/>
        </w:rPr>
      </w:pPr>
      <w:r>
        <w:rPr>
          <w:rFonts w:ascii="Arial" w:cs="Arial" w:eastAsia="Arial" w:hAnsi="Arial"/>
          <w:sz w:val="20"/>
          <w:szCs w:val="20"/>
          <w:color w:val="auto"/>
        </w:rPr>
        <w:t>Date: July 27, 2023</w:t>
      </w:r>
    </w:p>
    <w:p>
      <w:pPr>
        <w:spacing w:after="0" w:line="256" w:lineRule="exact"/>
        <w:rPr>
          <w:sz w:val="20"/>
          <w:szCs w:val="20"/>
          <w:color w:val="auto"/>
        </w:rPr>
      </w:pPr>
    </w:p>
    <w:p>
      <w:pPr>
        <w:ind w:left="6200"/>
        <w:spacing w:after="0"/>
        <w:rPr>
          <w:sz w:val="20"/>
          <w:szCs w:val="20"/>
          <w:color w:val="auto"/>
        </w:rPr>
      </w:pPr>
      <w:r>
        <w:rPr>
          <w:rFonts w:ascii="Arial" w:cs="Arial" w:eastAsia="Arial" w:hAnsi="Arial"/>
          <w:sz w:val="20"/>
          <w:szCs w:val="20"/>
          <w:color w:val="auto"/>
        </w:rPr>
        <w:t>/s/ J. Kevin Willis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3923030</wp:posOffset>
            </wp:positionH>
            <wp:positionV relativeFrom="paragraph">
              <wp:posOffset>19050</wp:posOffset>
            </wp:positionV>
            <wp:extent cx="321500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4">
                      <a:extLst>
                        <a:ext uri="{28A0092B-C50C-407E-A947-70E740481C1C}"/>
                      </a:extLst>
                    </a:blip>
                    <a:srcRect/>
                    <a:stretch>
                      <a:fillRect/>
                    </a:stretch>
                  </pic:blipFill>
                  <pic:spPr bwMode="auto">
                    <a:xfrm>
                      <a:off x="0" y="0"/>
                      <a:ext cx="3215005" cy="8255"/>
                    </a:xfrm>
                    <a:prstGeom prst="rect">
                      <a:avLst/>
                    </a:prstGeom>
                    <a:noFill/>
                  </pic:spPr>
                </pic:pic>
              </a:graphicData>
            </a:graphic>
          </wp:anchor>
        </w:drawing>
      </w:r>
    </w:p>
    <w:p>
      <w:pPr>
        <w:spacing w:after="0" w:line="20" w:lineRule="exact"/>
        <w:rPr>
          <w:sz w:val="20"/>
          <w:szCs w:val="20"/>
          <w:color w:val="auto"/>
        </w:rPr>
      </w:pPr>
    </w:p>
    <w:p>
      <w:pPr>
        <w:ind w:left="6240"/>
        <w:spacing w:after="0"/>
        <w:rPr>
          <w:sz w:val="20"/>
          <w:szCs w:val="20"/>
          <w:color w:val="auto"/>
        </w:rPr>
      </w:pPr>
      <w:r>
        <w:rPr>
          <w:rFonts w:ascii="Arial" w:cs="Arial" w:eastAsia="Arial" w:hAnsi="Arial"/>
          <w:sz w:val="20"/>
          <w:szCs w:val="20"/>
          <w:color w:val="auto"/>
        </w:rPr>
        <w:t>J. Kevin Willis</w:t>
      </w:r>
    </w:p>
    <w:p>
      <w:pPr>
        <w:spacing w:after="0" w:line="27" w:lineRule="exact"/>
        <w:rPr>
          <w:sz w:val="20"/>
          <w:szCs w:val="20"/>
          <w:color w:val="auto"/>
        </w:rPr>
      </w:pPr>
    </w:p>
    <w:p>
      <w:pPr>
        <w:ind w:left="6240"/>
        <w:spacing w:after="0"/>
        <w:rPr>
          <w:sz w:val="20"/>
          <w:szCs w:val="20"/>
          <w:color w:val="auto"/>
        </w:rPr>
      </w:pPr>
      <w:r>
        <w:rPr>
          <w:rFonts w:ascii="Arial" w:cs="Arial" w:eastAsia="Arial" w:hAnsi="Arial"/>
          <w:sz w:val="20"/>
          <w:szCs w:val="20"/>
          <w:color w:val="auto"/>
        </w:rPr>
        <w:t>Chief Financial Officer</w:t>
      </w:r>
    </w:p>
    <w:p>
      <w:pPr>
        <w:spacing w:after="0" w:line="27" w:lineRule="exact"/>
        <w:rPr>
          <w:sz w:val="20"/>
          <w:szCs w:val="20"/>
          <w:color w:val="auto"/>
        </w:rPr>
      </w:pPr>
    </w:p>
    <w:p>
      <w:pPr>
        <w:ind w:left="6240"/>
        <w:spacing w:after="0"/>
        <w:rPr>
          <w:sz w:val="20"/>
          <w:szCs w:val="20"/>
          <w:color w:val="auto"/>
        </w:rPr>
      </w:pPr>
      <w:r>
        <w:rPr>
          <w:rFonts w:ascii="Arial" w:cs="Arial" w:eastAsia="Arial" w:hAnsi="Arial"/>
          <w:sz w:val="20"/>
          <w:szCs w:val="20"/>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349250</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62" w:name="page63"/>
    <w:bookmarkEnd w:id="6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3" w:name="page64"/>
    <w:bookmarkEnd w:id="63"/>
    <w:p>
      <w:pPr>
        <w:jc w:val="right"/>
        <w:spacing w:after="0"/>
        <w:rPr>
          <w:sz w:val="20"/>
          <w:szCs w:val="20"/>
          <w:color w:val="auto"/>
        </w:rPr>
      </w:pPr>
      <w:r>
        <w:rPr>
          <w:rFonts w:ascii="Arial" w:cs="Arial" w:eastAsia="Arial" w:hAnsi="Arial"/>
          <w:sz w:val="20"/>
          <w:szCs w:val="20"/>
          <w:color w:val="auto"/>
        </w:rPr>
        <w:t>EXHIBIT 32</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ASHLAND INC.</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 U.S.C. SECTION 1350,</w:t>
      </w:r>
    </w:p>
    <w:p>
      <w:pPr>
        <w:jc w:val="center"/>
        <w:spacing w:after="0"/>
        <w:rPr>
          <w:sz w:val="20"/>
          <w:szCs w:val="20"/>
          <w:color w:val="auto"/>
        </w:rPr>
      </w:pPr>
      <w:r>
        <w:rPr>
          <w:rFonts w:ascii="Arial" w:cs="Arial" w:eastAsia="Arial" w:hAnsi="Arial"/>
          <w:sz w:val="20"/>
          <w:szCs w:val="20"/>
          <w:color w:val="auto"/>
        </w:rPr>
        <w:t>AS ADOPTED PURSUANT TO</w:t>
      </w:r>
    </w:p>
    <w:p>
      <w:pPr>
        <w:jc w:val="center"/>
        <w:spacing w:after="0"/>
        <w:rPr>
          <w:sz w:val="20"/>
          <w:szCs w:val="20"/>
          <w:color w:val="auto"/>
        </w:rPr>
      </w:pPr>
      <w:r>
        <w:rPr>
          <w:rFonts w:ascii="Arial" w:cs="Arial" w:eastAsia="Arial" w:hAnsi="Arial"/>
          <w:sz w:val="20"/>
          <w:szCs w:val="20"/>
          <w:color w:val="auto"/>
        </w:rPr>
        <w:t>SECTION 906 OF THE SARBANES-OXLEY ACT OF 2002</w:t>
      </w:r>
    </w:p>
    <w:p>
      <w:pPr>
        <w:spacing w:after="0" w:line="22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 connection with the Quarterly Report of Ashland Inc. (the “Company”) on Form 10-Q for the period ended June 30, 2023, as filed with the Securities and Exchange Commission on the date hereof (the “Report”), each of the undersigned, Guillermo Novo, Chief Executive Officer of the Company, and J. Kevin Willis, Chief Financial Officer of the Company, certify, pursuant to 18 U.S.C. Section 1350, as adopted pursuant to Section 906 of the Sarbanes-Oxley Act of 2002, that:</w:t>
      </w:r>
    </w:p>
    <w:p>
      <w:pPr>
        <w:spacing w:after="0" w:line="205" w:lineRule="exact"/>
        <w:rPr>
          <w:sz w:val="20"/>
          <w:szCs w:val="20"/>
          <w:color w:val="auto"/>
        </w:rPr>
      </w:pPr>
    </w:p>
    <w:p>
      <w:pPr>
        <w:ind w:left="760" w:hanging="378"/>
        <w:spacing w:after="0"/>
        <w:tabs>
          <w:tab w:leader="none" w:pos="760" w:val="left"/>
        </w:tabs>
        <w:numPr>
          <w:ilvl w:val="0"/>
          <w:numId w:val="47"/>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15" w:lineRule="exact"/>
        <w:rPr>
          <w:rFonts w:ascii="Arial" w:cs="Arial" w:eastAsia="Arial" w:hAnsi="Arial"/>
          <w:sz w:val="20"/>
          <w:szCs w:val="20"/>
          <w:color w:val="auto"/>
        </w:rPr>
      </w:pPr>
    </w:p>
    <w:p>
      <w:pPr>
        <w:ind w:left="760" w:hanging="378"/>
        <w:spacing w:after="0" w:line="244" w:lineRule="auto"/>
        <w:tabs>
          <w:tab w:leader="none" w:pos="760" w:val="left"/>
        </w:tabs>
        <w:numPr>
          <w:ilvl w:val="0"/>
          <w:numId w:val="47"/>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59" w:lineRule="exact"/>
        <w:rPr>
          <w:sz w:val="20"/>
          <w:szCs w:val="20"/>
          <w:color w:val="auto"/>
        </w:rPr>
      </w:pPr>
    </w:p>
    <w:p>
      <w:pPr>
        <w:ind w:left="20"/>
        <w:spacing w:after="0"/>
        <w:rPr>
          <w:sz w:val="20"/>
          <w:szCs w:val="20"/>
          <w:color w:val="auto"/>
        </w:rPr>
      </w:pPr>
      <w:r>
        <w:rPr>
          <w:rFonts w:ascii="Arial" w:cs="Arial" w:eastAsia="Arial" w:hAnsi="Arial"/>
          <w:sz w:val="20"/>
          <w:szCs w:val="20"/>
          <w:color w:val="auto"/>
        </w:rPr>
        <w:t>/s/ Guillermo Novo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356616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6">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Arial" w:cs="Arial" w:eastAsia="Arial" w:hAnsi="Arial"/>
          <w:sz w:val="20"/>
          <w:szCs w:val="20"/>
          <w:color w:val="auto"/>
        </w:rPr>
        <w:t>Guillermo Novo</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0"/>
          <w:szCs w:val="20"/>
          <w:color w:val="auto"/>
        </w:rPr>
        <w:t>Chief Executive Officer</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0"/>
          <w:szCs w:val="20"/>
          <w:color w:val="auto"/>
        </w:rPr>
        <w:t>July 27, 2023</w:t>
      </w:r>
    </w:p>
    <w:p>
      <w:pPr>
        <w:spacing w:after="0" w:line="324" w:lineRule="exact"/>
        <w:rPr>
          <w:sz w:val="20"/>
          <w:szCs w:val="20"/>
          <w:color w:val="auto"/>
        </w:rPr>
      </w:pPr>
    </w:p>
    <w:p>
      <w:pPr>
        <w:ind w:left="20"/>
        <w:spacing w:after="0"/>
        <w:rPr>
          <w:sz w:val="20"/>
          <w:szCs w:val="20"/>
          <w:color w:val="auto"/>
        </w:rPr>
      </w:pPr>
      <w:r>
        <w:rPr>
          <w:rFonts w:ascii="Arial" w:cs="Arial" w:eastAsia="Arial" w:hAnsi="Arial"/>
          <w:sz w:val="20"/>
          <w:szCs w:val="20"/>
          <w:color w:val="auto"/>
        </w:rPr>
        <w:t>/s/ J. Kevin Willis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356616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Arial" w:cs="Arial" w:eastAsia="Arial" w:hAnsi="Arial"/>
          <w:sz w:val="20"/>
          <w:szCs w:val="20"/>
          <w:color w:val="auto"/>
        </w:rPr>
        <w:t>J. Kevin Willis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0"/>
          <w:szCs w:val="20"/>
          <w:color w:val="auto"/>
        </w:rPr>
        <w:t>Chief Financial Officer</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0"/>
          <w:szCs w:val="20"/>
          <w:color w:val="auto"/>
        </w:rPr>
        <w:t>July 27,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349250</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64" w:name="page65"/>
    <w:bookmarkEnd w:id="6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1)"/>
      <w:numFmt w:val="lowerLetter"/>
      <w:start w:val="1"/>
    </w:lvl>
  </w:abstractNum>
  <w:abstractNum w:abstractNumId="3">
    <w:nsid w:val="4353D0CD"/>
    <w:multiLevelType w:val="hybridMultilevel"/>
    <w:lvl w:ilvl="0">
      <w:lvlJc w:val="left"/>
      <w:lvlText w:val="(%1)"/>
      <w:numFmt w:val="lowerLetter"/>
      <w:start w:val="1"/>
    </w:lvl>
  </w:abstractNum>
  <w:abstractNum w:abstractNumId="4">
    <w:nsid w:val="B03E0C6"/>
    <w:multiLevelType w:val="hybridMultilevel"/>
    <w:lvl w:ilvl="0">
      <w:lvlJc w:val="left"/>
      <w:lvlText w:val="%1)"/>
      <w:numFmt w:val="decimal"/>
      <w:start w:val="1"/>
    </w:lvl>
  </w:abstractNum>
  <w:abstractNum w:abstractNumId="5">
    <w:nsid w:val="189A769B"/>
    <w:multiLevelType w:val="hybridMultilevel"/>
    <w:lvl w:ilvl="0">
      <w:lvlJc w:val="left"/>
      <w:lvlText w:val="(%1)"/>
      <w:numFmt w:val="lowerLetter"/>
      <w:start w:val="1"/>
    </w:lvl>
  </w:abstractNum>
  <w:abstractNum w:abstractNumId="6">
    <w:nsid w:val="54E49EB4"/>
    <w:multiLevelType w:val="hybridMultilevel"/>
    <w:lvl w:ilvl="0">
      <w:lvlJc w:val="left"/>
      <w:lvlText w:val="(%1)"/>
      <w:numFmt w:val="lowerLetter"/>
      <w:start w:val="1"/>
    </w:lvl>
  </w:abstractNum>
  <w:abstractNum w:abstractNumId="7">
    <w:nsid w:val="71F32454"/>
    <w:multiLevelType w:val="hybridMultilevel"/>
    <w:lvl w:ilvl="0">
      <w:lvlJc w:val="left"/>
      <w:lvlText w:val="(%1)"/>
      <w:numFmt w:val="lowerLetter"/>
      <w:start w:val="1"/>
    </w:lvl>
  </w:abstractNum>
  <w:abstractNum w:abstractNumId="8">
    <w:nsid w:val="2CA88611"/>
    <w:multiLevelType w:val="hybridMultilevel"/>
    <w:lvl w:ilvl="0">
      <w:lvlJc w:val="left"/>
      <w:lvlText w:val="(%1)"/>
      <w:numFmt w:val="lowerLetter"/>
      <w:start w:val="1"/>
    </w:lvl>
  </w:abstractNum>
  <w:abstractNum w:abstractNumId="9">
    <w:nsid w:val="836C40E"/>
    <w:multiLevelType w:val="hybridMultilevel"/>
    <w:lvl w:ilvl="0">
      <w:lvlJc w:val="left"/>
      <w:lvlText w:val="(%1)"/>
      <w:numFmt w:val="lowerLetter"/>
      <w:start w:val="1"/>
    </w:lvl>
  </w:abstractNum>
  <w:abstractNum w:abstractNumId="10">
    <w:nsid w:val="2901D82"/>
    <w:multiLevelType w:val="hybridMultilevel"/>
    <w:lvl w:ilvl="0">
      <w:lvlJc w:val="left"/>
      <w:lvlText w:val="(%1)"/>
      <w:numFmt w:val="lowerLetter"/>
      <w:start w:val="1"/>
    </w:lvl>
  </w:abstractNum>
  <w:abstractNum w:abstractNumId="11">
    <w:nsid w:val="3A95F874"/>
    <w:multiLevelType w:val="hybridMultilevel"/>
    <w:lvl w:ilvl="0">
      <w:lvlJc w:val="left"/>
      <w:lvlText w:val="(%1)"/>
      <w:numFmt w:val="lowerLetter"/>
      <w:start w:val="1"/>
    </w:lvl>
  </w:abstractNum>
  <w:abstractNum w:abstractNumId="12">
    <w:nsid w:val="8138641"/>
    <w:multiLevelType w:val="hybridMultilevel"/>
    <w:lvl w:ilvl="0">
      <w:lvlJc w:val="left"/>
      <w:lvlText w:val="(%1)"/>
      <w:numFmt w:val="lowerLetter"/>
      <w:start w:val="1"/>
    </w:lvl>
  </w:abstractNum>
  <w:abstractNum w:abstractNumId="13">
    <w:nsid w:val="1E7FF521"/>
    <w:multiLevelType w:val="hybridMultilevel"/>
    <w:lvl w:ilvl="0">
      <w:lvlJc w:val="left"/>
      <w:lvlText w:val="(%1)"/>
      <w:numFmt w:val="lowerLetter"/>
      <w:start w:val="1"/>
    </w:lvl>
  </w:abstractNum>
  <w:abstractNum w:abstractNumId="14">
    <w:nsid w:val="7C3DBD3D"/>
    <w:multiLevelType w:val="hybridMultilevel"/>
    <w:lvl w:ilvl="0">
      <w:lvlJc w:val="left"/>
      <w:lvlText w:val="(%1)"/>
      <w:numFmt w:val="lowerLetter"/>
      <w:start w:val="1"/>
    </w:lvl>
  </w:abstractNum>
  <w:abstractNum w:abstractNumId="15">
    <w:nsid w:val="737B8DDC"/>
    <w:multiLevelType w:val="hybridMultilevel"/>
    <w:lvl w:ilvl="0">
      <w:lvlJc w:val="left"/>
      <w:lvlText w:val="(%1)"/>
      <w:numFmt w:val="lowerLetter"/>
      <w:start w:val="1"/>
    </w:lvl>
  </w:abstractNum>
  <w:abstractNum w:abstractNumId="16">
    <w:nsid w:val="6CEAF087"/>
    <w:multiLevelType w:val="hybridMultilevel"/>
    <w:lvl w:ilvl="0">
      <w:lvlJc w:val="left"/>
      <w:lvlText w:val="(%1)"/>
      <w:numFmt w:val="lowerLetter"/>
      <w:start w:val="1"/>
    </w:lvl>
  </w:abstractNum>
  <w:abstractNum w:abstractNumId="17">
    <w:nsid w:val="22221A70"/>
    <w:multiLevelType w:val="hybridMultilevel"/>
    <w:lvl w:ilvl="0">
      <w:lvlJc w:val="left"/>
      <w:lvlText w:val="(%1)"/>
      <w:numFmt w:val="lowerLetter"/>
      <w:start w:val="1"/>
    </w:lvl>
  </w:abstractNum>
  <w:abstractNum w:abstractNumId="18">
    <w:nsid w:val="4516DDE9"/>
    <w:multiLevelType w:val="hybridMultilevel"/>
    <w:lvl w:ilvl="0">
      <w:lvlJc w:val="left"/>
      <w:lvlText w:val="(%1)"/>
      <w:numFmt w:val="lowerLetter"/>
      <w:start w:val="1"/>
    </w:lvl>
  </w:abstractNum>
  <w:abstractNum w:abstractNumId="19">
    <w:nsid w:val="3006C83E"/>
    <w:multiLevelType w:val="hybridMultilevel"/>
    <w:lvl w:ilvl="0">
      <w:lvlJc w:val="left"/>
      <w:lvlText w:val="(%1)"/>
      <w:numFmt w:val="lowerLetter"/>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1)"/>
      <w:numFmt w:val="lowerLetter"/>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1)"/>
      <w:numFmt w:val="lowerLetter"/>
      <w:start w:val="1"/>
    </w:lvl>
  </w:abstractNum>
  <w:abstractNum w:abstractNumId="36">
    <w:nsid w:val="70A64E2A"/>
    <w:multiLevelType w:val="hybridMultilevel"/>
    <w:lvl w:ilvl="0">
      <w:lvlJc w:val="left"/>
      <w:lvlText w:val="(%1)"/>
      <w:numFmt w:val="lowerLetter"/>
      <w:start w:val="1"/>
    </w:lvl>
  </w:abstractNum>
  <w:abstractNum w:abstractNumId="37">
    <w:nsid w:val="6A2342EC"/>
    <w:multiLevelType w:val="hybridMultilevel"/>
    <w:lvl w:ilvl="0">
      <w:lvlJc w:val="left"/>
      <w:lvlText w:val="(%1)"/>
      <w:numFmt w:val="lowerLetter"/>
      <w:start w:val="1"/>
    </w:lvl>
  </w:abstractNum>
  <w:abstractNum w:abstractNumId="38">
    <w:nsid w:val="2A487CB0"/>
    <w:multiLevelType w:val="hybridMultilevel"/>
    <w:lvl w:ilvl="0">
      <w:lvlJc w:val="left"/>
      <w:lvlText w:val="(%1)"/>
      <w:numFmt w:val="lowerLetter"/>
      <w:start w:val="1"/>
    </w:lvl>
  </w:abstractNum>
  <w:abstractNum w:abstractNumId="39">
    <w:nsid w:val="1D4ED43B"/>
    <w:multiLevelType w:val="hybridMultilevel"/>
    <w:lvl w:ilvl="0">
      <w:lvlJc w:val="left"/>
      <w:lvlText w:val="(%1)"/>
      <w:numFmt w:val="lowerLetter"/>
      <w:start w:val="1"/>
    </w:lvl>
  </w:abstractNum>
  <w:abstractNum w:abstractNumId="40">
    <w:nsid w:val="725A06FB"/>
    <w:multiLevelType w:val="hybridMultilevel"/>
    <w:lvl w:ilvl="0">
      <w:lvlJc w:val="left"/>
      <w:lvlText w:val="(%1)"/>
      <w:numFmt w:val="lowerLetter"/>
      <w:start w:val="1"/>
    </w:lvl>
  </w:abstractNum>
  <w:abstractNum w:abstractNumId="41">
    <w:nsid w:val="2CD89A32"/>
    <w:multiLevelType w:val="hybridMultilevel"/>
    <w:lvl w:ilvl="0">
      <w:lvlJc w:val="left"/>
      <w:lvlText w:val="(%1)"/>
      <w:numFmt w:val="lowerLetter"/>
      <w:start w:val="1"/>
    </w:lvl>
  </w:abstractNum>
  <w:abstractNum w:abstractNumId="42">
    <w:nsid w:val="57E4CCAF"/>
    <w:multiLevelType w:val="hybridMultilevel"/>
    <w:lvl w:ilvl="0">
      <w:lvlJc w:val="left"/>
      <w:lvlText w:val="%1"/>
      <w:numFmt w:val="decimal"/>
      <w:start w:val="104"/>
    </w:lvl>
    <w:lvl w:ilvl="1">
      <w:lvlJc w:val="left"/>
      <w:lvlText w:val="*"/>
      <w:numFmt w:val="bullet"/>
      <w:start w:val="1"/>
    </w:lvl>
  </w:abstractNum>
  <w:abstractNum w:abstractNumId="43">
    <w:nsid w:val="7A6D8D3C"/>
    <w:multiLevelType w:val="hybridMultilevel"/>
    <w:lvl w:ilvl="0">
      <w:lvlJc w:val="left"/>
      <w:lvlText w:val="%1"/>
      <w:numFmt w:val="decimal"/>
      <w:start w:val="1"/>
    </w:lvl>
    <w:lvl w:ilvl="1">
      <w:lvlJc w:val="left"/>
      <w:lvlText w:val="**"/>
      <w:numFmt w:val="bullet"/>
      <w:start w:val="1"/>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lvl w:ilvl="1">
      <w:lvlJc w:val="left"/>
      <w:lvlText w:val="%2."/>
      <w:numFmt w:val="lowerLetter"/>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8" Type="http://schemas.openxmlformats.org/officeDocument/2006/relationships/image" Target="media/image309.png"/><Relationship Id="rId319" Type="http://schemas.openxmlformats.org/officeDocument/2006/relationships/image" Target="media/image310.png"/><Relationship Id="rId320" Type="http://schemas.openxmlformats.org/officeDocument/2006/relationships/image" Target="media/image311.png"/><Relationship Id="rId321" Type="http://schemas.openxmlformats.org/officeDocument/2006/relationships/image" Target="media/image312.png"/><Relationship Id="rId322" Type="http://schemas.openxmlformats.org/officeDocument/2006/relationships/image" Target="media/image313.png"/><Relationship Id="rId323" Type="http://schemas.openxmlformats.org/officeDocument/2006/relationships/image" Target="media/image314.png"/><Relationship Id="rId324" Type="http://schemas.openxmlformats.org/officeDocument/2006/relationships/image" Target="media/image315.png"/><Relationship Id="rId325" Type="http://schemas.openxmlformats.org/officeDocument/2006/relationships/image" Target="media/image316.png"/><Relationship Id="rId326" Type="http://schemas.openxmlformats.org/officeDocument/2006/relationships/image" Target="media/image317.png"/><Relationship Id="rId327" Type="http://schemas.openxmlformats.org/officeDocument/2006/relationships/image" Target="media/image318.png"/><Relationship Id="rId328" Type="http://schemas.openxmlformats.org/officeDocument/2006/relationships/image" Target="media/image319.png"/><Relationship Id="rId316" Type="http://schemas.openxmlformats.org/officeDocument/2006/relationships/hyperlink" Target="https://www.sec.gov/Archives/edgar/data/1674862/000095017023013659/ash-ex10_1.htm" TargetMode="External"/><Relationship Id="rId317" Type="http://schemas.openxmlformats.org/officeDocument/2006/relationships/hyperlink" Target="https://www.sec.gov/Archives/edgar/data/1674862/000095017023013659/ash-ex10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2023-07-27T15:05:37Z</dcterms:created>
  <dcterms:modified xsi:type="dcterms:W3CDTF">2023-07-27T15:05:37Z</dcterms:modified>
</cp:coreProperties>
</file>